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rPr>
        <w:t>部门整体绩效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pPr>
        <w:jc w:val="center"/>
        <w:rPr>
          <w:rFonts w:ascii="仿宋_GB2312"/>
          <w:szCs w:val="30"/>
        </w:rPr>
      </w:pPr>
    </w:p>
    <w:p>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pStyle w:val="4"/>
        <w:keepNext/>
        <w:keepLines/>
        <w:pageBreakBefore w:val="0"/>
        <w:widowControl w:val="0"/>
        <w:kinsoku/>
        <w:wordWrap/>
        <w:overflowPunct/>
        <w:topLinePunct w:val="0"/>
        <w:autoSpaceDE/>
        <w:autoSpaceDN/>
        <w:bidi w:val="0"/>
        <w:adjustRightInd/>
        <w:snapToGrid/>
        <w:spacing w:line="240" w:lineRule="auto"/>
        <w:ind w:right="0" w:rightChars="0" w:firstLine="640" w:firstLineChars="200"/>
        <w:jc w:val="left"/>
        <w:textAlignment w:val="auto"/>
        <w:outlineLvl w:val="1"/>
        <w:rPr>
          <w:rFonts w:hint="eastAsia" w:ascii="Times New Roman" w:hAnsi="Times New Roman" w:eastAsia="仿宋_GB2312" w:cs="Times New Roman"/>
          <w:b w:val="0"/>
          <w:bCs w:val="0"/>
          <w:sz w:val="32"/>
          <w:szCs w:val="32"/>
          <w:highlight w:val="none"/>
          <w:lang w:val="en-US" w:eastAsia="zh-CN"/>
        </w:rPr>
      </w:pPr>
      <w:r>
        <w:rPr>
          <w:rFonts w:hint="eastAsia" w:ascii="Times New Roman" w:hAnsi="Times New Roman" w:eastAsia="仿宋_GB2312" w:cs="Times New Roman"/>
          <w:b w:val="0"/>
          <w:bCs w:val="0"/>
          <w:sz w:val="32"/>
          <w:szCs w:val="32"/>
          <w:highlight w:val="none"/>
          <w:lang w:val="en-US" w:eastAsia="zh-CN"/>
        </w:rPr>
        <w:t>北京市朝阳区人民政府团结湖街道办事处机构设置根据中共北京市朝阳区委办公室、北京市朝阳区人民政府办公室关于印发《中共北京市朝阳区委团结湖街道工作委员会、北京市朝阳区人民政府团结湖街道办事处职能配置、内设机构和人员编制规定》（京朝办字[2019]62号）的通知要求，内设8个科室，分别为综合办公室、党群工作办公室、平安建设办公室等；下属3家全额拨款预算单位，分别为团结湖街道便民服务中心、团结湖街道市民活动中心、团结湖街道市民诉求处置中心。</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2023年主要工作任务包括：各业务科室各司其职，相互协调配合，完成日常工作任务，做好地区内各项工作的统筹协调和服务保障工作。主要职责：</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1.加强党的建设。落实基层党建工作责任制，统筹街道和社区区域化党建，实现党的组织和工作全覆盖</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2.统筹区域发展。促进辖区经济建设、项目发展工作，承担优化发展环境、服务辖区企业、促进项目发展等工作。</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3.组织公共服务。组织实施与居民生活密切相关的各项服务事项，落实社会保障、民政、文化、卫生健康等工作。</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4.实施公共管理。负责辖区内生态环境保护、城市管理、控违拆违等综合管理工作，承担组织领导和综合协调职能。</w:t>
      </w:r>
    </w:p>
    <w:p>
      <w:p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5.维护公共安全。承担辖区内社会治安治理、平安建设、应急管理工作，接待来访，反映社情民意，化解矛盾纠纷等。</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w:t>
      </w:r>
    </w:p>
    <w:p>
      <w:pPr>
        <w:spacing w:after="120"/>
        <w:ind w:firstLine="640" w:firstLineChars="200"/>
        <w:rPr>
          <w:rFonts w:hint="eastAsia" w:ascii="仿宋_GB2312" w:hAnsi="仿宋" w:eastAsia="仿宋_GB2312" w:cs="仿宋"/>
          <w:bCs/>
          <w:sz w:val="32"/>
          <w:szCs w:val="32"/>
          <w:lang w:eastAsia="zh-CN"/>
        </w:rPr>
      </w:pPr>
      <w:r>
        <w:rPr>
          <w:rFonts w:hint="eastAsia" w:ascii="仿宋_GB2312" w:hAnsi="仿宋" w:eastAsia="仿宋_GB2312" w:cs="仿宋"/>
          <w:bCs/>
          <w:sz w:val="32"/>
          <w:szCs w:val="32"/>
        </w:rPr>
        <w:t>按照</w:t>
      </w:r>
      <w:r>
        <w:rPr>
          <w:rFonts w:hint="eastAsia" w:ascii="仿宋_GB2312" w:hAnsi="仿宋" w:eastAsia="仿宋_GB2312" w:cs="仿宋"/>
          <w:bCs/>
          <w:sz w:val="32"/>
          <w:szCs w:val="32"/>
          <w:lang w:eastAsia="zh-CN"/>
        </w:rPr>
        <w:t>团结湖街道办事处</w:t>
      </w:r>
      <w:r>
        <w:rPr>
          <w:rFonts w:hint="eastAsia" w:ascii="仿宋_GB2312" w:hAnsi="仿宋" w:eastAsia="仿宋_GB2312" w:cs="仿宋"/>
          <w:bCs/>
          <w:sz w:val="32"/>
          <w:szCs w:val="32"/>
        </w:rPr>
        <w:t>部门职责及年初工作计划，为提高预算资金管理水平，检验经费支出预期目标实现程度，</w:t>
      </w:r>
      <w:bookmarkStart w:id="0" w:name="_Hlk53567156"/>
      <w:r>
        <w:rPr>
          <w:rFonts w:hint="eastAsia" w:ascii="仿宋_GB2312" w:hAnsi="仿宋" w:eastAsia="仿宋_GB2312" w:cs="仿宋"/>
          <w:bCs/>
          <w:sz w:val="32"/>
          <w:szCs w:val="32"/>
        </w:rPr>
        <w:t>考核经费支出效率和综合效果，</w:t>
      </w:r>
      <w:bookmarkEnd w:id="0"/>
      <w:r>
        <w:rPr>
          <w:rFonts w:hint="eastAsia" w:ascii="仿宋_GB2312" w:hAnsi="仿宋" w:eastAsia="仿宋_GB2312" w:cs="仿宋"/>
          <w:bCs/>
          <w:sz w:val="32"/>
          <w:szCs w:val="32"/>
        </w:rPr>
        <w:t>根据《北京市项目支出绩效评价管理办法》，</w:t>
      </w:r>
      <w:r>
        <w:rPr>
          <w:rFonts w:hint="eastAsia" w:ascii="仿宋_GB2312" w:hAnsi="仿宋" w:eastAsia="仿宋_GB2312" w:cs="仿宋"/>
          <w:bCs/>
          <w:sz w:val="32"/>
          <w:szCs w:val="32"/>
          <w:lang w:eastAsia="zh-CN"/>
        </w:rPr>
        <w:t>团结湖街道办事处</w:t>
      </w:r>
      <w:r>
        <w:rPr>
          <w:rFonts w:hint="eastAsia" w:ascii="仿宋_GB2312" w:hAnsi="仿宋" w:eastAsia="仿宋_GB2312" w:cs="仿宋"/>
          <w:bCs/>
          <w:sz w:val="32"/>
          <w:szCs w:val="32"/>
        </w:rPr>
        <w:t>组织相关部门有序开展绩效评价工作，在预算申报时合理确定绩效指标，涵盖各业务部门职责及工作要点，目标与职责任务匹配一致，</w:t>
      </w:r>
      <w:r>
        <w:rPr>
          <w:rFonts w:hint="eastAsia" w:ascii="仿宋_GB2312" w:hAnsi="仿宋" w:eastAsia="仿宋_GB2312" w:cs="仿宋"/>
          <w:bCs/>
          <w:sz w:val="32"/>
          <w:szCs w:val="32"/>
          <w:lang w:eastAsia="zh-CN"/>
        </w:rPr>
        <w:t>初步建立绩效评价体系，</w:t>
      </w:r>
      <w:r>
        <w:rPr>
          <w:rFonts w:hint="eastAsia" w:ascii="仿宋_GB2312" w:hAnsi="仿宋" w:eastAsia="仿宋_GB2312" w:cs="仿宋"/>
          <w:bCs/>
          <w:sz w:val="32"/>
          <w:szCs w:val="32"/>
        </w:rPr>
        <w:t>提高</w:t>
      </w:r>
      <w:r>
        <w:rPr>
          <w:rFonts w:hint="eastAsia" w:ascii="仿宋_GB2312" w:hAnsi="仿宋" w:eastAsia="仿宋_GB2312" w:cs="仿宋"/>
          <w:bCs/>
          <w:sz w:val="32"/>
          <w:szCs w:val="32"/>
          <w:lang w:eastAsia="zh-CN"/>
        </w:rPr>
        <w:t>全员预算资金绩效管理意识，</w:t>
      </w:r>
      <w:r>
        <w:rPr>
          <w:rFonts w:hint="eastAsia" w:ascii="仿宋_GB2312" w:hAnsi="仿宋" w:eastAsia="仿宋_GB2312" w:cs="仿宋"/>
          <w:bCs/>
          <w:sz w:val="32"/>
          <w:szCs w:val="32"/>
        </w:rPr>
        <w:t>将绩效理念融入预算编制、执行、监督全</w:t>
      </w:r>
      <w:r>
        <w:rPr>
          <w:rFonts w:hint="eastAsia" w:ascii="仿宋_GB2312" w:hAnsi="仿宋" w:eastAsia="仿宋_GB2312" w:cs="仿宋"/>
          <w:bCs/>
          <w:sz w:val="32"/>
          <w:szCs w:val="32"/>
          <w:lang w:eastAsia="zh-CN"/>
        </w:rPr>
        <w:t>过程。</w:t>
      </w:r>
    </w:p>
    <w:p>
      <w:pPr>
        <w:spacing w:after="120"/>
        <w:ind w:firstLine="640" w:firstLineChars="200"/>
        <w:rPr>
          <w:rFonts w:hint="eastAsia"/>
          <w:lang w:val="en-US" w:eastAsia="zh-CN"/>
        </w:rPr>
      </w:pPr>
      <w:r>
        <w:rPr>
          <w:rFonts w:hint="eastAsia" w:ascii="仿宋_GB2312" w:hAnsi="仿宋" w:eastAsia="仿宋_GB2312" w:cs="仿宋"/>
          <w:bCs/>
          <w:sz w:val="32"/>
          <w:szCs w:val="32"/>
          <w:lang w:val="en-US" w:eastAsia="zh-CN"/>
        </w:rPr>
        <w:t>整体绩效目标设立主要包括各部门绩效考核各项指标、预决算公开、资金及资产管理、内部管理制度建设等设定及完成情况，项目绩效总目标和阶段性目标完</w:t>
      </w:r>
      <w:r>
        <w:rPr>
          <w:rFonts w:hint="eastAsia" w:ascii="仿宋_GB2312" w:hAnsi="宋体" w:eastAsia="仿宋_GB2312" w:cs="宋体"/>
          <w:color w:val="000000"/>
          <w:kern w:val="0"/>
          <w:sz w:val="32"/>
          <w:szCs w:val="32"/>
          <w:lang w:val="en-US" w:eastAsia="zh-CN"/>
        </w:rPr>
        <w:t>成情况及预期经济、社会效益等。目前我街道日常绩效工作主要由综合办及各业务办公室共同负责。综合办主要负责财政收支进度、财务管理、财政制度执行等，各业务科室主要负责绩效目标设定、阶段性目标达成、绩效目标实现等。</w:t>
      </w:r>
    </w:p>
    <w:p>
      <w:pPr>
        <w:spacing w:line="600" w:lineRule="exact"/>
        <w:ind w:firstLine="640" w:firstLineChars="200"/>
        <w:rPr>
          <w:rFonts w:ascii="黑体" w:hAnsi="黑体" w:eastAsia="黑体" w:cs="宋体"/>
          <w:color w:val="auto"/>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auto"/>
          <w:kern w:val="0"/>
          <w:sz w:val="32"/>
          <w:szCs w:val="32"/>
        </w:rPr>
        <w:t>当年</w:t>
      </w:r>
      <w:r>
        <w:rPr>
          <w:rFonts w:ascii="黑体" w:hAnsi="黑体" w:eastAsia="黑体" w:cs="宋体"/>
          <w:color w:val="auto"/>
          <w:kern w:val="0"/>
          <w:sz w:val="32"/>
          <w:szCs w:val="32"/>
        </w:rPr>
        <w:t>预算执行情况</w:t>
      </w:r>
    </w:p>
    <w:p>
      <w:pPr>
        <w:spacing w:line="60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2023年全年预算数14137.995957万元，其中，基本支出预算3872.641861万元，占总支出预算27.39%，项目支出预算10265.354096万元，占总支出预算72.61%；无其他支出。</w:t>
      </w:r>
    </w:p>
    <w:p>
      <w:pPr>
        <w:spacing w:line="600" w:lineRule="exact"/>
        <w:ind w:left="105" w:leftChars="50" w:firstLine="480" w:firstLineChars="150"/>
        <w:rPr>
          <w:rFonts w:ascii="黑体" w:hAnsi="黑体" w:eastAsia="黑体"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、整体绩效目标实现情况</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（一）产出完成情况分析</w:t>
      </w:r>
    </w:p>
    <w:p>
      <w:pPr>
        <w:spacing w:line="60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000000"/>
          <w:kern w:val="0"/>
          <w:sz w:val="32"/>
          <w:szCs w:val="32"/>
        </w:rPr>
        <w:t>1.</w:t>
      </w:r>
      <w:r>
        <w:rPr>
          <w:rFonts w:hint="eastAsia" w:ascii="仿宋_GB2312" w:hAnsi="宋体" w:eastAsia="仿宋_GB2312" w:cs="宋体"/>
          <w:color w:val="auto"/>
          <w:kern w:val="0"/>
          <w:sz w:val="32"/>
          <w:szCs w:val="32"/>
        </w:rPr>
        <w:t>产出数量</w:t>
      </w:r>
      <w:r>
        <w:rPr>
          <w:rFonts w:hint="eastAsia" w:ascii="仿宋_GB2312" w:hAnsi="宋体" w:eastAsia="仿宋_GB2312" w:cs="宋体"/>
          <w:color w:val="auto"/>
          <w:kern w:val="0"/>
          <w:sz w:val="32"/>
          <w:szCs w:val="32"/>
          <w:lang w:eastAsia="zh-CN"/>
        </w:rPr>
        <w:t>和</w:t>
      </w:r>
      <w:r>
        <w:rPr>
          <w:rFonts w:hint="eastAsia" w:ascii="仿宋_GB2312" w:hAnsi="宋体" w:eastAsia="仿宋_GB2312" w:cs="宋体"/>
          <w:color w:val="auto"/>
          <w:kern w:val="0"/>
          <w:sz w:val="32"/>
          <w:szCs w:val="32"/>
        </w:rPr>
        <w:t>产出</w:t>
      </w:r>
      <w:r>
        <w:rPr>
          <w:rFonts w:ascii="仿宋_GB2312" w:hAnsi="宋体" w:eastAsia="仿宋_GB2312" w:cs="宋体"/>
          <w:color w:val="auto"/>
          <w:kern w:val="0"/>
          <w:sz w:val="32"/>
          <w:szCs w:val="32"/>
        </w:rPr>
        <w:t>质量</w:t>
      </w:r>
    </w:p>
    <w:p>
      <w:pPr>
        <w:pStyle w:val="5"/>
        <w:ind w:firstLine="560"/>
      </w:pPr>
      <w:r>
        <w:rPr>
          <w:rFonts w:hint="eastAsia" w:ascii="仿宋_GB2312" w:hAnsi="仿宋" w:eastAsia="仿宋_GB2312" w:cs="仿宋"/>
          <w:bCs/>
          <w:kern w:val="2"/>
          <w:sz w:val="32"/>
          <w:szCs w:val="32"/>
          <w:lang w:val="en-US" w:eastAsia="zh-CN" w:bidi="ar-SA"/>
        </w:rPr>
        <w:t>截至2023年底，保障了行政编制在职人员73人，事业编制在职人员34人的日常基本支出，能够保证各预算单位正常运转。完成了预算单位重点职能工作保障项目，包括困难人群补助资金、辖区环境建设项目资金等项目。积极开展在档困难家庭生活救助、子女助学、医疗救助工作，帮助在档困难家庭实现解困脱困，各项资金拨付标准均符合相关法律法规及本部门本单位规章制度。</w:t>
      </w:r>
    </w:p>
    <w:p>
      <w:pPr>
        <w:spacing w:line="600" w:lineRule="exact"/>
        <w:ind w:firstLine="640" w:firstLineChars="200"/>
        <w:rPr>
          <w:rFonts w:hint="default"/>
          <w:lang w:val="en-US" w:eastAsia="zh-CN"/>
        </w:rPr>
      </w:pPr>
      <w:r>
        <w:rPr>
          <w:rFonts w:hint="eastAsia" w:ascii="仿宋_GB2312" w:hAnsi="宋体" w:eastAsia="仿宋_GB2312" w:cs="宋体"/>
          <w:color w:val="000000"/>
          <w:kern w:val="0"/>
          <w:sz w:val="32"/>
          <w:szCs w:val="32"/>
          <w:lang w:val="en-US" w:eastAsia="zh-CN"/>
        </w:rPr>
        <w:t>针对不同项目的性质，安排不同种类的活动。在保证活动开展数量的前提下，不断提高活动质量。例如：开展就业扶持工作、党建工作主题活动。各项活动开展</w:t>
      </w:r>
      <w:r>
        <w:rPr>
          <w:rFonts w:hint="eastAsia" w:ascii="仿宋_GB2312" w:hAnsi="仿宋" w:eastAsia="仿宋_GB2312" w:cs="仿宋"/>
          <w:bCs/>
          <w:kern w:val="2"/>
          <w:sz w:val="32"/>
          <w:szCs w:val="32"/>
          <w:lang w:val="en-US" w:eastAsia="zh-CN" w:bidi="ar-SA"/>
        </w:rPr>
        <w:t>在构建地区和谐局面、切实维护职工合法权益、维护社会稳定、推动地区环境整体建设等方面起到积极作用。</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进度</w:t>
      </w:r>
    </w:p>
    <w:p>
      <w:pPr>
        <w:pStyle w:val="5"/>
        <w:ind w:firstLine="560"/>
        <w:rPr>
          <w:rFonts w:hint="eastAsia"/>
          <w:lang w:val="en-US" w:eastAsia="zh-CN"/>
        </w:rPr>
      </w:pPr>
      <w:r>
        <w:rPr>
          <w:rFonts w:hint="eastAsia" w:ascii="仿宋_GB2312" w:hAnsi="仿宋" w:eastAsia="仿宋_GB2312" w:cs="仿宋"/>
          <w:bCs/>
          <w:kern w:val="2"/>
          <w:sz w:val="32"/>
          <w:szCs w:val="32"/>
          <w:lang w:val="en-US" w:eastAsia="zh-CN" w:bidi="ar-SA"/>
        </w:rPr>
        <w:t>2023年，各预算单位根据预算申报内容和年度各项工作安排执行相关项目，项目专款专用，资金拨付及预算调整均有完整的审批程序。</w:t>
      </w:r>
      <w:r>
        <w:rPr>
          <w:rFonts w:hint="eastAsia" w:ascii="仿宋_GB2312" w:hAnsi="宋体" w:eastAsia="仿宋_GB2312" w:cs="宋体"/>
          <w:color w:val="000000"/>
          <w:kern w:val="0"/>
          <w:sz w:val="32"/>
          <w:szCs w:val="32"/>
          <w:lang w:val="en-US" w:eastAsia="zh-CN"/>
        </w:rPr>
        <w:t>依据项目实际进展，加强资金支出管理，严格执行经费预算批复，及时根据工作变化做好经费预算调整，支出进度与工作进度相匹配，产出进度达到了年度确定的目标。在项目过程中，由各部门和财政科一起监督项目进程，并进行阶段性的工作总结。</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产出</w:t>
      </w:r>
      <w:r>
        <w:rPr>
          <w:rFonts w:ascii="仿宋_GB2312" w:hAnsi="宋体" w:eastAsia="仿宋_GB2312" w:cs="宋体"/>
          <w:color w:val="000000"/>
          <w:kern w:val="0"/>
          <w:sz w:val="32"/>
          <w:szCs w:val="32"/>
        </w:rPr>
        <w:t>成本</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按照年度确定的工作目标和实际履职工作需要，</w:t>
      </w:r>
      <w:r>
        <w:rPr>
          <w:rFonts w:hint="eastAsia" w:ascii="仿宋_GB2312" w:hAnsi="仿宋" w:eastAsia="仿宋_GB2312" w:cs="仿宋"/>
          <w:bCs/>
          <w:kern w:val="2"/>
          <w:sz w:val="32"/>
          <w:szCs w:val="32"/>
          <w:lang w:val="en-US" w:eastAsia="zh-CN" w:bidi="ar-SA"/>
        </w:rPr>
        <w:t>在预算执行过程中，能够遵守相关政策法规的要求，严格财政支出的成本控制</w:t>
      </w:r>
      <w:r>
        <w:rPr>
          <w:rFonts w:hint="eastAsia" w:ascii="仿宋_GB2312" w:hAnsi="宋体" w:eastAsia="仿宋_GB2312" w:cs="宋体"/>
          <w:color w:val="000000"/>
          <w:kern w:val="0"/>
          <w:sz w:val="32"/>
          <w:szCs w:val="32"/>
          <w:lang w:val="en-US" w:eastAsia="zh-CN"/>
        </w:rPr>
        <w:t>。基本支出占总支出的比重大，其主要用于保障人员等基本支出；项目支出则能够保障各部门和各业务科室运转类保障性支出，在年度预算内控制了成本支出。</w:t>
      </w:r>
      <w:r>
        <w:rPr>
          <w:rFonts w:hint="eastAsia" w:ascii="仿宋_GB2312" w:hAnsi="仿宋" w:eastAsia="仿宋_GB2312" w:cs="仿宋"/>
          <w:bCs/>
          <w:kern w:val="2"/>
          <w:sz w:val="32"/>
          <w:szCs w:val="32"/>
          <w:lang w:val="en-US" w:eastAsia="zh-CN" w:bidi="ar-SA"/>
        </w:rPr>
        <w:t xml:space="preserve">在执行中对偏差情况及时预算调整，提高了预算执行率，也进一步减少预算成本占用。   </w:t>
      </w:r>
      <w:r>
        <w:rPr>
          <w:rFonts w:hint="eastAsia" w:ascii="仿宋_GB2312" w:hAnsi="宋体" w:eastAsia="仿宋_GB2312" w:cs="宋体"/>
          <w:color w:val="000000"/>
          <w:kern w:val="0"/>
          <w:sz w:val="32"/>
          <w:szCs w:val="32"/>
        </w:rPr>
        <w:t xml:space="preserve">                                 </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（二）效果</w:t>
      </w:r>
      <w:r>
        <w:rPr>
          <w:rFonts w:ascii="楷体_GB2312" w:eastAsia="楷体_GB2312"/>
          <w:sz w:val="32"/>
          <w:szCs w:val="32"/>
        </w:rPr>
        <w:t>实现情况分析</w:t>
      </w:r>
    </w:p>
    <w:p>
      <w:p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w:t>
      </w:r>
      <w:r>
        <w:rPr>
          <w:rFonts w:ascii="仿宋_GB2312" w:hAnsi="宋体" w:eastAsia="仿宋_GB2312" w:cs="宋体"/>
          <w:color w:val="000000"/>
          <w:kern w:val="0"/>
          <w:sz w:val="32"/>
          <w:szCs w:val="32"/>
        </w:rPr>
        <w:t>效益</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仿宋" w:eastAsia="仿宋_GB2312" w:cs="仿宋"/>
          <w:bCs/>
          <w:kern w:val="2"/>
          <w:sz w:val="32"/>
          <w:szCs w:val="32"/>
          <w:lang w:val="en-US" w:eastAsia="zh-CN" w:bidi="ar-SA"/>
        </w:rPr>
        <w:t>部门预算资金较好保障了各部门运转及主要职能工作，能够按照单位整体工作要点，保质保量完成各项工作任务。</w:t>
      </w:r>
      <w:r>
        <w:rPr>
          <w:rFonts w:hint="eastAsia" w:ascii="仿宋_GB2312" w:hAnsi="宋体" w:eastAsia="仿宋_GB2312" w:cs="宋体"/>
          <w:color w:val="000000"/>
          <w:kern w:val="0"/>
          <w:sz w:val="32"/>
          <w:szCs w:val="32"/>
          <w:lang w:val="en-US" w:eastAsia="zh-CN"/>
        </w:rPr>
        <w:t>对于经济效益指标，严格控制项目成本，确保项目不超额支出。对于特殊群体慰问和社会保障工作项目，我们将严格按照区级政策要求，按标准准时进行项目资金发放。</w:t>
      </w:r>
    </w:p>
    <w:p>
      <w:p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妥善应对突发事件，重大环境和群众信访案件的查办能力不断提升；改善人居生活环境质量，提升居民生活便利，保障人民生命、财产安全；督促商家加大安全生产工作力度。</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对于公共服务项目，我们将保持各服务机构在年度内可以正常运转，加强人员培训，提高社会面稳定，促进群众团结、地区和谐发展。</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对于民生建设专项，我们从群众提出的实际问题出发，根据工作需要和群众需求开展了一系列老旧小区改造项目，真正的从根本上直接解决民生问题，保障了社区环境的安全稳定。各个项目按照民生需求设计，项目执行接受监督。</w:t>
      </w:r>
    </w:p>
    <w:p>
      <w:pPr>
        <w:numPr>
          <w:ilvl w:val="0"/>
          <w:numId w:val="0"/>
        </w:numPr>
        <w:spacing w:line="600" w:lineRule="exact"/>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环境效益</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对于辖区环境整治和提升项目，我们将环境效益作为重点指标。不断推动环境质量改善、维护生态环境有所改善。主要围绕居民日常生活所需开展环境整治项目，例如垃圾清运、危树修整等项目，对周边环境进行定期维护，不断增强居民幸福度和满意度。</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4.</w:t>
      </w:r>
      <w:r>
        <w:rPr>
          <w:rFonts w:hint="eastAsia" w:ascii="仿宋_GB2312" w:hAnsi="宋体" w:eastAsia="仿宋_GB2312" w:cs="宋体"/>
          <w:color w:val="000000"/>
          <w:kern w:val="0"/>
          <w:sz w:val="32"/>
          <w:szCs w:val="32"/>
        </w:rPr>
        <w:t>可持续</w:t>
      </w:r>
      <w:r>
        <w:rPr>
          <w:rFonts w:ascii="仿宋_GB2312" w:hAnsi="宋体" w:eastAsia="仿宋_GB2312" w:cs="宋体"/>
          <w:color w:val="000000"/>
          <w:kern w:val="0"/>
          <w:sz w:val="32"/>
          <w:szCs w:val="32"/>
        </w:rPr>
        <w:t>性影响</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团结湖街道不断加强机关干部队伍建设，提升服务保障能力。搭建交流学习、协同联动平台，加强指导联络，提高工作整体水平。一方面，我们不断提升服务水平和服务质量，为居民提供更高质量的工作；另一方面，本年度许多项目为环境建设、老旧小区整治项目，均为长期工程项目，竣工后能为居民提供更高质量生活。</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5.</w:t>
      </w:r>
      <w:r>
        <w:rPr>
          <w:rFonts w:hint="eastAsia" w:ascii="仿宋_GB2312" w:hAnsi="宋体" w:eastAsia="仿宋_GB2312" w:cs="宋体"/>
          <w:color w:val="000000"/>
          <w:kern w:val="0"/>
          <w:sz w:val="32"/>
          <w:szCs w:val="32"/>
        </w:rPr>
        <w:t>服务对象</w:t>
      </w:r>
      <w:r>
        <w:rPr>
          <w:rFonts w:ascii="仿宋_GB2312" w:hAnsi="宋体" w:eastAsia="仿宋_GB2312" w:cs="宋体"/>
          <w:color w:val="000000"/>
          <w:kern w:val="0"/>
          <w:sz w:val="32"/>
          <w:szCs w:val="32"/>
        </w:rPr>
        <w:t>满意度</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在项目推进过程中，除了对资金使用情况监控，我们也不断关注服务对象满意度，以便更高效的推进项目。针对周边工程项目的开展，我们做好了事前询问、事中反馈、事后回访这三个步骤，使得每一个项目落实到位。对于发放给社区工作者、巡逻执勤志愿者等的经费，我们也在项目完成后开展满意度调查。总体</w:t>
      </w:r>
      <w:r>
        <w:rPr>
          <w:rFonts w:hint="eastAsia" w:ascii="仿宋_GB2312" w:hAnsi="仿宋" w:eastAsia="仿宋_GB2312" w:cs="仿宋"/>
          <w:bCs/>
          <w:kern w:val="2"/>
          <w:sz w:val="32"/>
          <w:szCs w:val="32"/>
          <w:lang w:val="en-US" w:eastAsia="zh-CN" w:bidi="ar-SA"/>
        </w:rPr>
        <w:t>服务对象对项目实施满意度较高。</w:t>
      </w:r>
    </w:p>
    <w:p>
      <w:pPr>
        <w:spacing w:line="600" w:lineRule="exact"/>
        <w:ind w:left="105" w:leftChars="50" w:firstLine="480" w:firstLineChars="15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、预算管理</w:t>
      </w:r>
      <w:r>
        <w:rPr>
          <w:rFonts w:hint="eastAsia" w:ascii="黑体" w:hAnsi="黑体" w:eastAsia="黑体" w:cs="宋体"/>
          <w:color w:val="000000"/>
          <w:kern w:val="0"/>
          <w:sz w:val="32"/>
          <w:szCs w:val="32"/>
        </w:rPr>
        <w:t>情况分</w:t>
      </w:r>
      <w:r>
        <w:rPr>
          <w:rFonts w:ascii="黑体" w:hAnsi="黑体" w:eastAsia="黑体" w:cs="宋体"/>
          <w:color w:val="000000"/>
          <w:kern w:val="0"/>
          <w:sz w:val="32"/>
          <w:szCs w:val="32"/>
        </w:rPr>
        <w:t>析</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w:t>
      </w:r>
      <w:r>
        <w:rPr>
          <w:rFonts w:ascii="仿宋_GB2312" w:hAnsi="宋体" w:eastAsia="仿宋_GB2312" w:cs="宋体"/>
          <w:color w:val="000000"/>
          <w:kern w:val="0"/>
          <w:sz w:val="32"/>
          <w:szCs w:val="32"/>
        </w:rPr>
        <w:t>管理制度健全性</w:t>
      </w:r>
    </w:p>
    <w:p>
      <w:pPr>
        <w:pStyle w:val="5"/>
        <w:ind w:firstLine="560"/>
        <w:rPr>
          <w:rFonts w:hint="default" w:ascii="仿宋_GB2312" w:hAnsi="宋体" w:eastAsia="仿宋_GB2312" w:cs="宋体"/>
          <w:color w:val="000000"/>
          <w:kern w:val="0"/>
          <w:sz w:val="32"/>
          <w:szCs w:val="32"/>
          <w:lang w:val="en-US" w:eastAsia="zh-CN"/>
        </w:rPr>
      </w:pPr>
      <w:r>
        <w:rPr>
          <w:rFonts w:hint="eastAsia" w:ascii="仿宋_GB2312" w:hAnsi="仿宋" w:eastAsia="仿宋_GB2312" w:cs="仿宋"/>
          <w:bCs/>
          <w:kern w:val="2"/>
          <w:sz w:val="32"/>
          <w:szCs w:val="32"/>
          <w:lang w:val="en-US" w:eastAsia="zh-CN" w:bidi="ar-SA"/>
        </w:rPr>
        <w:t>为做好预算管理工作，规范预算的执行程序，提高项目执行效率，团结湖街道</w:t>
      </w:r>
      <w:r>
        <w:rPr>
          <w:rFonts w:hint="eastAsia" w:ascii="仿宋_GB2312" w:hAnsi="宋体" w:eastAsia="仿宋_GB2312" w:cs="宋体"/>
          <w:color w:val="000000"/>
          <w:kern w:val="0"/>
          <w:sz w:val="32"/>
          <w:szCs w:val="32"/>
          <w:lang w:val="en-US" w:eastAsia="zh-CN"/>
        </w:rPr>
        <w:t>严格按照内控规范要求，执行各项管理制度，规范经费支出，并接受审计监督。</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2.</w:t>
      </w:r>
      <w:r>
        <w:rPr>
          <w:rFonts w:hint="eastAsia" w:ascii="仿宋_GB2312" w:hAnsi="宋体" w:eastAsia="仿宋_GB2312" w:cs="宋体"/>
          <w:color w:val="000000"/>
          <w:kern w:val="0"/>
          <w:sz w:val="32"/>
          <w:szCs w:val="32"/>
        </w:rPr>
        <w:t>资金使用合规性</w:t>
      </w:r>
      <w:r>
        <w:rPr>
          <w:rFonts w:ascii="仿宋_GB2312" w:hAnsi="宋体" w:eastAsia="仿宋_GB2312" w:cs="宋体"/>
          <w:color w:val="000000"/>
          <w:kern w:val="0"/>
          <w:sz w:val="32"/>
          <w:szCs w:val="32"/>
        </w:rPr>
        <w:t>和安全性</w:t>
      </w:r>
    </w:p>
    <w:p>
      <w:pPr>
        <w:numPr>
          <w:ilvl w:val="0"/>
          <w:numId w:val="0"/>
        </w:numPr>
        <w:spacing w:line="600" w:lineRule="exact"/>
        <w:ind w:firstLine="640" w:firstLineChars="200"/>
        <w:rPr>
          <w:rFonts w:hint="eastAsia"/>
          <w:lang w:val="en-US" w:eastAsia="zh-CN"/>
        </w:rPr>
      </w:pPr>
      <w:r>
        <w:rPr>
          <w:rFonts w:hint="eastAsia" w:ascii="仿宋_GB2312" w:hAnsi="仿宋" w:eastAsia="仿宋_GB2312" w:cs="仿宋"/>
          <w:bCs/>
          <w:kern w:val="2"/>
          <w:sz w:val="32"/>
          <w:szCs w:val="32"/>
          <w:lang w:val="en-US" w:eastAsia="zh-CN" w:bidi="ar-SA"/>
        </w:rPr>
        <w:t>在2023年部门预算管理中，</w:t>
      </w:r>
      <w:r>
        <w:rPr>
          <w:rFonts w:hint="eastAsia" w:ascii="仿宋_GB2312" w:hAnsi="宋体" w:eastAsia="仿宋_GB2312" w:cs="宋体"/>
          <w:color w:val="000000"/>
          <w:kern w:val="0"/>
          <w:sz w:val="32"/>
          <w:szCs w:val="32"/>
          <w:lang w:val="en-US" w:eastAsia="zh-CN"/>
        </w:rPr>
        <w:t>严格按照预算管理要求执行。一方面，从预算编制入手，</w:t>
      </w:r>
      <w:r>
        <w:rPr>
          <w:rFonts w:hint="eastAsia" w:ascii="仿宋_GB2312" w:hAnsi="仿宋" w:eastAsia="仿宋_GB2312" w:cs="仿宋"/>
          <w:bCs/>
          <w:kern w:val="2"/>
          <w:sz w:val="32"/>
          <w:szCs w:val="32"/>
          <w:lang w:val="en-US" w:eastAsia="zh-CN" w:bidi="ar-SA"/>
        </w:rPr>
        <w:t>将厉行节约与部门预算管理相结合，从严从紧编制预算，严格控制“三公经费”等一般性支出。</w:t>
      </w:r>
      <w:r>
        <w:rPr>
          <w:rFonts w:hint="eastAsia" w:ascii="仿宋_GB2312" w:hAnsi="宋体" w:eastAsia="仿宋_GB2312" w:cs="宋体"/>
          <w:color w:val="000000"/>
          <w:kern w:val="0"/>
          <w:sz w:val="32"/>
          <w:szCs w:val="32"/>
          <w:lang w:val="en-US" w:eastAsia="zh-CN"/>
        </w:rPr>
        <w:t>另一方面，不断加强财务管理，规范审批程序，强化内部控制。</w:t>
      </w:r>
      <w:r>
        <w:rPr>
          <w:rFonts w:hint="eastAsia" w:ascii="仿宋_GB2312" w:hAnsi="仿宋" w:eastAsia="仿宋_GB2312" w:cs="仿宋"/>
          <w:bCs/>
          <w:kern w:val="2"/>
          <w:sz w:val="32"/>
          <w:szCs w:val="32"/>
          <w:lang w:val="en-US" w:eastAsia="zh-CN" w:bidi="ar-SA"/>
        </w:rPr>
        <w:t>加大执行环节控制，提高预算资金使用的合规性和安全性，严格按照部门预算批复执行，坚持统筹兼顾、指标控制、从严考核的原则，严格执行专项资金管理制度，不挪用和挤占项目资金，确保资金使用安全。</w:t>
      </w:r>
    </w:p>
    <w:p>
      <w:pPr>
        <w:numPr>
          <w:ilvl w:val="0"/>
          <w:numId w:val="0"/>
        </w:numPr>
        <w:spacing w:line="600" w:lineRule="exact"/>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3.</w:t>
      </w:r>
      <w:r>
        <w:rPr>
          <w:rFonts w:hint="eastAsia" w:ascii="仿宋_GB2312" w:hAnsi="宋体" w:eastAsia="仿宋_GB2312" w:cs="宋体"/>
          <w:color w:val="000000"/>
          <w:kern w:val="0"/>
          <w:sz w:val="32"/>
          <w:szCs w:val="32"/>
        </w:rPr>
        <w:t>会计</w:t>
      </w:r>
      <w:r>
        <w:rPr>
          <w:rFonts w:ascii="仿宋_GB2312" w:hAnsi="宋体" w:eastAsia="仿宋_GB2312" w:cs="宋体"/>
          <w:color w:val="000000"/>
          <w:kern w:val="0"/>
          <w:sz w:val="32"/>
          <w:szCs w:val="32"/>
        </w:rPr>
        <w:t>基础信息完善性</w:t>
      </w:r>
    </w:p>
    <w:p>
      <w:pPr>
        <w:pStyle w:val="5"/>
        <w:ind w:left="0" w:leftChars="0" w:firstLine="640" w:firstLineChars="200"/>
        <w:rPr>
          <w:rFonts w:hint="eastAsia"/>
          <w:lang w:val="en-US" w:eastAsia="zh-CN"/>
        </w:rPr>
      </w:pPr>
      <w:r>
        <w:rPr>
          <w:rFonts w:hint="eastAsia" w:ascii="仿宋_GB2312" w:hAnsi="宋体" w:eastAsia="仿宋_GB2312" w:cs="宋体"/>
          <w:color w:val="000000"/>
          <w:kern w:val="0"/>
          <w:sz w:val="32"/>
          <w:szCs w:val="32"/>
          <w:lang w:val="en-US" w:eastAsia="zh-CN"/>
        </w:rPr>
        <w:t>严格按照政府会计制度开展工作，加强对预算、财务、采购等知识的学习，确保会计核算的规范，</w:t>
      </w:r>
      <w:r>
        <w:rPr>
          <w:rFonts w:hint="eastAsia" w:ascii="仿宋_GB2312" w:hAnsi="仿宋" w:eastAsia="仿宋_GB2312" w:cs="仿宋"/>
          <w:bCs/>
          <w:kern w:val="2"/>
          <w:sz w:val="32"/>
          <w:szCs w:val="32"/>
          <w:lang w:val="en-US" w:eastAsia="zh-CN" w:bidi="ar-SA"/>
        </w:rPr>
        <w:t>保证会计资料准确、完整，部门基础信息管理较好。根据财政局关于做好部门预决算公开的相关要求，及时并完整的向社会公开部门的预决算信息。</w:t>
      </w:r>
    </w:p>
    <w:p>
      <w:pPr>
        <w:numPr>
          <w:ilvl w:val="0"/>
          <w:numId w:val="1"/>
        </w:num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资产管理</w:t>
      </w:r>
    </w:p>
    <w:p>
      <w:pPr>
        <w:numPr>
          <w:ilvl w:val="0"/>
          <w:numId w:val="0"/>
        </w:numPr>
        <w:spacing w:line="600" w:lineRule="exact"/>
        <w:ind w:firstLine="640" w:firstLineChars="200"/>
        <w:rPr>
          <w:rFonts w:hint="eastAsia"/>
          <w:lang w:val="en-US" w:eastAsia="zh-CN"/>
        </w:rPr>
      </w:pPr>
      <w:r>
        <w:rPr>
          <w:rFonts w:hint="eastAsia" w:ascii="仿宋_GB2312" w:hAnsi="宋体" w:eastAsia="仿宋_GB2312" w:cs="宋体"/>
          <w:color w:val="000000"/>
          <w:kern w:val="0"/>
          <w:sz w:val="32"/>
          <w:szCs w:val="32"/>
          <w:lang w:val="en-US" w:eastAsia="zh-CN"/>
        </w:rPr>
        <w:t>严格执行资产管理各项规定，扎实落实资产管理工作。资产配置按存量实行严格的控制管理，强化资产配置的预算理念，细化资产配置的预算编制，规范执行资产采购的审批程序，</w:t>
      </w:r>
      <w:r>
        <w:rPr>
          <w:rFonts w:hint="eastAsia" w:ascii="仿宋_GB2312" w:hAnsi="仿宋" w:eastAsia="仿宋_GB2312" w:cs="仿宋"/>
          <w:bCs/>
          <w:kern w:val="2"/>
          <w:sz w:val="32"/>
          <w:szCs w:val="32"/>
          <w:lang w:val="en-US" w:eastAsia="zh-CN" w:bidi="ar-SA"/>
        </w:rPr>
        <w:t>对不能正常使用并达到最高使用年限的资产进行报废处置。项目单位固定资产管理制度较明确，相关部门和岗位的职责权限明确。</w:t>
      </w:r>
    </w:p>
    <w:p>
      <w:pPr>
        <w:numPr>
          <w:ilvl w:val="0"/>
          <w:numId w:val="1"/>
        </w:num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绩效</w:t>
      </w:r>
      <w:r>
        <w:rPr>
          <w:rFonts w:ascii="楷体_GB2312" w:eastAsia="楷体_GB2312"/>
          <w:sz w:val="32"/>
          <w:szCs w:val="32"/>
        </w:rPr>
        <w:t>管理</w:t>
      </w:r>
    </w:p>
    <w:p>
      <w:pPr>
        <w:numPr>
          <w:ilvl w:val="0"/>
          <w:numId w:val="0"/>
        </w:numPr>
        <w:spacing w:line="600" w:lineRule="exact"/>
        <w:ind w:firstLine="640" w:firstLineChars="200"/>
        <w:rPr>
          <w:rFonts w:hint="eastAsia"/>
          <w:lang w:val="en-US" w:eastAsia="zh-CN"/>
        </w:rPr>
      </w:pPr>
      <w:r>
        <w:rPr>
          <w:rFonts w:hint="eastAsia" w:ascii="仿宋_GB2312" w:hAnsi="宋体" w:eastAsia="仿宋_GB2312" w:cs="宋体"/>
          <w:color w:val="000000"/>
          <w:kern w:val="0"/>
          <w:sz w:val="32"/>
          <w:szCs w:val="32"/>
          <w:lang w:val="en-US" w:eastAsia="zh-CN"/>
        </w:rPr>
        <w:t>按照年度绩效评价工作要求，团结湖街道办事处对 2023年完成的纳入考核范围的项目进行了自评，全部项目均填报了项目支出绩效自评表。从部门预算绩效完成情况看，总体完成较好，财政资金使用效益得到发挥。从评价结果看，项目立项符合部门职责和相关管理制度，制定的项目绩效目标合理，各项工作有序开展，达到了预期目标。</w:t>
      </w:r>
    </w:p>
    <w:p>
      <w:pPr>
        <w:pStyle w:val="5"/>
        <w:ind w:firstLine="560"/>
        <w:rPr>
          <w:rFonts w:hint="eastAsia"/>
          <w:lang w:eastAsia="zh-CN"/>
        </w:rPr>
      </w:pPr>
      <w:r>
        <w:rPr>
          <w:rFonts w:hint="eastAsia" w:ascii="仿宋_GB2312" w:hAnsi="仿宋" w:eastAsia="仿宋_GB2312" w:cs="仿宋"/>
          <w:bCs/>
          <w:kern w:val="2"/>
          <w:sz w:val="32"/>
          <w:szCs w:val="32"/>
          <w:lang w:val="en-US" w:eastAsia="zh-CN" w:bidi="ar-SA"/>
        </w:rPr>
        <w:t>在项目管理方面，在项目实施过程中进行定期和不定期检查，通过规范业务流程，构筑内部监督管理体系。进一步细化项目预算内容和规划目标，针对重点工作内容制定相关专项方案，为合理设定部门整体绩效目标、产出指标、精准编制预算提供可靠依据。</w:t>
      </w:r>
    </w:p>
    <w:p>
      <w:pPr>
        <w:numPr>
          <w:ilvl w:val="0"/>
          <w:numId w:val="1"/>
        </w:numPr>
        <w:spacing w:line="600" w:lineRule="exact"/>
        <w:ind w:left="105" w:leftChars="50" w:firstLine="480" w:firstLineChars="150"/>
        <w:rPr>
          <w:rFonts w:hint="eastAsia" w:ascii="楷体_GB2312" w:eastAsia="楷体_GB2312"/>
          <w:color w:val="auto"/>
          <w:sz w:val="32"/>
          <w:szCs w:val="32"/>
        </w:rPr>
      </w:pPr>
      <w:r>
        <w:rPr>
          <w:rFonts w:hint="eastAsia" w:ascii="楷体_GB2312" w:eastAsia="楷体_GB2312"/>
          <w:color w:val="auto"/>
          <w:sz w:val="32"/>
          <w:szCs w:val="32"/>
        </w:rPr>
        <w:t>结转结余率</w:t>
      </w:r>
    </w:p>
    <w:p>
      <w:pPr>
        <w:numPr>
          <w:ilvl w:val="0"/>
          <w:numId w:val="0"/>
        </w:numPr>
        <w:spacing w:line="600" w:lineRule="exact"/>
        <w:ind w:firstLine="640" w:firstLineChars="200"/>
        <w:rPr>
          <w:rFonts w:hint="default"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2023年预算年末结转结余305.385766万元，本年结转结余率为2.2%。上年财政资金结转支出311.6305万元，比上年减少6.244734万元。</w:t>
      </w:r>
    </w:p>
    <w:p>
      <w:pPr>
        <w:numPr>
          <w:ilvl w:val="0"/>
          <w:numId w:val="1"/>
        </w:numPr>
        <w:spacing w:line="600" w:lineRule="exact"/>
        <w:ind w:left="105" w:leftChars="50" w:firstLine="480" w:firstLineChars="150"/>
        <w:rPr>
          <w:rFonts w:hint="eastAsia" w:ascii="楷体_GB2312" w:eastAsia="楷体_GB2312"/>
          <w:color w:val="auto"/>
          <w:sz w:val="32"/>
          <w:szCs w:val="32"/>
        </w:rPr>
      </w:pPr>
      <w:r>
        <w:rPr>
          <w:rFonts w:hint="eastAsia" w:ascii="楷体_GB2312" w:eastAsia="楷体_GB2312"/>
          <w:color w:val="auto"/>
          <w:sz w:val="32"/>
          <w:szCs w:val="32"/>
        </w:rPr>
        <w:t>部门预决算差异率</w:t>
      </w:r>
    </w:p>
    <w:p>
      <w:pPr>
        <w:numPr>
          <w:ilvl w:val="0"/>
          <w:numId w:val="0"/>
        </w:numPr>
        <w:spacing w:line="600" w:lineRule="exact"/>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2023年，年初全年预算数为14137.995957万元，年末2023年度全年部门决算数为14137.995957万元，部门预决算差异率为0%。</w:t>
      </w:r>
      <w:bookmarkStart w:id="1" w:name="_GoBack"/>
      <w:bookmarkEnd w:id="1"/>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w:t>
      </w:r>
      <w:r>
        <w:rPr>
          <w:rFonts w:ascii="黑体" w:hAnsi="黑体" w:eastAsia="黑体"/>
          <w:sz w:val="32"/>
          <w:szCs w:val="32"/>
        </w:rPr>
        <w:t>评价结论</w:t>
      </w:r>
    </w:p>
    <w:p>
      <w:p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（一）评价</w:t>
      </w:r>
      <w:r>
        <w:rPr>
          <w:rFonts w:ascii="楷体_GB2312" w:eastAsia="楷体_GB2312"/>
          <w:sz w:val="32"/>
          <w:szCs w:val="32"/>
        </w:rPr>
        <w:t>得分</w:t>
      </w:r>
      <w:r>
        <w:rPr>
          <w:rFonts w:hint="eastAsia" w:ascii="楷体_GB2312" w:eastAsia="楷体_GB2312"/>
          <w:sz w:val="32"/>
          <w:szCs w:val="32"/>
        </w:rPr>
        <w:t>情况</w:t>
      </w:r>
    </w:p>
    <w:p>
      <w:pPr>
        <w:numPr>
          <w:ilvl w:val="0"/>
          <w:numId w:val="0"/>
        </w:numPr>
        <w:spacing w:line="600" w:lineRule="exact"/>
        <w:ind w:firstLine="640" w:firstLineChars="200"/>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经评价，2023年度部门整体支出绩效评价结果为“优秀”。在产出进度方面整体项目进度符合预期，绝大部分项目完成了100%支出；从效果实现角度来看，各项指标基本顺利完成，经济效益和社会效益指标完成情况较好，能够从实际问题出发制定项目指标。在项目推进过程中，除了对于资金使用情况的跟踪外，我们也不忘跟踪服务对象的满意度，以便我们可以更高效的推进项目。</w:t>
      </w:r>
    </w:p>
    <w:p>
      <w:pPr>
        <w:numPr>
          <w:ilvl w:val="0"/>
          <w:numId w:val="2"/>
        </w:numPr>
        <w:spacing w:line="600" w:lineRule="exact"/>
        <w:ind w:left="105" w:leftChars="50" w:firstLine="480" w:firstLineChars="150"/>
        <w:rPr>
          <w:rFonts w:hint="eastAsia" w:ascii="楷体_GB2312" w:eastAsia="楷体_GB2312"/>
          <w:sz w:val="32"/>
          <w:szCs w:val="32"/>
        </w:rPr>
      </w:pPr>
      <w:r>
        <w:rPr>
          <w:rFonts w:hint="eastAsia" w:ascii="楷体_GB2312" w:eastAsia="楷体_GB2312"/>
          <w:sz w:val="32"/>
          <w:szCs w:val="32"/>
        </w:rPr>
        <w:t>存在的问题及原因分析</w:t>
      </w:r>
    </w:p>
    <w:p>
      <w:pPr>
        <w:pStyle w:val="2"/>
        <w:numPr>
          <w:ilvl w:val="0"/>
          <w:numId w:val="0"/>
        </w:numPr>
        <w:ind w:firstLine="640" w:firstLineChars="200"/>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项目实施方案需进一步健全完善，应结合具体项目实施特点，形成项目实施工作方案，进一步明确实施部门责任。</w:t>
      </w:r>
    </w:p>
    <w:p>
      <w:pPr>
        <w:pStyle w:val="2"/>
        <w:numPr>
          <w:ilvl w:val="0"/>
          <w:numId w:val="0"/>
        </w:numPr>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项目执行的绩效资料收集、整理需进一步强化,重点项目开展对象满意度调查，更加全面地搜集项目效益效果资料。</w:t>
      </w:r>
    </w:p>
    <w:p>
      <w:pPr>
        <w:numPr>
          <w:ilvl w:val="0"/>
          <w:numId w:val="3"/>
        </w:num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措施建议</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一、强化绩效管理意识，相关部门定期开展绩效管理工作指导，使得项目负责部门明确责任意识和绩效管理的重要性，并在部门内制定相应的绩效管理措施。</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二、建立数据共享平台，推动绩效管理信息化进程。将绩效管理与财务管理、工程管理、等进行数据共享，为绩效管理提供可参考依据。</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三、健全完善项目实施方案和管理制度。明确项目管理要素，合理安排项目人员分工、进度计划，加强项目实施过程控制及监督管理。</w:t>
      </w:r>
    </w:p>
    <w:p>
      <w:pPr>
        <w:numPr>
          <w:ilvl w:val="0"/>
          <w:numId w:val="0"/>
        </w:numPr>
        <w:spacing w:line="600" w:lineRule="exact"/>
        <w:ind w:firstLine="640" w:firstLineChars="200"/>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四、注重项目效益指标的实现情况，选择适当的方式、方法，全面开展服务对象满意度调查及分析，充分反映项目服务对象满意度。</w:t>
      </w:r>
    </w:p>
    <w:p>
      <w:pPr>
        <w:numPr>
          <w:ilvl w:val="0"/>
          <w:numId w:val="0"/>
        </w:numPr>
        <w:spacing w:line="600" w:lineRule="exact"/>
        <w:ind w:firstLine="640" w:firstLineChars="200"/>
        <w:jc w:val="right"/>
        <w:rPr>
          <w:rFonts w:hint="eastAsia" w:ascii="仿宋_GB2312" w:hAnsi="宋体" w:eastAsia="仿宋_GB2312" w:cs="宋体"/>
          <w:color w:val="000000"/>
          <w:kern w:val="0"/>
          <w:sz w:val="32"/>
          <w:szCs w:val="32"/>
          <w:lang w:val="en-US" w:eastAsia="zh-CN"/>
        </w:rPr>
      </w:pPr>
    </w:p>
    <w:p>
      <w:pPr>
        <w:numPr>
          <w:ilvl w:val="0"/>
          <w:numId w:val="0"/>
        </w:numPr>
        <w:spacing w:line="600" w:lineRule="exact"/>
        <w:ind w:firstLine="640" w:firstLineChars="200"/>
        <w:jc w:val="right"/>
        <w:rPr>
          <w:rFonts w:hint="eastAsia"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团结湖街道办事处</w:t>
      </w:r>
    </w:p>
    <w:p>
      <w:pPr>
        <w:numPr>
          <w:ilvl w:val="0"/>
          <w:numId w:val="0"/>
        </w:numPr>
        <w:spacing w:line="600" w:lineRule="exact"/>
        <w:ind w:firstLine="640" w:firstLineChars="200"/>
        <w:jc w:val="right"/>
        <w:rPr>
          <w:rFonts w:hint="default" w:ascii="仿宋_GB2312" w:hAnsi="宋体" w:eastAsia="仿宋_GB2312" w:cs="宋体"/>
          <w:color w:val="000000"/>
          <w:kern w:val="0"/>
          <w:sz w:val="32"/>
          <w:szCs w:val="32"/>
          <w:lang w:val="en-US" w:eastAsia="zh-CN"/>
        </w:rPr>
      </w:pPr>
      <w:r>
        <w:rPr>
          <w:rFonts w:hint="eastAsia" w:ascii="仿宋_GB2312" w:hAnsi="宋体" w:eastAsia="仿宋_GB2312" w:cs="宋体"/>
          <w:color w:val="000000"/>
          <w:kern w:val="0"/>
          <w:sz w:val="32"/>
          <w:szCs w:val="32"/>
          <w:lang w:val="en-US" w:eastAsia="zh-CN"/>
        </w:rPr>
        <w:t>2024年3月14日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书宋_GBK">
    <w:altName w:val="Arial Unicode MS"/>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方正仿宋_GBK">
    <w:altName w:val="Arial Unicode MS"/>
    <w:panose1 w:val="02000000000000000000"/>
    <w:charset w:val="86"/>
    <w:family w:val="auto"/>
    <w:pitch w:val="default"/>
    <w:sig w:usb0="00000000" w:usb1="00000000" w:usb2="00000000" w:usb3="00000000" w:csb0="00040000" w:csb1="00000000"/>
  </w:font>
  <w:font w:name="方正黑体_GBK">
    <w:altName w:val="Arial Unicode MS"/>
    <w:panose1 w:val="02000000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1E4B7F"/>
    <w:multiLevelType w:val="singleLevel"/>
    <w:tmpl w:val="A31E4B7F"/>
    <w:lvl w:ilvl="0" w:tentative="0">
      <w:start w:val="2"/>
      <w:numFmt w:val="chineseCounting"/>
      <w:suff w:val="nothing"/>
      <w:lvlText w:val="（%1）"/>
      <w:lvlJc w:val="left"/>
      <w:rPr>
        <w:rFonts w:hint="eastAsia"/>
      </w:rPr>
    </w:lvl>
  </w:abstractNum>
  <w:abstractNum w:abstractNumId="1">
    <w:nsid w:val="DEF764AF"/>
    <w:multiLevelType w:val="singleLevel"/>
    <w:tmpl w:val="DEF764AF"/>
    <w:lvl w:ilvl="0" w:tentative="0">
      <w:start w:val="6"/>
      <w:numFmt w:val="chineseCounting"/>
      <w:suff w:val="nothing"/>
      <w:lvlText w:val="%1、"/>
      <w:lvlJc w:val="left"/>
      <w:rPr>
        <w:rFonts w:hint="eastAsia"/>
      </w:rPr>
    </w:lvl>
  </w:abstractNum>
  <w:abstractNum w:abstractNumId="2">
    <w:nsid w:val="40D17CED"/>
    <w:multiLevelType w:val="singleLevel"/>
    <w:tmpl w:val="40D17CED"/>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F12E6"/>
    <w:rsid w:val="00656FAD"/>
    <w:rsid w:val="00A71435"/>
    <w:rsid w:val="00E02858"/>
    <w:rsid w:val="013B34B0"/>
    <w:rsid w:val="030C413C"/>
    <w:rsid w:val="03261D84"/>
    <w:rsid w:val="03EC4D1A"/>
    <w:rsid w:val="041E02AC"/>
    <w:rsid w:val="04256A7D"/>
    <w:rsid w:val="04906170"/>
    <w:rsid w:val="04FE5591"/>
    <w:rsid w:val="05240264"/>
    <w:rsid w:val="05AB5BA3"/>
    <w:rsid w:val="05C96305"/>
    <w:rsid w:val="0616782B"/>
    <w:rsid w:val="06AE2CEB"/>
    <w:rsid w:val="07254F84"/>
    <w:rsid w:val="073E678F"/>
    <w:rsid w:val="07FC6F23"/>
    <w:rsid w:val="0853789B"/>
    <w:rsid w:val="086C6510"/>
    <w:rsid w:val="09F14627"/>
    <w:rsid w:val="0AC44106"/>
    <w:rsid w:val="0C0200AD"/>
    <w:rsid w:val="0C8C29EB"/>
    <w:rsid w:val="0CA50E3D"/>
    <w:rsid w:val="0D3A01C5"/>
    <w:rsid w:val="0DF520BD"/>
    <w:rsid w:val="0E371336"/>
    <w:rsid w:val="0E9876C9"/>
    <w:rsid w:val="0EA53463"/>
    <w:rsid w:val="0F2C524B"/>
    <w:rsid w:val="0FBF132A"/>
    <w:rsid w:val="10232B37"/>
    <w:rsid w:val="10CC33E7"/>
    <w:rsid w:val="11031471"/>
    <w:rsid w:val="11235C01"/>
    <w:rsid w:val="117431DB"/>
    <w:rsid w:val="120069E4"/>
    <w:rsid w:val="123C471B"/>
    <w:rsid w:val="125A1B5B"/>
    <w:rsid w:val="14327C1E"/>
    <w:rsid w:val="143A663E"/>
    <w:rsid w:val="144431CB"/>
    <w:rsid w:val="15942A08"/>
    <w:rsid w:val="164F0C34"/>
    <w:rsid w:val="16763F94"/>
    <w:rsid w:val="16C66AD3"/>
    <w:rsid w:val="17425722"/>
    <w:rsid w:val="17C12315"/>
    <w:rsid w:val="17D23BE9"/>
    <w:rsid w:val="17DE2049"/>
    <w:rsid w:val="181A473D"/>
    <w:rsid w:val="1969204B"/>
    <w:rsid w:val="197A1B1E"/>
    <w:rsid w:val="19A1571A"/>
    <w:rsid w:val="19B52226"/>
    <w:rsid w:val="19C40715"/>
    <w:rsid w:val="1A5E2A08"/>
    <w:rsid w:val="1A630ECC"/>
    <w:rsid w:val="1A955C5E"/>
    <w:rsid w:val="1AF245D0"/>
    <w:rsid w:val="1BA300D0"/>
    <w:rsid w:val="1C0D6CEF"/>
    <w:rsid w:val="1C0F6988"/>
    <w:rsid w:val="1C2D0C88"/>
    <w:rsid w:val="1C455726"/>
    <w:rsid w:val="1C613BA1"/>
    <w:rsid w:val="1D631CC9"/>
    <w:rsid w:val="1D6D2561"/>
    <w:rsid w:val="1DCA2EAE"/>
    <w:rsid w:val="1DEA7175"/>
    <w:rsid w:val="1F5B61E8"/>
    <w:rsid w:val="1F606B6A"/>
    <w:rsid w:val="201C12D1"/>
    <w:rsid w:val="201F1B43"/>
    <w:rsid w:val="205A1C77"/>
    <w:rsid w:val="20782094"/>
    <w:rsid w:val="20CA4C14"/>
    <w:rsid w:val="21D171EB"/>
    <w:rsid w:val="22347B7F"/>
    <w:rsid w:val="23933105"/>
    <w:rsid w:val="2474413A"/>
    <w:rsid w:val="24DF6E2F"/>
    <w:rsid w:val="24E541F8"/>
    <w:rsid w:val="250523CD"/>
    <w:rsid w:val="2540322B"/>
    <w:rsid w:val="257F7414"/>
    <w:rsid w:val="25DA5887"/>
    <w:rsid w:val="25E77D8A"/>
    <w:rsid w:val="267D3862"/>
    <w:rsid w:val="26B34514"/>
    <w:rsid w:val="27466CC2"/>
    <w:rsid w:val="27F439FF"/>
    <w:rsid w:val="28014A1C"/>
    <w:rsid w:val="28E90251"/>
    <w:rsid w:val="29613BAC"/>
    <w:rsid w:val="298E0B7C"/>
    <w:rsid w:val="2A780F3F"/>
    <w:rsid w:val="2A895C4F"/>
    <w:rsid w:val="2AA26C50"/>
    <w:rsid w:val="2ACF155E"/>
    <w:rsid w:val="2B024CC6"/>
    <w:rsid w:val="2B762899"/>
    <w:rsid w:val="2B920241"/>
    <w:rsid w:val="2BBA6926"/>
    <w:rsid w:val="2C2438DA"/>
    <w:rsid w:val="2C4213B3"/>
    <w:rsid w:val="2C8D0812"/>
    <w:rsid w:val="2CFD57D8"/>
    <w:rsid w:val="2DF41A41"/>
    <w:rsid w:val="2DFF0152"/>
    <w:rsid w:val="2E232E29"/>
    <w:rsid w:val="2E3A5E62"/>
    <w:rsid w:val="2ED53547"/>
    <w:rsid w:val="2EDF2311"/>
    <w:rsid w:val="2F575922"/>
    <w:rsid w:val="2FC61D96"/>
    <w:rsid w:val="304B1BC9"/>
    <w:rsid w:val="34425BBB"/>
    <w:rsid w:val="34437009"/>
    <w:rsid w:val="35D70840"/>
    <w:rsid w:val="35DB029D"/>
    <w:rsid w:val="35FA48CC"/>
    <w:rsid w:val="35FC25EA"/>
    <w:rsid w:val="36332F20"/>
    <w:rsid w:val="36DC3C50"/>
    <w:rsid w:val="383E3EFA"/>
    <w:rsid w:val="3889456F"/>
    <w:rsid w:val="39640B3A"/>
    <w:rsid w:val="39DF5B41"/>
    <w:rsid w:val="39E10B3E"/>
    <w:rsid w:val="3AFB425E"/>
    <w:rsid w:val="3B0B4A13"/>
    <w:rsid w:val="3B2827D8"/>
    <w:rsid w:val="3CDD60F0"/>
    <w:rsid w:val="3D0177F4"/>
    <w:rsid w:val="3D3859CC"/>
    <w:rsid w:val="3D772B02"/>
    <w:rsid w:val="3D8F3E49"/>
    <w:rsid w:val="3DBF547E"/>
    <w:rsid w:val="3E2279D0"/>
    <w:rsid w:val="3E51240B"/>
    <w:rsid w:val="3E6B5B54"/>
    <w:rsid w:val="3E8505FD"/>
    <w:rsid w:val="3F074A14"/>
    <w:rsid w:val="3FE73E47"/>
    <w:rsid w:val="400A5A19"/>
    <w:rsid w:val="402E4995"/>
    <w:rsid w:val="40460C33"/>
    <w:rsid w:val="40784C54"/>
    <w:rsid w:val="411D38F8"/>
    <w:rsid w:val="41D93C59"/>
    <w:rsid w:val="43486C03"/>
    <w:rsid w:val="43AF7364"/>
    <w:rsid w:val="440200E8"/>
    <w:rsid w:val="44741E84"/>
    <w:rsid w:val="44C51866"/>
    <w:rsid w:val="45A907EC"/>
    <w:rsid w:val="45F03C35"/>
    <w:rsid w:val="46C272FC"/>
    <w:rsid w:val="46D7500A"/>
    <w:rsid w:val="4710633F"/>
    <w:rsid w:val="477F457E"/>
    <w:rsid w:val="47EA3B6D"/>
    <w:rsid w:val="48AE33C7"/>
    <w:rsid w:val="49076A93"/>
    <w:rsid w:val="4A8437C9"/>
    <w:rsid w:val="4AA2317A"/>
    <w:rsid w:val="4ACD5626"/>
    <w:rsid w:val="4B680C8C"/>
    <w:rsid w:val="4BB65F3F"/>
    <w:rsid w:val="4D0D64A2"/>
    <w:rsid w:val="4EA3205C"/>
    <w:rsid w:val="4ECB7DCE"/>
    <w:rsid w:val="50001FA0"/>
    <w:rsid w:val="502957EF"/>
    <w:rsid w:val="50403D64"/>
    <w:rsid w:val="50A43B3E"/>
    <w:rsid w:val="510916DE"/>
    <w:rsid w:val="51304F6C"/>
    <w:rsid w:val="51401A76"/>
    <w:rsid w:val="51BC7E22"/>
    <w:rsid w:val="51D758FA"/>
    <w:rsid w:val="52A93A5C"/>
    <w:rsid w:val="54BC47B8"/>
    <w:rsid w:val="559B44A4"/>
    <w:rsid w:val="56BD58B3"/>
    <w:rsid w:val="56CA4461"/>
    <w:rsid w:val="57163BF6"/>
    <w:rsid w:val="577804AD"/>
    <w:rsid w:val="578E36F3"/>
    <w:rsid w:val="58192705"/>
    <w:rsid w:val="585B190E"/>
    <w:rsid w:val="587B0521"/>
    <w:rsid w:val="589C2F79"/>
    <w:rsid w:val="58BA1D6C"/>
    <w:rsid w:val="593D7F29"/>
    <w:rsid w:val="595520F1"/>
    <w:rsid w:val="59C072EF"/>
    <w:rsid w:val="59F52282"/>
    <w:rsid w:val="5A9A6130"/>
    <w:rsid w:val="5AE84AC1"/>
    <w:rsid w:val="5BDF2814"/>
    <w:rsid w:val="5C757195"/>
    <w:rsid w:val="5CFA2710"/>
    <w:rsid w:val="5D046E4F"/>
    <w:rsid w:val="5D4E409E"/>
    <w:rsid w:val="5DB10A2D"/>
    <w:rsid w:val="5E9F3A68"/>
    <w:rsid w:val="5ED72B45"/>
    <w:rsid w:val="5F5973D1"/>
    <w:rsid w:val="5FC509D0"/>
    <w:rsid w:val="5FE67647"/>
    <w:rsid w:val="605819B5"/>
    <w:rsid w:val="60863607"/>
    <w:rsid w:val="60890D9A"/>
    <w:rsid w:val="60AF2A71"/>
    <w:rsid w:val="60BB4473"/>
    <w:rsid w:val="611C5E2D"/>
    <w:rsid w:val="617338B3"/>
    <w:rsid w:val="62551E39"/>
    <w:rsid w:val="62A316A5"/>
    <w:rsid w:val="64152BB6"/>
    <w:rsid w:val="646F6853"/>
    <w:rsid w:val="647C207A"/>
    <w:rsid w:val="64984AC8"/>
    <w:rsid w:val="649D7B59"/>
    <w:rsid w:val="64A85ED1"/>
    <w:rsid w:val="64B46811"/>
    <w:rsid w:val="65256814"/>
    <w:rsid w:val="65673DDE"/>
    <w:rsid w:val="66180540"/>
    <w:rsid w:val="664D32A1"/>
    <w:rsid w:val="669A0045"/>
    <w:rsid w:val="66A401D6"/>
    <w:rsid w:val="66F62D2E"/>
    <w:rsid w:val="672356F6"/>
    <w:rsid w:val="675B4115"/>
    <w:rsid w:val="6782372A"/>
    <w:rsid w:val="684022E4"/>
    <w:rsid w:val="6851314E"/>
    <w:rsid w:val="688B5D9D"/>
    <w:rsid w:val="68C72FD8"/>
    <w:rsid w:val="69A82550"/>
    <w:rsid w:val="69BF12E6"/>
    <w:rsid w:val="69E45C43"/>
    <w:rsid w:val="6A64096B"/>
    <w:rsid w:val="6B3648F9"/>
    <w:rsid w:val="6B7C5EEC"/>
    <w:rsid w:val="6BF8639A"/>
    <w:rsid w:val="6C5D5424"/>
    <w:rsid w:val="6D0C7E3C"/>
    <w:rsid w:val="6D780256"/>
    <w:rsid w:val="6DC442CC"/>
    <w:rsid w:val="6E1D19EA"/>
    <w:rsid w:val="6E3F4D40"/>
    <w:rsid w:val="6E530E10"/>
    <w:rsid w:val="6E6C3F0A"/>
    <w:rsid w:val="6E856313"/>
    <w:rsid w:val="6ECB53CA"/>
    <w:rsid w:val="6EE6300B"/>
    <w:rsid w:val="6EF24787"/>
    <w:rsid w:val="6F522F17"/>
    <w:rsid w:val="6F651433"/>
    <w:rsid w:val="701E6FAC"/>
    <w:rsid w:val="70344644"/>
    <w:rsid w:val="70A871BB"/>
    <w:rsid w:val="70E7237E"/>
    <w:rsid w:val="71763E88"/>
    <w:rsid w:val="71A86069"/>
    <w:rsid w:val="72197AE7"/>
    <w:rsid w:val="72A02374"/>
    <w:rsid w:val="72E568BC"/>
    <w:rsid w:val="72EC7EB3"/>
    <w:rsid w:val="73776B89"/>
    <w:rsid w:val="73783A77"/>
    <w:rsid w:val="737A4B17"/>
    <w:rsid w:val="748C0CCE"/>
    <w:rsid w:val="74D71669"/>
    <w:rsid w:val="74FB1AA4"/>
    <w:rsid w:val="75820B05"/>
    <w:rsid w:val="75EF589C"/>
    <w:rsid w:val="77365655"/>
    <w:rsid w:val="779948DE"/>
    <w:rsid w:val="77C66DF3"/>
    <w:rsid w:val="77ED1B16"/>
    <w:rsid w:val="782F6F0C"/>
    <w:rsid w:val="78926818"/>
    <w:rsid w:val="79AB27D7"/>
    <w:rsid w:val="79F724A0"/>
    <w:rsid w:val="7AF70223"/>
    <w:rsid w:val="7B3B64E5"/>
    <w:rsid w:val="7B971CAD"/>
    <w:rsid w:val="7BC75765"/>
    <w:rsid w:val="7C672EE5"/>
    <w:rsid w:val="7D9704F1"/>
    <w:rsid w:val="7DE4118A"/>
    <w:rsid w:val="7DE66E27"/>
    <w:rsid w:val="7E4430EB"/>
    <w:rsid w:val="7E8B1F68"/>
    <w:rsid w:val="7EC342BA"/>
    <w:rsid w:val="7FA3366F"/>
    <w:rsid w:val="7FAC2D62"/>
    <w:rsid w:val="7FB85604"/>
    <w:rsid w:val="7FCD4631"/>
    <w:rsid w:val="7FCF2F14"/>
    <w:rsid w:val="7FFC47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keepNext/>
      <w:keepLines/>
      <w:ind w:firstLine="0" w:firstLineChars="0"/>
      <w:jc w:val="center"/>
      <w:outlineLvl w:val="1"/>
    </w:pPr>
    <w:rPr>
      <w:rFonts w:ascii="Cambria" w:hAnsi="Cambria" w:cs="Cambria"/>
      <w:sz w:val="36"/>
      <w:szCs w:val="36"/>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widowControl/>
      <w:autoSpaceDE w:val="0"/>
      <w:autoSpaceDN w:val="0"/>
      <w:adjustRightInd w:val="0"/>
      <w:spacing w:line="312" w:lineRule="atLeast"/>
      <w:ind w:firstLine="540"/>
      <w:textAlignment w:val="bottom"/>
    </w:pPr>
    <w:rPr>
      <w:rFonts w:eastAsia="黑体"/>
      <w:kern w:val="0"/>
      <w:sz w:val="32"/>
      <w:szCs w:val="20"/>
    </w:rPr>
  </w:style>
  <w:style w:type="paragraph" w:styleId="5">
    <w:name w:val="Normal Indent"/>
    <w:basedOn w:val="1"/>
    <w:qFormat/>
    <w:uiPriority w:val="0"/>
    <w:pPr>
      <w:ind w:firstLine="200" w:firstLineChars="20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2023-01-11T09:12:00Z</dcterms:created>
  <dc:creator>Administrator</dc:creator>
  <cp:lastModifiedBy>北京市朝阳区团结湖街道社区服务中心</cp:lastModifiedBy>
  <cp:lastPrinted>2023-02-01T02:12:00Z</cp:lastPrinted>
  <dcterms:modified xsi:type="dcterms:W3CDTF">2024-12-18T02:32:52Z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