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朝阳区人民政府大屯街道办事处2021年政府信息公开工作年度报告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2021年，大屯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以习近平新时代中国特色社会主义思想为指导，深入贯彻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十九大和十九届二中、三中、四中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及六中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全会精神，</w:t>
      </w:r>
      <w:r>
        <w:rPr>
          <w:rFonts w:eastAsia="仿宋_GB2312"/>
          <w:color w:val="000000"/>
          <w:sz w:val="32"/>
          <w:szCs w:val="32"/>
        </w:rPr>
        <w:t>认真落实党中央、国务院、市委市政府、区委区政府关于全面推进政务公开工作的系列部署，</w:t>
      </w:r>
      <w:r>
        <w:rPr>
          <w:rFonts w:hint="eastAsia" w:eastAsia="仿宋_GB2312"/>
          <w:color w:val="000000"/>
          <w:sz w:val="32"/>
          <w:szCs w:val="32"/>
        </w:rPr>
        <w:t>全面落实</w:t>
      </w:r>
      <w:r>
        <w:rPr>
          <w:rFonts w:eastAsia="仿宋_GB2312"/>
          <w:color w:val="000000"/>
          <w:sz w:val="32"/>
          <w:szCs w:val="32"/>
        </w:rPr>
        <w:t>《中华人民共和国政府信息公开条例》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积极回应人民群众对于政府信息公开的需求，确保人民群众依法获取政府信息，</w:t>
      </w:r>
      <w:r>
        <w:rPr>
          <w:rFonts w:eastAsia="仿宋_GB2312"/>
          <w:color w:val="000000"/>
          <w:sz w:val="32"/>
          <w:szCs w:val="32"/>
        </w:rPr>
        <w:t>围绕街道</w:t>
      </w:r>
      <w:r>
        <w:rPr>
          <w:rFonts w:hint="eastAsia" w:eastAsia="仿宋_GB2312"/>
          <w:color w:val="000000"/>
          <w:sz w:val="32"/>
          <w:szCs w:val="32"/>
        </w:rPr>
        <w:t>主体</w:t>
      </w:r>
      <w:r>
        <w:rPr>
          <w:rFonts w:eastAsia="仿宋_GB2312"/>
          <w:color w:val="000000"/>
          <w:sz w:val="32"/>
          <w:szCs w:val="32"/>
        </w:rPr>
        <w:t>工作，全面推进决策、执行、管理、服务、结果公开，加强政策解读、扩大公众参与，</w:t>
      </w:r>
      <w:r>
        <w:rPr>
          <w:rFonts w:hint="eastAsia" w:eastAsia="仿宋_GB2312"/>
          <w:color w:val="000000"/>
          <w:sz w:val="32"/>
          <w:szCs w:val="32"/>
        </w:rPr>
        <w:t>有序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开展</w:t>
      </w:r>
      <w:r>
        <w:rPr>
          <w:rFonts w:hint="eastAsia" w:eastAsia="仿宋_GB2312"/>
          <w:color w:val="000000"/>
          <w:sz w:val="32"/>
          <w:szCs w:val="32"/>
        </w:rPr>
        <w:t>政府信息公开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主动公开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情况。202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年，我街道通过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朝阳区人民政府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信息专栏、电子公示屏等平台，与街道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《大屯之声》社区报、《今日大屯》微信公众号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配合，主动公开基层动态信息，涉及日常工作、领导信息、机构职能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疫情防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控、民生保障</w:t>
      </w:r>
      <w:r>
        <w:rPr>
          <w:rFonts w:hint="eastAsia" w:eastAsia="仿宋_GB2312"/>
          <w:color w:val="000000"/>
          <w:sz w:val="32"/>
          <w:szCs w:val="32"/>
        </w:rPr>
        <w:t>等内容；</w:t>
      </w:r>
      <w:r>
        <w:rPr>
          <w:rFonts w:eastAsia="仿宋_GB2312"/>
          <w:color w:val="000000"/>
          <w:kern w:val="0"/>
          <w:sz w:val="32"/>
          <w:szCs w:val="32"/>
        </w:rPr>
        <w:t>以政务服务大厅为媒介，设立信息查阅点，发放便民手册，开设政府信息公开服务窗口。在服务大厅配备电子触摸屏，通过先进的电子设备与网络链接，发布同步更新公开信息。努力实现信息“应公开、尽公开”。围绕公开内容、公开程序、权利救济途径等，加强政策解读和公众参与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（二）依申请公开情况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年，我街道年共收到政府信息公开申请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已按时办结。我街道坚持“公开、透明、便民”的原则，由综合办公室牵头各相关业务科室，由业务科室提供申请内容，通过综合办公室统一回复。</w:t>
      </w:r>
    </w:p>
    <w:p>
      <w:pPr>
        <w:widowControl/>
        <w:spacing w:line="560" w:lineRule="exact"/>
        <w:ind w:firstLine="675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（三）行政执法公开情况。我街道确保能够</w:t>
      </w:r>
      <w:r>
        <w:rPr>
          <w:rFonts w:hint="eastAsia" w:eastAsia="仿宋_GB2312"/>
          <w:color w:val="000000"/>
          <w:sz w:val="32"/>
          <w:szCs w:val="32"/>
        </w:rPr>
        <w:t>及时、准确对行政许可和行政处罚进行“双公示”，对每个季度的“双随机、一公开”抽查事项和检查结果进行公开，保障公民、法人和其他组织对行政执法的知情权和监督权，切实做到依法行政，行政执法的法律效果和社会效果明显改善。此外，我街道对外公开的联系电话为二十四小时值班电话，坚持首问负责，努力做到有问必答、有疑必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主动公开政府信息情况</w:t>
      </w: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tbl>
      <w:tblPr>
        <w:tblStyle w:val="8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rFonts w:hint="default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8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widowControl/>
        <w:ind w:left="420" w:leftChars="200"/>
        <w:rPr>
          <w:rFonts w:hint="default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1 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 w:eastAsia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 w:eastAsia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hAnsi="Times New Roman" w:cs="Times New Roman" w:asciiTheme="minorAscii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hAnsi="Times New Roman" w:cs="Times New Roman" w:asciiTheme="minorAscii"/>
                <w:sz w:val="20"/>
                <w:szCs w:val="20"/>
                <w:highlight w:val="none"/>
              </w:rPr>
            </w:pP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hAnsi="Times New Roman" w:eastAsia="黑体" w:cs="Times New Roman" w:asciiTheme="minorAscii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hAnsi="Times New Roman" w:eastAsia="宋体" w:cs="Times New Roman" w:asciiTheme="minorAscii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hAnsi="Times New Roman" w:eastAsia="宋体" w:cs="Times New Roman" w:asciiTheme="minorAscii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街道政府信息和政务公开工作取得了一定成效，但仍存在一些不足。一是对</w:t>
      </w:r>
      <w:r>
        <w:rPr>
          <w:rFonts w:eastAsia="仿宋_GB2312"/>
          <w:color w:val="000000"/>
          <w:sz w:val="32"/>
          <w:szCs w:val="32"/>
        </w:rPr>
        <w:t>《中华人民共和国政府信息公开条例》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学习不够透彻，在工作过程中对政策、条例的实施有待加强。二是政务公开和政府信息公开宣传力度有待进一步加强。居民对政府信息公开，多数通过电话咨询。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2022年，街道将全力为保障公众知情权、提高政府工作透明度、建设法治政府做好服务。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一是加强相关人员对</w:t>
      </w:r>
      <w:r>
        <w:rPr>
          <w:rFonts w:eastAsia="仿宋_GB2312"/>
          <w:color w:val="000000"/>
          <w:sz w:val="32"/>
          <w:szCs w:val="32"/>
        </w:rPr>
        <w:t>《中华人民共和国政府信息公开条例》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的学习，认真落实上级关于推进重点领域政府信息公开的系列决策部署。二是推动公众参与。推进政务公开工作向社区延伸，提高政府信息公开的知晓率，在规定的政务公开范围内，扩大政府信息的宣传力和影响力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72" w:firstLineChars="200"/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本年度未收取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信息处理费。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本报告所列数据的统计期限,自202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年1月1日起至12月31日止。本报告的电子版可登录“朝阳区政府门户网站（“北京·朝阳”http://www.bjchy.gov.cn/——政府信息公开栏目——政府信息公开年报”下载查阅）。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e眠副浡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?7&amp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4+CAJ FNT0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义启嘟嘟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卿歌中英文-Medium日本语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200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@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A6"/>
    <w:rsid w:val="00A33998"/>
    <w:rsid w:val="00CD2FA6"/>
    <w:rsid w:val="00F50DC4"/>
    <w:rsid w:val="00FA6163"/>
    <w:rsid w:val="038D3DDF"/>
    <w:rsid w:val="042579D5"/>
    <w:rsid w:val="04EF79EE"/>
    <w:rsid w:val="068D3A55"/>
    <w:rsid w:val="0B145887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07699A"/>
    <w:rsid w:val="327343B2"/>
    <w:rsid w:val="3376555C"/>
    <w:rsid w:val="34E87898"/>
    <w:rsid w:val="37BD4572"/>
    <w:rsid w:val="397640C8"/>
    <w:rsid w:val="3C3A43CF"/>
    <w:rsid w:val="3C3B717C"/>
    <w:rsid w:val="3CCA67AA"/>
    <w:rsid w:val="3D42741D"/>
    <w:rsid w:val="40104F91"/>
    <w:rsid w:val="411D56E1"/>
    <w:rsid w:val="41861C9E"/>
    <w:rsid w:val="419D1FE5"/>
    <w:rsid w:val="41B11538"/>
    <w:rsid w:val="4246083E"/>
    <w:rsid w:val="4318224C"/>
    <w:rsid w:val="44D25C35"/>
    <w:rsid w:val="47671C94"/>
    <w:rsid w:val="47E26ACE"/>
    <w:rsid w:val="48406600"/>
    <w:rsid w:val="4AA356D8"/>
    <w:rsid w:val="4B27074D"/>
    <w:rsid w:val="4DE96893"/>
    <w:rsid w:val="4F1F247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13B6705"/>
    <w:rsid w:val="7AB067D2"/>
    <w:rsid w:val="7AC551EB"/>
    <w:rsid w:val="7ACC1EA7"/>
    <w:rsid w:val="7EBA7AFC"/>
    <w:rsid w:val="7F3C7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纯文本 Char"/>
    <w:basedOn w:val="6"/>
    <w:link w:val="2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1409</Characters>
  <Lines>11</Lines>
  <Paragraphs>3</Paragraphs>
  <ScaleCrop>false</ScaleCrop>
  <LinksUpToDate>false</LinksUpToDate>
  <CharactersWithSpaces>1653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bgs132</cp:lastModifiedBy>
  <dcterms:modified xsi:type="dcterms:W3CDTF">2022-01-05T09:31:22Z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