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CE4DB">
      <w:pPr>
        <w:widowControl/>
        <w:adjustRightInd w:val="0"/>
        <w:spacing w:line="480" w:lineRule="auto"/>
        <w:jc w:val="center"/>
        <w:rPr>
          <w:rFonts w:hint="default" w:ascii="Times New Roman" w:hAnsi="Times New Roman" w:cs="Times New Roman"/>
          <w:b/>
          <w:kern w:val="0"/>
          <w:sz w:val="44"/>
          <w:szCs w:val="44"/>
          <w:lang w:eastAsia="zh-CN"/>
        </w:rPr>
      </w:pPr>
      <w:r>
        <w:rPr>
          <w:rFonts w:hint="default" w:ascii="Times New Roman" w:hAnsi="Times New Roman" w:cs="Times New Roman"/>
          <w:b/>
          <w:kern w:val="0"/>
          <w:sz w:val="44"/>
          <w:szCs w:val="44"/>
        </w:rPr>
        <w:t>202</w:t>
      </w:r>
      <w:r>
        <w:rPr>
          <w:rFonts w:hint="eastAsia" w:ascii="Times New Roman" w:hAnsi="Times New Roman" w:cs="Times New Roman"/>
          <w:b/>
          <w:kern w:val="0"/>
          <w:sz w:val="44"/>
          <w:szCs w:val="44"/>
          <w:lang w:val="en-US" w:eastAsia="zh-CN"/>
        </w:rPr>
        <w:t>5</w:t>
      </w:r>
      <w:r>
        <w:rPr>
          <w:rFonts w:hint="default" w:ascii="Times New Roman" w:hAnsi="Times New Roman" w:cs="Times New Roman"/>
          <w:b/>
          <w:kern w:val="0"/>
          <w:sz w:val="44"/>
          <w:szCs w:val="44"/>
        </w:rPr>
        <w:t>年1</w:t>
      </w:r>
      <w:r>
        <w:rPr>
          <w:rFonts w:hint="eastAsia" w:ascii="Times New Roman" w:hAnsi="Times New Roman" w:cs="Times New Roman"/>
          <w:b/>
          <w:kern w:val="0"/>
          <w:sz w:val="44"/>
          <w:szCs w:val="44"/>
          <w:lang w:val="en-US" w:eastAsia="zh-CN"/>
        </w:rPr>
        <w:t>-4</w:t>
      </w:r>
      <w:r>
        <w:rPr>
          <w:rFonts w:hint="default" w:ascii="Times New Roman" w:hAnsi="Times New Roman" w:cs="Times New Roman"/>
          <w:b/>
          <w:kern w:val="0"/>
          <w:sz w:val="44"/>
          <w:szCs w:val="44"/>
        </w:rPr>
        <w:t>季度朝阳区建筑业</w:t>
      </w:r>
      <w:r>
        <w:rPr>
          <w:rFonts w:hint="default" w:ascii="Times New Roman" w:hAnsi="Times New Roman" w:cs="Times New Roman"/>
          <w:b/>
          <w:kern w:val="0"/>
          <w:sz w:val="44"/>
          <w:szCs w:val="44"/>
          <w:lang w:eastAsia="zh-CN"/>
        </w:rPr>
        <w:t>总产值</w:t>
      </w:r>
    </w:p>
    <w:p w14:paraId="7BB0D17B">
      <w:pPr>
        <w:widowControl/>
        <w:adjustRightInd w:val="0"/>
        <w:spacing w:line="480" w:lineRule="auto"/>
        <w:jc w:val="center"/>
        <w:rPr>
          <w:rFonts w:hint="eastAsia" w:ascii="宋体" w:hAnsi="宋体" w:cs="宋体"/>
          <w:color w:val="000000"/>
          <w:kern w:val="0"/>
          <w:sz w:val="28"/>
          <w:szCs w:val="28"/>
        </w:rPr>
      </w:pPr>
      <w:r>
        <w:rPr>
          <w:rFonts w:hint="default" w:ascii="Times New Roman" w:hAnsi="Times New Roman" w:cs="Times New Roman"/>
          <w:b/>
          <w:kern w:val="0"/>
          <w:sz w:val="44"/>
          <w:szCs w:val="44"/>
          <w:lang w:eastAsia="zh-CN"/>
        </w:rPr>
        <w:t>同比</w:t>
      </w:r>
      <w:r>
        <w:rPr>
          <w:rFonts w:hint="eastAsia" w:ascii="Times New Roman" w:hAnsi="Times New Roman" w:cs="Times New Roman"/>
          <w:b/>
          <w:kern w:val="0"/>
          <w:sz w:val="44"/>
          <w:szCs w:val="44"/>
          <w:lang w:eastAsia="zh-CN"/>
        </w:rPr>
        <w:t>下降</w:t>
      </w:r>
      <w:r>
        <w:rPr>
          <w:rFonts w:hint="eastAsia" w:ascii="Times New Roman" w:hAnsi="Times New Roman" w:cs="Times New Roman"/>
          <w:b/>
          <w:kern w:val="0"/>
          <w:sz w:val="44"/>
          <w:szCs w:val="44"/>
          <w:lang w:val="en-US" w:eastAsia="zh-CN"/>
        </w:rPr>
        <w:t>8.6</w:t>
      </w:r>
      <w:r>
        <w:rPr>
          <w:rFonts w:hint="default" w:ascii="Times New Roman" w:hAnsi="Times New Roman" w:cs="Times New Roman"/>
          <w:b/>
          <w:kern w:val="0"/>
          <w:sz w:val="44"/>
          <w:szCs w:val="44"/>
          <w:lang w:val="en-US" w:eastAsia="zh-CN"/>
        </w:rPr>
        <w:t>%</w:t>
      </w:r>
    </w:p>
    <w:p w14:paraId="0B423B1B">
      <w:pPr>
        <w:widowControl/>
        <w:spacing w:line="560" w:lineRule="exact"/>
        <w:ind w:firstLine="562" w:firstLineChars="200"/>
        <w:rPr>
          <w:rFonts w:hint="eastAsia" w:ascii="宋体" w:hAnsi="宋体" w:cs="宋体"/>
          <w:b/>
          <w:kern w:val="0"/>
          <w:sz w:val="28"/>
          <w:szCs w:val="28"/>
        </w:rPr>
      </w:pPr>
      <w:r>
        <w:rPr>
          <w:rFonts w:hint="eastAsia" w:ascii="宋体" w:hAnsi="宋体" w:cs="宋体"/>
          <w:b/>
          <w:kern w:val="0"/>
          <w:sz w:val="28"/>
          <w:szCs w:val="28"/>
        </w:rPr>
        <w:t>一、建筑业总产值完成情况</w:t>
      </w:r>
    </w:p>
    <w:p w14:paraId="1E110F62">
      <w:pPr>
        <w:adjustRightInd w:val="0"/>
        <w:spacing w:line="480" w:lineRule="auto"/>
        <w:ind w:firstLine="560" w:firstLineChars="200"/>
        <w:rPr>
          <w:rFonts w:ascii="宋体" w:hAnsi="宋体"/>
          <w:sz w:val="28"/>
          <w:szCs w:val="28"/>
        </w:rPr>
      </w:pPr>
      <w:r>
        <w:rPr>
          <w:rFonts w:hint="eastAsia" w:ascii="宋体" w:hAnsi="宋体" w:cs="宋体"/>
          <w:kern w:val="0"/>
          <w:sz w:val="28"/>
          <w:szCs w:val="28"/>
          <w:lang w:val="en-US" w:eastAsia="zh-CN"/>
        </w:rPr>
        <w:t>2025年</w:t>
      </w:r>
      <w:r>
        <w:rPr>
          <w:rFonts w:hint="eastAsia" w:ascii="宋体" w:hAnsi="宋体" w:cs="宋体"/>
          <w:kern w:val="0"/>
          <w:sz w:val="28"/>
          <w:szCs w:val="28"/>
        </w:rPr>
        <w:t>1</w:t>
      </w:r>
      <w:r>
        <w:rPr>
          <w:rFonts w:hint="eastAsia" w:ascii="宋体" w:hAnsi="宋体" w:cs="宋体"/>
          <w:kern w:val="0"/>
          <w:sz w:val="28"/>
          <w:szCs w:val="28"/>
          <w:lang w:val="en-US" w:eastAsia="zh-CN"/>
        </w:rPr>
        <w:t>-4</w:t>
      </w:r>
      <w:r>
        <w:rPr>
          <w:rFonts w:hint="eastAsia" w:ascii="宋体" w:hAnsi="宋体" w:cs="宋体"/>
          <w:kern w:val="0"/>
          <w:sz w:val="28"/>
          <w:szCs w:val="28"/>
        </w:rPr>
        <w:t>季度，朝阳区有资质的施工总承包、专业承包建筑业企业完成总产值</w:t>
      </w:r>
      <w:r>
        <w:rPr>
          <w:rFonts w:hint="eastAsia" w:ascii="宋体" w:hAnsi="宋体" w:cs="宋体"/>
          <w:kern w:val="0"/>
          <w:sz w:val="28"/>
          <w:szCs w:val="28"/>
          <w:highlight w:val="none"/>
          <w:lang w:val="en-US" w:eastAsia="zh-CN"/>
        </w:rPr>
        <w:t>1846.6</w:t>
      </w:r>
      <w:r>
        <w:rPr>
          <w:rFonts w:hint="eastAsia" w:ascii="宋体" w:hAnsi="宋体" w:cs="宋体"/>
          <w:kern w:val="0"/>
          <w:sz w:val="28"/>
          <w:szCs w:val="28"/>
        </w:rPr>
        <w:t>亿元，同比</w:t>
      </w:r>
      <w:r>
        <w:rPr>
          <w:rFonts w:hint="eastAsia" w:ascii="宋体" w:hAnsi="宋体" w:cs="宋体"/>
          <w:kern w:val="0"/>
          <w:sz w:val="28"/>
          <w:szCs w:val="28"/>
          <w:lang w:eastAsia="zh-CN"/>
        </w:rPr>
        <w:t>下降</w:t>
      </w:r>
      <w:r>
        <w:rPr>
          <w:rFonts w:hint="eastAsia" w:ascii="宋体" w:hAnsi="宋体" w:cs="宋体"/>
          <w:kern w:val="0"/>
          <w:sz w:val="28"/>
          <w:szCs w:val="28"/>
          <w:lang w:val="en-US" w:eastAsia="zh-CN"/>
        </w:rPr>
        <w:t>8.6</w:t>
      </w:r>
      <w:r>
        <w:rPr>
          <w:rFonts w:hint="eastAsia" w:ascii="宋体" w:hAnsi="宋体" w:cs="宋体"/>
          <w:kern w:val="0"/>
          <w:sz w:val="28"/>
          <w:szCs w:val="28"/>
        </w:rPr>
        <w:t>%。其中，在外省完成产值</w:t>
      </w:r>
      <w:r>
        <w:rPr>
          <w:rFonts w:hint="eastAsia" w:ascii="宋体" w:hAnsi="宋体" w:cs="宋体"/>
          <w:kern w:val="0"/>
          <w:sz w:val="28"/>
          <w:szCs w:val="28"/>
          <w:highlight w:val="none"/>
          <w:lang w:val="en-US" w:eastAsia="zh-CN"/>
        </w:rPr>
        <w:t>1227.3</w:t>
      </w:r>
      <w:r>
        <w:rPr>
          <w:rFonts w:hint="eastAsia" w:ascii="宋体" w:hAnsi="宋体" w:cs="宋体"/>
          <w:kern w:val="0"/>
          <w:sz w:val="28"/>
          <w:szCs w:val="28"/>
        </w:rPr>
        <w:t>亿元，同比</w:t>
      </w:r>
      <w:r>
        <w:rPr>
          <w:rFonts w:hint="eastAsia" w:ascii="宋体" w:hAnsi="宋体" w:cs="宋体"/>
          <w:kern w:val="0"/>
          <w:sz w:val="28"/>
          <w:szCs w:val="28"/>
          <w:lang w:eastAsia="zh-CN"/>
        </w:rPr>
        <w:t>下降</w:t>
      </w:r>
      <w:r>
        <w:rPr>
          <w:rFonts w:hint="eastAsia" w:ascii="宋体" w:hAnsi="宋体" w:cs="宋体"/>
          <w:kern w:val="0"/>
          <w:sz w:val="28"/>
          <w:szCs w:val="28"/>
          <w:lang w:val="en-US" w:eastAsia="zh-CN"/>
        </w:rPr>
        <w:t>9.6</w:t>
      </w:r>
      <w:r>
        <w:rPr>
          <w:rFonts w:hint="eastAsia" w:ascii="宋体" w:hAnsi="宋体" w:cs="宋体"/>
          <w:kern w:val="0"/>
          <w:sz w:val="28"/>
          <w:szCs w:val="28"/>
        </w:rPr>
        <w:t>%；在北京地区完成产值</w:t>
      </w:r>
      <w:r>
        <w:rPr>
          <w:rFonts w:hint="eastAsia" w:ascii="宋体" w:hAnsi="宋体" w:cs="宋体"/>
          <w:kern w:val="0"/>
          <w:sz w:val="28"/>
          <w:szCs w:val="28"/>
          <w:lang w:val="en-US" w:eastAsia="zh-CN"/>
        </w:rPr>
        <w:t>619.3</w:t>
      </w:r>
      <w:r>
        <w:rPr>
          <w:rFonts w:hint="eastAsia" w:ascii="宋体" w:hAnsi="宋体" w:cs="宋体"/>
          <w:kern w:val="0"/>
          <w:sz w:val="28"/>
          <w:szCs w:val="28"/>
        </w:rPr>
        <w:t>亿元，同比</w:t>
      </w:r>
      <w:r>
        <w:rPr>
          <w:rFonts w:hint="eastAsia" w:ascii="宋体" w:hAnsi="宋体" w:cs="宋体"/>
          <w:kern w:val="0"/>
          <w:sz w:val="28"/>
          <w:szCs w:val="28"/>
          <w:lang w:eastAsia="zh-CN"/>
        </w:rPr>
        <w:t>下降</w:t>
      </w:r>
      <w:r>
        <w:rPr>
          <w:rFonts w:hint="eastAsia" w:ascii="宋体" w:hAnsi="宋体" w:cs="宋体"/>
          <w:kern w:val="0"/>
          <w:sz w:val="28"/>
          <w:szCs w:val="28"/>
          <w:lang w:val="en-US" w:eastAsia="zh-CN"/>
        </w:rPr>
        <w:t>6.4</w:t>
      </w:r>
      <w:r>
        <w:rPr>
          <w:rFonts w:hint="eastAsia" w:ascii="宋体" w:hAnsi="宋体" w:cs="宋体"/>
          <w:kern w:val="0"/>
          <w:sz w:val="28"/>
          <w:szCs w:val="28"/>
        </w:rPr>
        <w:t>%。</w:t>
      </w:r>
    </w:p>
    <w:p w14:paraId="1204C77D">
      <w:pPr>
        <w:widowControl/>
        <w:spacing w:line="560" w:lineRule="exact"/>
        <w:ind w:firstLine="562" w:firstLineChars="200"/>
        <w:rPr>
          <w:rFonts w:hint="eastAsia" w:ascii="宋体" w:hAnsi="宋体" w:cs="宋体"/>
          <w:color w:val="000000"/>
          <w:kern w:val="0"/>
          <w:sz w:val="28"/>
          <w:szCs w:val="28"/>
        </w:rPr>
      </w:pPr>
      <w:r>
        <w:rPr>
          <w:rFonts w:hint="eastAsia" w:ascii="宋体" w:hAnsi="宋体" w:cs="宋体"/>
          <w:b/>
          <w:kern w:val="0"/>
          <w:sz w:val="28"/>
          <w:szCs w:val="28"/>
        </w:rPr>
        <w:t>二、建筑业签订合同情况</w:t>
      </w:r>
    </w:p>
    <w:p w14:paraId="2B02DBF8">
      <w:pPr>
        <w:widowControl/>
        <w:spacing w:line="480" w:lineRule="auto"/>
        <w:ind w:firstLine="560" w:firstLineChars="200"/>
        <w:rPr>
          <w:rFonts w:hint="eastAsia" w:ascii="宋体" w:hAnsi="宋体" w:cs="宋体"/>
          <w:kern w:val="0"/>
          <w:sz w:val="28"/>
          <w:szCs w:val="28"/>
        </w:rPr>
      </w:pPr>
      <w:r>
        <w:rPr>
          <w:rFonts w:hint="eastAsia" w:ascii="宋体" w:hAnsi="宋体" w:cs="宋体"/>
          <w:kern w:val="0"/>
          <w:sz w:val="28"/>
          <w:szCs w:val="28"/>
          <w:lang w:val="en-US" w:eastAsia="zh-CN"/>
        </w:rPr>
        <w:t>2025年</w:t>
      </w:r>
      <w:r>
        <w:rPr>
          <w:rFonts w:hint="eastAsia" w:ascii="宋体" w:hAnsi="宋体" w:cs="宋体"/>
          <w:kern w:val="0"/>
          <w:sz w:val="28"/>
          <w:szCs w:val="28"/>
        </w:rPr>
        <w:t>1</w:t>
      </w:r>
      <w:r>
        <w:rPr>
          <w:rFonts w:hint="eastAsia" w:ascii="宋体" w:hAnsi="宋体" w:cs="宋体"/>
          <w:kern w:val="0"/>
          <w:sz w:val="28"/>
          <w:szCs w:val="28"/>
          <w:lang w:val="en-US" w:eastAsia="zh-CN"/>
        </w:rPr>
        <w:t>-4</w:t>
      </w:r>
      <w:r>
        <w:rPr>
          <w:rFonts w:hint="eastAsia" w:ascii="宋体" w:hAnsi="宋体" w:cs="宋体"/>
          <w:kern w:val="0"/>
          <w:sz w:val="28"/>
          <w:szCs w:val="28"/>
        </w:rPr>
        <w:t>季度，朝阳区有资质的施工总承包、专业承包建筑</w:t>
      </w:r>
      <w:r>
        <w:rPr>
          <w:rFonts w:hint="eastAsia" w:ascii="宋体" w:hAnsi="宋体" w:cs="宋体"/>
          <w:kern w:val="0"/>
          <w:sz w:val="28"/>
          <w:szCs w:val="28"/>
          <w:highlight w:val="none"/>
        </w:rPr>
        <w:t>业企业签订合同额</w:t>
      </w:r>
      <w:r>
        <w:rPr>
          <w:rFonts w:hint="eastAsia" w:ascii="宋体" w:hAnsi="宋体" w:cs="宋体"/>
          <w:kern w:val="0"/>
          <w:sz w:val="28"/>
          <w:szCs w:val="28"/>
          <w:highlight w:val="none"/>
          <w:lang w:val="en-US" w:eastAsia="zh-CN"/>
        </w:rPr>
        <w:t>6274.4</w:t>
      </w:r>
      <w:r>
        <w:rPr>
          <w:rFonts w:hint="eastAsia" w:ascii="宋体" w:hAnsi="宋体" w:cs="宋体"/>
          <w:kern w:val="0"/>
          <w:sz w:val="28"/>
          <w:szCs w:val="28"/>
          <w:highlight w:val="none"/>
        </w:rPr>
        <w:t>亿元，同比</w:t>
      </w:r>
      <w:r>
        <w:rPr>
          <w:rFonts w:hint="eastAsia" w:ascii="宋体" w:hAnsi="宋体" w:cs="宋体"/>
          <w:kern w:val="0"/>
          <w:sz w:val="28"/>
          <w:szCs w:val="28"/>
          <w:highlight w:val="none"/>
          <w:lang w:eastAsia="zh-CN"/>
        </w:rPr>
        <w:t>增长</w:t>
      </w:r>
      <w:r>
        <w:rPr>
          <w:rFonts w:hint="eastAsia" w:ascii="宋体" w:hAnsi="宋体" w:cs="宋体"/>
          <w:kern w:val="0"/>
          <w:sz w:val="28"/>
          <w:szCs w:val="28"/>
          <w:highlight w:val="none"/>
          <w:lang w:val="en-US" w:eastAsia="zh-CN"/>
        </w:rPr>
        <w:t>0.5</w:t>
      </w:r>
      <w:r>
        <w:rPr>
          <w:rFonts w:hint="eastAsia" w:ascii="宋体" w:hAnsi="宋体" w:cs="宋体"/>
          <w:kern w:val="0"/>
          <w:sz w:val="28"/>
          <w:szCs w:val="28"/>
          <w:highlight w:val="none"/>
        </w:rPr>
        <w:t>%。其中，上年结转合同额</w:t>
      </w:r>
      <w:r>
        <w:rPr>
          <w:rFonts w:hint="eastAsia" w:ascii="宋体" w:hAnsi="宋体" w:cs="宋体"/>
          <w:kern w:val="0"/>
          <w:sz w:val="28"/>
          <w:szCs w:val="28"/>
          <w:highlight w:val="none"/>
          <w:lang w:val="en-US" w:eastAsia="zh-CN"/>
        </w:rPr>
        <w:t>4119.1</w:t>
      </w:r>
      <w:r>
        <w:rPr>
          <w:rFonts w:hint="eastAsia" w:ascii="宋体" w:hAnsi="宋体" w:cs="宋体"/>
          <w:kern w:val="0"/>
          <w:sz w:val="28"/>
          <w:szCs w:val="28"/>
          <w:highlight w:val="none"/>
        </w:rPr>
        <w:t>亿元，同比</w:t>
      </w:r>
      <w:r>
        <w:rPr>
          <w:rFonts w:hint="eastAsia" w:ascii="宋体" w:hAnsi="宋体" w:cs="宋体"/>
          <w:kern w:val="0"/>
          <w:sz w:val="28"/>
          <w:szCs w:val="28"/>
          <w:highlight w:val="none"/>
          <w:lang w:eastAsia="zh-CN"/>
        </w:rPr>
        <w:t>下降</w:t>
      </w:r>
      <w:r>
        <w:rPr>
          <w:rFonts w:hint="eastAsia" w:ascii="宋体" w:hAnsi="宋体" w:cs="宋体"/>
          <w:kern w:val="0"/>
          <w:sz w:val="28"/>
          <w:szCs w:val="28"/>
          <w:highlight w:val="none"/>
          <w:lang w:val="en-US" w:eastAsia="zh-CN"/>
        </w:rPr>
        <w:t>1.8</w:t>
      </w:r>
      <w:r>
        <w:rPr>
          <w:rFonts w:hint="eastAsia" w:ascii="宋体" w:hAnsi="宋体" w:cs="宋体"/>
          <w:kern w:val="0"/>
          <w:sz w:val="28"/>
          <w:szCs w:val="28"/>
          <w:highlight w:val="none"/>
        </w:rPr>
        <w:t>%；本年新签合同额</w:t>
      </w:r>
      <w:r>
        <w:rPr>
          <w:rFonts w:hint="eastAsia" w:ascii="宋体" w:hAnsi="宋体" w:cs="宋体"/>
          <w:kern w:val="0"/>
          <w:sz w:val="28"/>
          <w:szCs w:val="28"/>
          <w:highlight w:val="none"/>
          <w:lang w:val="en-US" w:eastAsia="zh-CN"/>
        </w:rPr>
        <w:t>2155.3</w:t>
      </w:r>
      <w:r>
        <w:rPr>
          <w:rFonts w:hint="eastAsia" w:ascii="宋体" w:hAnsi="宋体" w:cs="宋体"/>
          <w:kern w:val="0"/>
          <w:sz w:val="28"/>
          <w:szCs w:val="28"/>
          <w:highlight w:val="none"/>
        </w:rPr>
        <w:t>亿元，同比</w:t>
      </w:r>
      <w:r>
        <w:rPr>
          <w:rFonts w:hint="eastAsia" w:ascii="宋体" w:hAnsi="宋体" w:cs="宋体"/>
          <w:kern w:val="0"/>
          <w:sz w:val="28"/>
          <w:szCs w:val="28"/>
          <w:highlight w:val="none"/>
          <w:lang w:eastAsia="zh-CN"/>
        </w:rPr>
        <w:t>增长</w:t>
      </w:r>
      <w:r>
        <w:rPr>
          <w:rFonts w:hint="eastAsia" w:ascii="宋体" w:hAnsi="宋体" w:cs="宋体"/>
          <w:kern w:val="0"/>
          <w:sz w:val="28"/>
          <w:szCs w:val="28"/>
          <w:highlight w:val="none"/>
          <w:lang w:val="en-US" w:eastAsia="zh-CN"/>
        </w:rPr>
        <w:t>5.1</w:t>
      </w:r>
      <w:r>
        <w:rPr>
          <w:rFonts w:hint="eastAsia" w:ascii="宋体" w:hAnsi="宋体" w:cs="宋体"/>
          <w:kern w:val="0"/>
          <w:sz w:val="28"/>
          <w:szCs w:val="28"/>
          <w:highlight w:val="none"/>
        </w:rPr>
        <w:t>%。</w:t>
      </w:r>
    </w:p>
    <w:p w14:paraId="0CA562B1">
      <w:pPr>
        <w:widowControl/>
        <w:spacing w:line="560" w:lineRule="exact"/>
        <w:ind w:firstLine="562" w:firstLineChars="200"/>
        <w:rPr>
          <w:rFonts w:hint="eastAsia" w:ascii="宋体" w:hAnsi="宋体" w:cs="宋体"/>
          <w:b/>
          <w:kern w:val="0"/>
          <w:sz w:val="28"/>
          <w:szCs w:val="28"/>
        </w:rPr>
      </w:pPr>
      <w:r>
        <w:rPr>
          <w:rFonts w:hint="eastAsia" w:ascii="宋体" w:hAnsi="宋体" w:cs="宋体"/>
          <w:b/>
          <w:kern w:val="0"/>
          <w:sz w:val="28"/>
          <w:szCs w:val="28"/>
        </w:rPr>
        <w:t>三、房屋施竣工情况</w:t>
      </w:r>
      <w:bookmarkStart w:id="0" w:name="_GoBack"/>
      <w:bookmarkEnd w:id="0"/>
    </w:p>
    <w:p w14:paraId="7EBCD0DF">
      <w:pPr>
        <w:widowControl/>
        <w:spacing w:line="480" w:lineRule="auto"/>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lang w:val="en-US" w:eastAsia="zh-CN"/>
        </w:rPr>
        <w:t>2025年</w:t>
      </w:r>
      <w:r>
        <w:rPr>
          <w:rFonts w:hint="eastAsia" w:ascii="宋体" w:hAnsi="宋体" w:cs="宋体"/>
          <w:kern w:val="0"/>
          <w:sz w:val="28"/>
          <w:szCs w:val="28"/>
          <w:highlight w:val="none"/>
        </w:rPr>
        <w:t>1</w:t>
      </w:r>
      <w:r>
        <w:rPr>
          <w:rFonts w:hint="eastAsia" w:ascii="宋体" w:hAnsi="宋体" w:cs="宋体"/>
          <w:kern w:val="0"/>
          <w:sz w:val="28"/>
          <w:szCs w:val="28"/>
          <w:highlight w:val="none"/>
          <w:lang w:val="en-US" w:eastAsia="zh-CN"/>
        </w:rPr>
        <w:t>-4</w:t>
      </w:r>
      <w:r>
        <w:rPr>
          <w:rFonts w:hint="eastAsia" w:ascii="宋体" w:hAnsi="宋体" w:cs="宋体"/>
          <w:kern w:val="0"/>
          <w:sz w:val="28"/>
          <w:szCs w:val="28"/>
          <w:highlight w:val="none"/>
        </w:rPr>
        <w:t>季度，朝阳区有资质的施工总承包、专业承包建筑业企业房屋建筑施工面积</w:t>
      </w:r>
      <w:r>
        <w:rPr>
          <w:rFonts w:hint="eastAsia" w:ascii="宋体" w:hAnsi="宋体" w:cs="宋体"/>
          <w:kern w:val="0"/>
          <w:sz w:val="28"/>
          <w:szCs w:val="28"/>
          <w:highlight w:val="none"/>
          <w:lang w:val="en-US" w:eastAsia="zh-CN"/>
        </w:rPr>
        <w:t>8608.7</w:t>
      </w:r>
      <w:r>
        <w:rPr>
          <w:rFonts w:hint="eastAsia" w:ascii="宋体" w:hAnsi="宋体" w:cs="宋体"/>
          <w:kern w:val="0"/>
          <w:sz w:val="28"/>
          <w:szCs w:val="28"/>
          <w:highlight w:val="none"/>
        </w:rPr>
        <w:t>万平方米，同比下降</w:t>
      </w:r>
      <w:r>
        <w:rPr>
          <w:rFonts w:hint="eastAsia" w:ascii="宋体" w:hAnsi="宋体" w:cs="宋体"/>
          <w:kern w:val="0"/>
          <w:sz w:val="28"/>
          <w:szCs w:val="28"/>
          <w:highlight w:val="none"/>
          <w:lang w:val="en-US" w:eastAsia="zh-CN"/>
        </w:rPr>
        <w:t>18.5%</w:t>
      </w:r>
      <w:r>
        <w:rPr>
          <w:rFonts w:hint="eastAsia" w:ascii="宋体" w:hAnsi="宋体" w:cs="宋体"/>
          <w:kern w:val="0"/>
          <w:sz w:val="28"/>
          <w:szCs w:val="28"/>
          <w:highlight w:val="none"/>
        </w:rPr>
        <w:t>，其中，本年新开工面积</w:t>
      </w:r>
      <w:r>
        <w:rPr>
          <w:rFonts w:hint="eastAsia" w:ascii="宋体" w:hAnsi="宋体" w:cs="宋体"/>
          <w:kern w:val="0"/>
          <w:sz w:val="28"/>
          <w:szCs w:val="28"/>
          <w:highlight w:val="none"/>
          <w:lang w:val="en-US" w:eastAsia="zh-CN"/>
        </w:rPr>
        <w:t>1131.1</w:t>
      </w:r>
      <w:r>
        <w:rPr>
          <w:rFonts w:hint="eastAsia" w:ascii="宋体" w:hAnsi="宋体" w:cs="宋体"/>
          <w:kern w:val="0"/>
          <w:sz w:val="28"/>
          <w:szCs w:val="28"/>
          <w:highlight w:val="none"/>
        </w:rPr>
        <w:t>万平方米，同比下降</w:t>
      </w:r>
      <w:r>
        <w:rPr>
          <w:rFonts w:hint="eastAsia" w:ascii="宋体" w:hAnsi="宋体" w:cs="宋体"/>
          <w:kern w:val="0"/>
          <w:sz w:val="28"/>
          <w:szCs w:val="28"/>
          <w:highlight w:val="none"/>
          <w:lang w:val="en-US" w:eastAsia="zh-CN"/>
        </w:rPr>
        <w:t>44.7</w:t>
      </w:r>
      <w:r>
        <w:rPr>
          <w:rFonts w:hint="eastAsia" w:ascii="宋体" w:hAnsi="宋体" w:cs="宋体"/>
          <w:kern w:val="0"/>
          <w:sz w:val="28"/>
          <w:szCs w:val="28"/>
          <w:highlight w:val="none"/>
        </w:rPr>
        <w:t>%。房屋竣工面积</w:t>
      </w:r>
      <w:r>
        <w:rPr>
          <w:rFonts w:hint="eastAsia" w:ascii="宋体" w:hAnsi="宋体" w:cs="宋体"/>
          <w:kern w:val="0"/>
          <w:sz w:val="28"/>
          <w:szCs w:val="28"/>
          <w:highlight w:val="none"/>
          <w:lang w:val="en-US" w:eastAsia="zh-CN"/>
        </w:rPr>
        <w:t>2547.8</w:t>
      </w:r>
      <w:r>
        <w:rPr>
          <w:rFonts w:hint="eastAsia" w:ascii="宋体" w:hAnsi="宋体" w:cs="宋体"/>
          <w:kern w:val="0"/>
          <w:sz w:val="28"/>
          <w:szCs w:val="28"/>
          <w:highlight w:val="none"/>
        </w:rPr>
        <w:t>万平方米，同比下降</w:t>
      </w:r>
      <w:r>
        <w:rPr>
          <w:rFonts w:hint="eastAsia" w:ascii="宋体" w:hAnsi="宋体" w:cs="宋体"/>
          <w:kern w:val="0"/>
          <w:sz w:val="28"/>
          <w:szCs w:val="28"/>
          <w:highlight w:val="none"/>
          <w:lang w:val="en-US" w:eastAsia="zh-CN"/>
        </w:rPr>
        <w:t>6.8</w:t>
      </w:r>
      <w:r>
        <w:rPr>
          <w:rFonts w:hint="eastAsia" w:ascii="宋体" w:hAnsi="宋体" w:cs="宋体"/>
          <w:kern w:val="0"/>
          <w:sz w:val="28"/>
          <w:szCs w:val="28"/>
          <w:highlight w:val="none"/>
        </w:rPr>
        <w:t>%。</w:t>
      </w:r>
    </w:p>
    <w:p w14:paraId="02188D0F">
      <w:pPr>
        <w:autoSpaceDE w:val="0"/>
        <w:autoSpaceDN w:val="0"/>
        <w:spacing w:line="560" w:lineRule="exact"/>
        <w:ind w:firstLine="562" w:firstLineChars="200"/>
        <w:rPr>
          <w:rFonts w:hint="eastAsia" w:ascii="宋体" w:hAnsi="宋体"/>
          <w:b/>
          <w:sz w:val="28"/>
          <w:szCs w:val="28"/>
        </w:rPr>
      </w:pPr>
      <w:r>
        <w:rPr>
          <w:rFonts w:hint="eastAsia" w:ascii="宋体" w:hAnsi="宋体" w:cs="宋体"/>
          <w:b/>
          <w:kern w:val="0"/>
          <w:sz w:val="28"/>
          <w:szCs w:val="28"/>
        </w:rPr>
        <w:t>附注：</w:t>
      </w:r>
    </w:p>
    <w:p w14:paraId="2735AEAB">
      <w:pPr>
        <w:autoSpaceDE w:val="0"/>
        <w:autoSpaceDN w:val="0"/>
        <w:spacing w:line="560" w:lineRule="exact"/>
        <w:ind w:firstLine="562" w:firstLineChars="200"/>
        <w:rPr>
          <w:rFonts w:hint="eastAsia" w:ascii="宋体" w:hAnsi="宋体" w:cs="宋体"/>
          <w:b/>
          <w:kern w:val="0"/>
          <w:sz w:val="28"/>
          <w:szCs w:val="28"/>
        </w:rPr>
      </w:pPr>
      <w:r>
        <w:rPr>
          <w:rFonts w:hint="eastAsia" w:ascii="宋体" w:hAnsi="宋体" w:cs="宋体"/>
          <w:b/>
          <w:kern w:val="0"/>
          <w:sz w:val="28"/>
          <w:szCs w:val="28"/>
        </w:rPr>
        <w:t>一、统计范围</w:t>
      </w:r>
    </w:p>
    <w:p w14:paraId="6FAD6F18">
      <w:pPr>
        <w:autoSpaceDE w:val="0"/>
        <w:autoSpaceDN w:val="0"/>
        <w:spacing w:line="560" w:lineRule="exact"/>
        <w:ind w:firstLine="560" w:firstLineChars="200"/>
        <w:rPr>
          <w:rFonts w:hint="eastAsia" w:ascii="宋体" w:hAnsi="宋体" w:cs="宋体"/>
          <w:color w:val="000000"/>
          <w:kern w:val="0"/>
          <w:sz w:val="28"/>
          <w:szCs w:val="28"/>
        </w:rPr>
      </w:pPr>
      <w:r>
        <w:rPr>
          <w:rFonts w:hint="eastAsia" w:ascii="宋体" w:hAnsi="宋体" w:cs="宋体"/>
          <w:kern w:val="0"/>
          <w:sz w:val="28"/>
          <w:szCs w:val="28"/>
        </w:rPr>
        <w:t>具有资质的建筑业法人单位，即指领取了《企业法人营业执照》，并经各级建设行政主管部门审核批准，获得总承包、专业承包和劳务分包《建筑业企业资质证书》的建筑业法人单位。本稿中数据统计范围为施工总承包、专业承包建筑业企业法人单位在本市和外省生产、签订合同、房屋施竣工情况。</w:t>
      </w:r>
    </w:p>
    <w:p w14:paraId="532A5D26">
      <w:pPr>
        <w:autoSpaceDE w:val="0"/>
        <w:autoSpaceDN w:val="0"/>
        <w:spacing w:line="560" w:lineRule="exact"/>
        <w:ind w:firstLine="562" w:firstLineChars="200"/>
        <w:rPr>
          <w:rFonts w:hint="eastAsia" w:ascii="宋体" w:hAnsi="宋体" w:cs="宋体"/>
          <w:b/>
          <w:kern w:val="0"/>
          <w:sz w:val="28"/>
          <w:szCs w:val="28"/>
        </w:rPr>
      </w:pPr>
      <w:r>
        <w:rPr>
          <w:rFonts w:hint="eastAsia" w:ascii="宋体" w:hAnsi="宋体" w:cs="宋体"/>
          <w:b/>
          <w:kern w:val="0"/>
          <w:sz w:val="28"/>
          <w:szCs w:val="28"/>
        </w:rPr>
        <w:t>二、采集渠道</w:t>
      </w:r>
    </w:p>
    <w:p w14:paraId="0574C85A">
      <w:pPr>
        <w:autoSpaceDE w:val="0"/>
        <w:autoSpaceDN w:val="0"/>
        <w:spacing w:line="560" w:lineRule="exact"/>
        <w:ind w:firstLine="560" w:firstLineChars="200"/>
        <w:rPr>
          <w:rFonts w:hint="eastAsia" w:ascii="宋体" w:hAnsi="宋体" w:cs="宋体"/>
          <w:kern w:val="0"/>
          <w:sz w:val="28"/>
          <w:szCs w:val="28"/>
        </w:rPr>
      </w:pPr>
      <w:r>
        <w:rPr>
          <w:rFonts w:hint="eastAsia" w:ascii="宋体" w:hAnsi="宋体" w:cs="宋体"/>
          <w:kern w:val="0"/>
          <w:sz w:val="28"/>
          <w:szCs w:val="28"/>
        </w:rPr>
        <w:t>纳入统计范围的建筑业企业按照《建筑业统计报表制度》要求，通过北京统计联网直报系统上报统计数据。</w:t>
      </w:r>
    </w:p>
    <w:p w14:paraId="64F19304">
      <w:pPr>
        <w:autoSpaceDE w:val="0"/>
        <w:autoSpaceDN w:val="0"/>
        <w:spacing w:line="560" w:lineRule="exact"/>
        <w:ind w:firstLine="562" w:firstLineChars="200"/>
        <w:rPr>
          <w:rFonts w:hint="eastAsia" w:ascii="宋体" w:hAnsi="宋体" w:cs="宋体"/>
          <w:b/>
          <w:kern w:val="0"/>
          <w:sz w:val="28"/>
          <w:szCs w:val="28"/>
        </w:rPr>
      </w:pPr>
      <w:r>
        <w:rPr>
          <w:rFonts w:hint="eastAsia" w:ascii="宋体" w:hAnsi="宋体" w:cs="宋体"/>
          <w:b/>
          <w:kern w:val="0"/>
          <w:sz w:val="28"/>
          <w:szCs w:val="28"/>
        </w:rPr>
        <w:t>三、主要统计指标解释</w:t>
      </w:r>
    </w:p>
    <w:p w14:paraId="2DEED853">
      <w:pPr>
        <w:autoSpaceDE w:val="0"/>
        <w:autoSpaceDN w:val="0"/>
        <w:spacing w:line="560" w:lineRule="exact"/>
        <w:ind w:firstLine="562" w:firstLineChars="200"/>
        <w:rPr>
          <w:rFonts w:hint="eastAsia" w:ascii="宋体" w:hAnsi="宋体" w:cs="宋体"/>
          <w:kern w:val="0"/>
          <w:sz w:val="28"/>
          <w:szCs w:val="28"/>
        </w:rPr>
      </w:pPr>
      <w:r>
        <w:rPr>
          <w:rFonts w:hint="eastAsia" w:ascii="宋体" w:hAnsi="宋体" w:cs="宋体"/>
          <w:b/>
          <w:kern w:val="0"/>
          <w:sz w:val="28"/>
          <w:szCs w:val="28"/>
        </w:rPr>
        <w:t>建筑业总产值：</w:t>
      </w:r>
      <w:r>
        <w:rPr>
          <w:rFonts w:hint="eastAsia" w:ascii="宋体" w:hAnsi="宋体" w:cs="宋体"/>
          <w:kern w:val="0"/>
          <w:sz w:val="28"/>
          <w:szCs w:val="28"/>
        </w:rPr>
        <w:t>是以货币表现的建筑业企业在一定时期内生产的建筑产品和服务的总和。它包括建筑工程产值、设备安装工程产值、其他产值三部分内容。</w:t>
      </w:r>
    </w:p>
    <w:p w14:paraId="2F1F18A7">
      <w:pPr>
        <w:autoSpaceDE w:val="0"/>
        <w:autoSpaceDN w:val="0"/>
        <w:spacing w:line="560" w:lineRule="exact"/>
        <w:ind w:firstLine="562" w:firstLineChars="200"/>
        <w:rPr>
          <w:rFonts w:hint="eastAsia" w:ascii="宋体" w:hAnsi="宋体" w:cs="宋体"/>
          <w:b/>
          <w:kern w:val="0"/>
          <w:sz w:val="28"/>
          <w:szCs w:val="28"/>
        </w:rPr>
      </w:pPr>
      <w:r>
        <w:rPr>
          <w:rFonts w:hint="eastAsia" w:ascii="宋体" w:hAnsi="宋体" w:cs="宋体"/>
          <w:b/>
          <w:kern w:val="0"/>
          <w:sz w:val="28"/>
          <w:szCs w:val="28"/>
        </w:rPr>
        <w:t>签订合同额：</w:t>
      </w:r>
      <w:r>
        <w:rPr>
          <w:rFonts w:hint="eastAsia" w:ascii="宋体" w:hAnsi="宋体" w:cs="宋体"/>
          <w:bCs/>
          <w:kern w:val="0"/>
          <w:sz w:val="28"/>
          <w:szCs w:val="28"/>
        </w:rPr>
        <w:t>指建筑业企业在报告期直接同建设单位签订的各种国内工程合同的总价款和以前年度同建设单位签订的各种国内工程合同的未完工程跨入本年度继续施工工程合同的总价款余额。</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A2D"/>
    <w:rsid w:val="00026251"/>
    <w:rsid w:val="00062E48"/>
    <w:rsid w:val="000738E9"/>
    <w:rsid w:val="000A0E27"/>
    <w:rsid w:val="000A309F"/>
    <w:rsid w:val="000B6D05"/>
    <w:rsid w:val="000E3423"/>
    <w:rsid w:val="000E4C6A"/>
    <w:rsid w:val="0010174D"/>
    <w:rsid w:val="001148F8"/>
    <w:rsid w:val="00120202"/>
    <w:rsid w:val="00140003"/>
    <w:rsid w:val="00157D6C"/>
    <w:rsid w:val="001667AE"/>
    <w:rsid w:val="001A106D"/>
    <w:rsid w:val="001C08EE"/>
    <w:rsid w:val="001C3A8D"/>
    <w:rsid w:val="001D6785"/>
    <w:rsid w:val="001E6547"/>
    <w:rsid w:val="001F1B5C"/>
    <w:rsid w:val="00210000"/>
    <w:rsid w:val="002262C8"/>
    <w:rsid w:val="00227F53"/>
    <w:rsid w:val="00230CDD"/>
    <w:rsid w:val="00232114"/>
    <w:rsid w:val="00252A5B"/>
    <w:rsid w:val="0028423A"/>
    <w:rsid w:val="002A2703"/>
    <w:rsid w:val="002A5E02"/>
    <w:rsid w:val="002A6707"/>
    <w:rsid w:val="002A712C"/>
    <w:rsid w:val="002B2A97"/>
    <w:rsid w:val="002D2040"/>
    <w:rsid w:val="002E23EC"/>
    <w:rsid w:val="002E2824"/>
    <w:rsid w:val="002F00D9"/>
    <w:rsid w:val="00327067"/>
    <w:rsid w:val="003351F1"/>
    <w:rsid w:val="00343BC2"/>
    <w:rsid w:val="00350C59"/>
    <w:rsid w:val="00353446"/>
    <w:rsid w:val="003648BF"/>
    <w:rsid w:val="00371E4C"/>
    <w:rsid w:val="003868C2"/>
    <w:rsid w:val="0039357B"/>
    <w:rsid w:val="0039371E"/>
    <w:rsid w:val="003A7E21"/>
    <w:rsid w:val="003B25A7"/>
    <w:rsid w:val="003D0CDA"/>
    <w:rsid w:val="003F0D41"/>
    <w:rsid w:val="004250D9"/>
    <w:rsid w:val="00446BD1"/>
    <w:rsid w:val="004659D0"/>
    <w:rsid w:val="00492678"/>
    <w:rsid w:val="004A1967"/>
    <w:rsid w:val="004A5B5D"/>
    <w:rsid w:val="004C2971"/>
    <w:rsid w:val="004D238B"/>
    <w:rsid w:val="004D63AA"/>
    <w:rsid w:val="004F6B84"/>
    <w:rsid w:val="005164AA"/>
    <w:rsid w:val="00560AFA"/>
    <w:rsid w:val="005622F9"/>
    <w:rsid w:val="00576E9A"/>
    <w:rsid w:val="005A0830"/>
    <w:rsid w:val="005B36F3"/>
    <w:rsid w:val="005D110C"/>
    <w:rsid w:val="00620989"/>
    <w:rsid w:val="00637EFA"/>
    <w:rsid w:val="00642512"/>
    <w:rsid w:val="0064752C"/>
    <w:rsid w:val="00667277"/>
    <w:rsid w:val="006A16FF"/>
    <w:rsid w:val="006A29A6"/>
    <w:rsid w:val="006A75FE"/>
    <w:rsid w:val="006D0E8E"/>
    <w:rsid w:val="006D2114"/>
    <w:rsid w:val="006F2C2C"/>
    <w:rsid w:val="007051AD"/>
    <w:rsid w:val="00706004"/>
    <w:rsid w:val="00731335"/>
    <w:rsid w:val="00750772"/>
    <w:rsid w:val="00757166"/>
    <w:rsid w:val="007606B4"/>
    <w:rsid w:val="00773F94"/>
    <w:rsid w:val="00775B36"/>
    <w:rsid w:val="007B0DDD"/>
    <w:rsid w:val="007C47DC"/>
    <w:rsid w:val="007D6360"/>
    <w:rsid w:val="008001EA"/>
    <w:rsid w:val="00820327"/>
    <w:rsid w:val="008367FB"/>
    <w:rsid w:val="00852694"/>
    <w:rsid w:val="008544F9"/>
    <w:rsid w:val="008B2036"/>
    <w:rsid w:val="00907631"/>
    <w:rsid w:val="009261BD"/>
    <w:rsid w:val="00930C5E"/>
    <w:rsid w:val="00946A0A"/>
    <w:rsid w:val="009471A8"/>
    <w:rsid w:val="009556CE"/>
    <w:rsid w:val="00957DEC"/>
    <w:rsid w:val="00966EB8"/>
    <w:rsid w:val="0097024F"/>
    <w:rsid w:val="009726E8"/>
    <w:rsid w:val="00975E47"/>
    <w:rsid w:val="0098061B"/>
    <w:rsid w:val="00987402"/>
    <w:rsid w:val="0099167A"/>
    <w:rsid w:val="00994C7F"/>
    <w:rsid w:val="009973B4"/>
    <w:rsid w:val="009979AA"/>
    <w:rsid w:val="009A0398"/>
    <w:rsid w:val="009A6391"/>
    <w:rsid w:val="009F23F6"/>
    <w:rsid w:val="00A07A25"/>
    <w:rsid w:val="00A07AA2"/>
    <w:rsid w:val="00A268DB"/>
    <w:rsid w:val="00A4208C"/>
    <w:rsid w:val="00A47B1F"/>
    <w:rsid w:val="00A637B3"/>
    <w:rsid w:val="00A713B7"/>
    <w:rsid w:val="00A91217"/>
    <w:rsid w:val="00AC215D"/>
    <w:rsid w:val="00AD0CA5"/>
    <w:rsid w:val="00AF299C"/>
    <w:rsid w:val="00AF46A7"/>
    <w:rsid w:val="00B30865"/>
    <w:rsid w:val="00B400F8"/>
    <w:rsid w:val="00B526DB"/>
    <w:rsid w:val="00B90D2F"/>
    <w:rsid w:val="00B96A28"/>
    <w:rsid w:val="00BC1511"/>
    <w:rsid w:val="00BC5728"/>
    <w:rsid w:val="00BC6A9D"/>
    <w:rsid w:val="00BD212D"/>
    <w:rsid w:val="00BD2E12"/>
    <w:rsid w:val="00BD5898"/>
    <w:rsid w:val="00BE08BC"/>
    <w:rsid w:val="00BE5EFC"/>
    <w:rsid w:val="00BF1737"/>
    <w:rsid w:val="00BF56B2"/>
    <w:rsid w:val="00C03121"/>
    <w:rsid w:val="00C116F7"/>
    <w:rsid w:val="00C15554"/>
    <w:rsid w:val="00C170A5"/>
    <w:rsid w:val="00C265AE"/>
    <w:rsid w:val="00C32638"/>
    <w:rsid w:val="00C41259"/>
    <w:rsid w:val="00C42D35"/>
    <w:rsid w:val="00C43B9D"/>
    <w:rsid w:val="00C720DB"/>
    <w:rsid w:val="00C72668"/>
    <w:rsid w:val="00CC4095"/>
    <w:rsid w:val="00CC5667"/>
    <w:rsid w:val="00CC611D"/>
    <w:rsid w:val="00CE3ABC"/>
    <w:rsid w:val="00CE69C4"/>
    <w:rsid w:val="00CF027A"/>
    <w:rsid w:val="00CF3B6F"/>
    <w:rsid w:val="00D207E4"/>
    <w:rsid w:val="00D26A2D"/>
    <w:rsid w:val="00D4169A"/>
    <w:rsid w:val="00D54350"/>
    <w:rsid w:val="00D62D40"/>
    <w:rsid w:val="00D967FB"/>
    <w:rsid w:val="00DA3E31"/>
    <w:rsid w:val="00DD0D6C"/>
    <w:rsid w:val="00DD6EE2"/>
    <w:rsid w:val="00DE0DB4"/>
    <w:rsid w:val="00DF0007"/>
    <w:rsid w:val="00E0345E"/>
    <w:rsid w:val="00E04D38"/>
    <w:rsid w:val="00E245EB"/>
    <w:rsid w:val="00E57B3D"/>
    <w:rsid w:val="00E62D5A"/>
    <w:rsid w:val="00E67D75"/>
    <w:rsid w:val="00E67F52"/>
    <w:rsid w:val="00E80C71"/>
    <w:rsid w:val="00EA6309"/>
    <w:rsid w:val="00EB4096"/>
    <w:rsid w:val="00EB77AF"/>
    <w:rsid w:val="00EE5F4C"/>
    <w:rsid w:val="00EE7279"/>
    <w:rsid w:val="00EF5257"/>
    <w:rsid w:val="00F4738D"/>
    <w:rsid w:val="00F61241"/>
    <w:rsid w:val="00F76FC6"/>
    <w:rsid w:val="00F83CF3"/>
    <w:rsid w:val="00FB475A"/>
    <w:rsid w:val="00FB5F79"/>
    <w:rsid w:val="00FC6F56"/>
    <w:rsid w:val="00FE4675"/>
    <w:rsid w:val="026B55D5"/>
    <w:rsid w:val="0E5B1F5C"/>
    <w:rsid w:val="112C508E"/>
    <w:rsid w:val="1B683292"/>
    <w:rsid w:val="1D4467B9"/>
    <w:rsid w:val="1DA97880"/>
    <w:rsid w:val="1F956DCA"/>
    <w:rsid w:val="20602175"/>
    <w:rsid w:val="22571F1A"/>
    <w:rsid w:val="245540B8"/>
    <w:rsid w:val="28321882"/>
    <w:rsid w:val="32A21B76"/>
    <w:rsid w:val="33420402"/>
    <w:rsid w:val="36F9648C"/>
    <w:rsid w:val="38DA7293"/>
    <w:rsid w:val="39C1090E"/>
    <w:rsid w:val="3A55019D"/>
    <w:rsid w:val="3F735E35"/>
    <w:rsid w:val="41B75A83"/>
    <w:rsid w:val="42520820"/>
    <w:rsid w:val="473A3E9B"/>
    <w:rsid w:val="4B205658"/>
    <w:rsid w:val="53631999"/>
    <w:rsid w:val="5A907BB2"/>
    <w:rsid w:val="5B3E6C9C"/>
    <w:rsid w:val="5C270AC1"/>
    <w:rsid w:val="5FB15DE1"/>
    <w:rsid w:val="679244E1"/>
    <w:rsid w:val="693855AC"/>
    <w:rsid w:val="69B460D0"/>
    <w:rsid w:val="6ABB77B9"/>
    <w:rsid w:val="7358072E"/>
    <w:rsid w:val="76913B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qFormat/>
    <w:uiPriority w:val="22"/>
    <w:rPr>
      <w:b/>
      <w:bCs/>
    </w:rPr>
  </w:style>
  <w:style w:type="character" w:customStyle="1" w:styleId="9">
    <w:name w:val="批注框文本 Char"/>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2</Pages>
  <Words>131</Words>
  <Characters>751</Characters>
  <Lines>6</Lines>
  <Paragraphs>1</Paragraphs>
  <TotalTime>31</TotalTime>
  <ScaleCrop>false</ScaleCrop>
  <LinksUpToDate>false</LinksUpToDate>
  <CharactersWithSpaces>881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2020-04-20T07:59:00Z</dcterms:created>
  <dc:creator>user</dc:creator>
  <cp:lastModifiedBy>Administrator</cp:lastModifiedBy>
  <cp:lastPrinted>2024-01-09T02:22:00Z</cp:lastPrinted>
  <dcterms:modified xsi:type="dcterms:W3CDTF">2026-01-26T01:45:16Z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E8232773C2EE4F6CB92132838C849909_12</vt:lpwstr>
  </property>
</Properties>
</file>