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  <w:lang w:eastAsia="zh-CN"/>
        </w:rPr>
        <w:t>老干部大学经费绩效评价报告</w:t>
      </w:r>
    </w:p>
    <w:p>
      <w:pPr>
        <w:jc w:val="center"/>
        <w:rPr>
          <w:rFonts w:ascii="仿宋_GB2312" w:eastAsia="仿宋_GB2312"/>
          <w:sz w:val="32"/>
          <w:szCs w:val="32"/>
        </w:rPr>
      </w:pPr>
    </w:p>
    <w:p>
      <w:pPr>
        <w:numPr>
          <w:ilvl w:val="0"/>
          <w:numId w:val="1"/>
        </w:numPr>
        <w:spacing w:line="60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基本情况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（一）项目概况</w:t>
      </w:r>
    </w:p>
    <w:p>
      <w:pPr>
        <w:spacing w:line="540" w:lineRule="exact"/>
        <w:ind w:firstLine="56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区老干部大学作为朝阳区离退休干部思想政治建设的主阵地，文化养老的学习活动场所，以“培养兴趣爱好、提高文化素养、陶冶思想情操、增强身心健康、促进社会和谐”为办学宗旨，开展党史、书法、绘画、钢琴、摄影等多门课程。2024年共开设16个班级，5支活动队组，总校招生学员240名以上。2024年年初预算数36万元，执行数为36万元，执行率达到100%。</w:t>
      </w:r>
    </w:p>
    <w:p>
      <w:pPr>
        <w:spacing w:line="600" w:lineRule="exact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（二）项目绩效目标</w:t>
      </w:r>
    </w:p>
    <w:p>
      <w:pPr>
        <w:spacing w:line="600" w:lineRule="exact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项目总体目标为通过开展党史、书法、绘画、钢琴、摄影等多门课程，不断加强学习活动阵地建设，修缮改造教学环境，修订完善规章制度，提升服务管理水平，基本满足朝阳区离退休干部精神文化需求，引导广大老干部坚定思想信念，退休不褪色离岗不离党，大力推动文化养老工作深入开展。该项目整体运行良好，年中的支出率达到43.86%，年底的支出率100%，学员年终通过良好成绩达到90%以上，出勤率达到90%，学员对区老干部大学满意度达95%以上，社会影响好，基本达到预期目标。</w:t>
      </w:r>
    </w:p>
    <w:p>
      <w:pPr>
        <w:spacing w:line="6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二、绩效评价工作开展情况</w:t>
      </w:r>
    </w:p>
    <w:p>
      <w:pPr>
        <w:spacing w:line="600" w:lineRule="exact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（一）绩效评价目的、对象和范围。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项目以参与活动的学员作为绩效评价的对象，通过电话、微信沟通，了解他们学习的情况，以及对大学建设、授课方式、管理流程的意见建议，对从而达到指导日后工作，提高工作质量的目的。</w:t>
      </w:r>
    </w:p>
    <w:p>
      <w:pPr>
        <w:numPr>
          <w:ilvl w:val="0"/>
          <w:numId w:val="2"/>
        </w:numPr>
        <w:spacing w:line="600" w:lineRule="exact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绩效评价原则、评价指标体系、评价方法、评价标准等。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评价以客观公正为原则，不干预、不引导老同志的回答，如实进行记录。具体标准见下表</w:t>
      </w:r>
    </w:p>
    <w:tbl>
      <w:tblPr>
        <w:tblStyle w:val="10"/>
        <w:tblW w:w="7443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"/>
        <w:gridCol w:w="974"/>
        <w:gridCol w:w="1319"/>
        <w:gridCol w:w="2091"/>
        <w:gridCol w:w="884"/>
        <w:gridCol w:w="779"/>
        <w:gridCol w:w="88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  <w:jc w:val="center"/>
        </w:trPr>
        <w:tc>
          <w:tcPr>
            <w:tcW w:w="5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</w:p>
          <w:p>
            <w:pPr>
              <w:pStyle w:val="5"/>
              <w:rPr>
                <w:rFonts w:hint="eastAsia"/>
              </w:rPr>
            </w:pPr>
            <w:r>
              <w:rPr>
                <w:rFonts w:hint="eastAsia"/>
                <w:sz w:val="22"/>
                <w:szCs w:val="22"/>
              </w:rPr>
              <w:t>绩效指标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绩效指标性质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绩效度量单位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书宋_GBK" w:hAnsi="方正书宋_GBK" w:eastAsia="方正书宋_GBK" w:cs="方正书宋_GBK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举办教学次数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cs="Times New Roman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1000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书宋_GBK" w:hAnsi="方正书宋_GBK" w:eastAsia="方正书宋_GBK" w:cs="方正书宋_GBK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上座率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书宋_GBK" w:hAnsi="方正书宋_GBK" w:eastAsia="方正书宋_GBK" w:cs="方正书宋_GBK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支出进度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2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书宋_GBK" w:hAnsi="方正书宋_GBK" w:eastAsia="方正书宋_GBK" w:cs="方正书宋_GBK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总成本控制在预算内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书宋_GBK" w:hAnsi="方正书宋_GBK" w:eastAsia="方正书宋_GBK" w:cs="方正书宋_GBK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书宋_GBK" w:hAnsi="方正书宋_GBK" w:eastAsia="方正书宋_GBK" w:cs="方正书宋_GBK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参加学习对社会的正面影响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定性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5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2"/>
                <w:lang w:val="en-US" w:eastAsia="zh-CN" w:bidi="ar"/>
              </w:rPr>
              <w:t>满意度</w:t>
            </w:r>
            <w:r>
              <w:rPr>
                <w:rStyle w:val="13"/>
                <w:rFonts w:eastAsia="宋体"/>
                <w:lang w:val="en-US" w:eastAsia="zh-CN" w:bidi="ar"/>
              </w:rPr>
              <w:br w:type="textWrapping"/>
            </w:r>
            <w:r>
              <w:rPr>
                <w:rStyle w:val="12"/>
                <w:lang w:val="en-US" w:eastAsia="zh-CN" w:bidi="ar"/>
              </w:rPr>
              <w:t>指标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2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书宋_GBK" w:hAnsi="方正书宋_GBK" w:eastAsia="方正书宋_GBK" w:cs="方正书宋_GBK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参加学习人员对教学的满意度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</w:tr>
    </w:tbl>
    <w:p>
      <w:pPr>
        <w:spacing w:line="600" w:lineRule="exact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（三）绩效评价工作过程</w:t>
      </w:r>
    </w:p>
    <w:p>
      <w:pPr>
        <w:spacing w:line="600" w:lineRule="exact"/>
        <w:ind w:firstLine="640" w:firstLineChars="200"/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各班主任定期通过电话、微信与学员进行沟通，倾听老同志心声，请学员对工作进行打分，并了解他们的学习感受和意见建议。</w:t>
      </w:r>
    </w:p>
    <w:p>
      <w:pPr>
        <w:spacing w:line="60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三、</w:t>
      </w:r>
      <w:r>
        <w:rPr>
          <w:rFonts w:hint="eastAsia" w:ascii="黑体" w:hAnsi="黑体" w:eastAsia="黑体" w:cs="黑体"/>
          <w:sz w:val="32"/>
          <w:szCs w:val="32"/>
        </w:rPr>
        <w:t>综合评价情况及评价结论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default" w:ascii="黑体" w:hAnsi="黑体" w:eastAsia="黑体" w:cs="黑体"/>
          <w:sz w:val="32"/>
          <w:szCs w:val="32"/>
          <w:lang w:val="en-US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经过调研、数据分析和统计，全年共教学超过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1111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小时，上座率90%，支出率100%，对社会的正面影响高，满意度达到95%，全部达到或超过预期，评分100。</w:t>
      </w:r>
    </w:p>
    <w:tbl>
      <w:tblPr>
        <w:tblStyle w:val="10"/>
        <w:tblW w:w="9600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"/>
        <w:gridCol w:w="974"/>
        <w:gridCol w:w="1185"/>
        <w:gridCol w:w="1967"/>
        <w:gridCol w:w="780"/>
        <w:gridCol w:w="735"/>
        <w:gridCol w:w="735"/>
        <w:gridCol w:w="1170"/>
        <w:gridCol w:w="750"/>
        <w:gridCol w:w="7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  <w:jc w:val="center"/>
        </w:trPr>
        <w:tc>
          <w:tcPr>
            <w:tcW w:w="5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绩效指标性质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绩效度量单位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完成值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书宋_GBK" w:hAnsi="方正书宋_GBK" w:eastAsia="方正书宋_GBK" w:cs="方正书宋_GBK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举办教学次数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cs="Times New Roman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小时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1111</w:t>
            </w:r>
            <w:r>
              <w:rPr>
                <w:rStyle w:val="14"/>
                <w:lang w:val="en-US" w:eastAsia="zh-CN" w:bidi="ar"/>
              </w:rPr>
              <w:t>小时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书宋_GBK" w:hAnsi="方正书宋_GBK" w:eastAsia="方正书宋_GBK" w:cs="方正书宋_GBK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上座率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90%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书宋_GBK" w:hAnsi="方正书宋_GBK" w:eastAsia="方正书宋_GBK" w:cs="方正书宋_GBK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支出进度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书宋_GBK" w:hAnsi="方正书宋_GBK" w:eastAsia="方正书宋_GBK" w:cs="方正书宋_GBK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总成本控制在预算内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书宋_GBK" w:hAnsi="方正书宋_GBK" w:eastAsia="方正书宋_GBK" w:cs="方正书宋_GBK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万元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  <w:r>
              <w:rPr>
                <w:rStyle w:val="14"/>
                <w:lang w:val="en-US" w:eastAsia="zh-CN" w:bidi="ar"/>
              </w:rPr>
              <w:t>万元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书宋_GBK" w:hAnsi="方正书宋_GBK" w:eastAsia="方正书宋_GBK" w:cs="方正书宋_GBK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参加学习对社会的正面影响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定性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书宋_GBK" w:hAnsi="方正书宋_GBK" w:eastAsia="方正书宋_GBK" w:cs="方正书宋_GBK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5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5"/>
                <w:lang w:val="en-US" w:eastAsia="zh-CN" w:bidi="ar"/>
              </w:rPr>
              <w:t>满意度</w:t>
            </w:r>
            <w:r>
              <w:rPr>
                <w:rStyle w:val="16"/>
                <w:rFonts w:eastAsia="宋体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指标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书宋_GBK" w:hAnsi="方正书宋_GBK" w:eastAsia="方正书宋_GBK" w:cs="方正书宋_GBK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参加学习人员对教学的满意度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95%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</w:tr>
    </w:tbl>
    <w:p>
      <w:pPr>
        <w:spacing w:line="6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四、绩效评价指标分析</w:t>
      </w:r>
    </w:p>
    <w:p>
      <w:pPr>
        <w:spacing w:line="600" w:lineRule="exact"/>
        <w:ind w:firstLine="640" w:firstLineChars="200"/>
        <w:outlineLvl w:val="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（一）项目决策情况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提高政治站位，立足职能本位、把握时代方向，精心筹划工作方案。项目组多次召开专题会，研究讨论总体规划，确定了以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接老同志的兴趣爱好，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努力将朝阳老干部大学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打造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为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服务老干部的精神家园</w:t>
      </w:r>
      <w:r>
        <w:rPr>
          <w:rFonts w:hint="eastAsia" w:eastAsia="仿宋_GB2312" w:cs="Times New Roman"/>
          <w:color w:val="000000"/>
          <w:kern w:val="0"/>
          <w:sz w:val="32"/>
          <w:szCs w:val="32"/>
          <w:lang w:eastAsia="zh-CN"/>
        </w:rPr>
        <w:t>的工作目标，并落实到人，确保工作推动有力。</w:t>
      </w:r>
    </w:p>
    <w:p>
      <w:pPr>
        <w:numPr>
          <w:ilvl w:val="0"/>
          <w:numId w:val="0"/>
        </w:numPr>
        <w:ind w:left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（二）</w:t>
      </w:r>
      <w:r>
        <w:rPr>
          <w:rFonts w:hint="eastAsia" w:ascii="楷体_GB2312" w:hAnsi="楷体_GB2312" w:eastAsia="楷体_GB2312" w:cs="楷体_GB2312"/>
          <w:sz w:val="32"/>
          <w:szCs w:val="32"/>
        </w:rPr>
        <w:t>项目过程情况</w:t>
      </w:r>
    </w:p>
    <w:p>
      <w:pPr>
        <w:numPr>
          <w:ilvl w:val="0"/>
          <w:numId w:val="0"/>
        </w:numPr>
        <w:ind w:firstLine="640" w:firstLineChars="200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大学不断完善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管理制度，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明确责任落实，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定期召开班主任例会，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了解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情况解决问题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。注重教师队伍的管理，逐步形成人才库，聘请具有较高水准的任课教师授课，通过专业教师的指导，不断提升大学及队组的学习水平。各班主任认真履职，积极与老同志沟通，把控教学进度，积极开展各具特色的班级活动，不断提升服务水平，提升老同志的幸福感和满意度。</w:t>
      </w:r>
    </w:p>
    <w:p>
      <w:pPr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（三）项目产出情况</w:t>
      </w:r>
    </w:p>
    <w:p>
      <w:pPr>
        <w:ind w:firstLine="640" w:firstLineChars="200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2024年，活动中心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精准对接老同志的兴趣爱好，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努力将朝阳老干部大学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打造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为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服务老干部的精神家园，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老干部大学2月底完成招生工作，于3月正式开学，12月正式结课。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从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平台信息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化、课程多元化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管理规范化几个方面入手，进一步推动朝阳区老干部大学教学工作高质量发展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。一是大学的招生工作首次采用线上报名的方式；二是调整课程设置，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精心设计学习内容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；三是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完善管理制度，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明确责任落实；四是积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极探索“第二课堂”现场教学模式，开展现场教学、观摩和研学活动。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基本实现了教学有计划、管理有纪律、内容有特色、服务有温度的方针，课程内容受到老同志的普遍欢迎，圆满完成了既定目标。</w:t>
      </w:r>
    </w:p>
    <w:p>
      <w:pPr>
        <w:spacing w:line="600" w:lineRule="exact"/>
        <w:ind w:firstLine="640" w:firstLineChars="200"/>
        <w:outlineLvl w:val="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（四）项目效益情况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eastAsia="仿宋_GB2312" w:cs="Times New Roman"/>
          <w:color w:val="000000" w:themeColor="text1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今年，大学的活动从数量到质量均有所提升，紧密围绕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老同志的文化需求，以班级为单位，在期中、期末等节点，开展分享交流活动，如书画班多次开展笔会活动、钢琴班组织</w:t>
      </w:r>
      <w:r>
        <w:rPr>
          <w:rFonts w:hint="eastAsia" w:ascii="Times New Roman" w:hAnsi="Times New Roman" w:eastAsia="仿宋_GB2312" w:cs="Times New Roman"/>
          <w:b w:val="0"/>
          <w:bCs/>
          <w:kern w:val="0"/>
          <w:sz w:val="32"/>
          <w:szCs w:val="32"/>
          <w:shd w:val="clear" w:color="auto" w:fill="FFFFFF"/>
          <w:lang w:val="en-US" w:eastAsia="zh-CN" w:bidi="ar"/>
        </w:rPr>
        <w:t>《爱我中华》合奏、摄影班组织作品交流，艺术团开展朗诵、</w:t>
      </w:r>
      <w:r>
        <w:rPr>
          <w:rFonts w:hint="eastAsia" w:eastAsia="仿宋_GB2312" w:cs="Times New Roman"/>
          <w:b w:val="0"/>
          <w:bCs/>
          <w:kern w:val="0"/>
          <w:sz w:val="32"/>
          <w:szCs w:val="32"/>
          <w:shd w:val="clear" w:color="auto" w:fill="FFFFFF"/>
          <w:lang w:val="en-US" w:eastAsia="zh-CN" w:bidi="ar"/>
        </w:rPr>
        <w:t>舞蹈</w:t>
      </w:r>
      <w:r>
        <w:rPr>
          <w:rFonts w:hint="eastAsia" w:ascii="Times New Roman" w:hAnsi="Times New Roman" w:eastAsia="仿宋_GB2312" w:cs="Times New Roman"/>
          <w:b w:val="0"/>
          <w:bCs/>
          <w:kern w:val="0"/>
          <w:sz w:val="32"/>
          <w:szCs w:val="32"/>
          <w:shd w:val="clear" w:color="auto" w:fill="FFFFFF"/>
          <w:lang w:val="en-US" w:eastAsia="zh-CN" w:bidi="ar"/>
        </w:rPr>
        <w:t>展示等多项活动，通过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内容丰富、形式多样的分享交流，</w:t>
      </w:r>
      <w:r>
        <w:rPr>
          <w:rFonts w:hint="eastAsia" w:ascii="Times New Roman" w:hAnsi="Times New Roman" w:eastAsia="仿宋_GB2312" w:cs="Times New Roman"/>
          <w:b w:val="0"/>
          <w:bCs/>
          <w:kern w:val="0"/>
          <w:sz w:val="32"/>
          <w:szCs w:val="32"/>
          <w:shd w:val="clear" w:color="auto" w:fill="FFFFFF"/>
          <w:lang w:val="en-US" w:eastAsia="zh-CN" w:bidi="ar"/>
        </w:rPr>
        <w:t>提升学习的兴趣，展现学习的成果。同时，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在传统节日举办插花、香囊、茶艺</w:t>
      </w:r>
      <w:r>
        <w:rPr>
          <w:rFonts w:hint="eastAsia" w:eastAsia="仿宋_GB2312" w:cs="Times New Roman"/>
          <w:color w:val="000000" w:themeColor="text1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等培训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课程，</w:t>
      </w:r>
      <w:r>
        <w:rPr>
          <w:rFonts w:hint="eastAsia" w:eastAsia="仿宋_GB2312" w:cs="Times New Roman"/>
          <w:color w:val="000000" w:themeColor="text1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开展两场京剧演出，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弘扬中华优秀传统文化，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更好地满足老同志对美好生活的新期待。</w:t>
      </w:r>
    </w:p>
    <w:p>
      <w:pPr>
        <w:numPr>
          <w:ilvl w:val="0"/>
          <w:numId w:val="3"/>
        </w:numPr>
        <w:spacing w:line="60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主要经验及做法、存在的问题及原因分析</w:t>
      </w:r>
    </w:p>
    <w:p>
      <w:pPr>
        <w:spacing w:line="600" w:lineRule="exact"/>
        <w:ind w:firstLine="640" w:firstLineChars="200"/>
        <w:outlineLvl w:val="0"/>
        <w:rPr>
          <w:rFonts w:hint="default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（一）主要经验做法</w:t>
      </w:r>
    </w:p>
    <w:p>
      <w:pPr>
        <w:ind w:firstLine="643" w:firstLineChars="200"/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一是强化政治引领，传承红色基因。</w:t>
      </w:r>
      <w:r>
        <w:rPr>
          <w:rFonts w:hint="eastAsia" w:eastAsia="仿宋_GB2312" w:cs="Times New Roman"/>
          <w:color w:val="000000" w:themeColor="text1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2024年，活动中心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深入学习贯彻习近平新时代中国特色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社会主义思想</w:t>
      </w:r>
      <w:r>
        <w:rPr>
          <w:rFonts w:hint="eastAsia" w:eastAsia="仿宋_GB2312" w:cs="Times New Roman"/>
          <w:color w:val="000000" w:themeColor="text1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充分发挥老干部大学思想政治教育主阵地作用。</w:t>
      </w:r>
    </w:p>
    <w:p>
      <w:pPr>
        <w:ind w:firstLine="643" w:firstLineChars="200"/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二是强化成果展示，丰富活动内容。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始终坚持规范管理，用心用情、精准服务，不断推动朝阳区老干部大学及活动队组教学工作高质量发展，更好地满足老同志对美好生活的新期待。</w:t>
      </w:r>
    </w:p>
    <w:p>
      <w:pPr>
        <w:ind w:firstLine="321" w:firstLineChars="1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三是强化平台建设，加强视野拓展。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活动中心积极为老同志搭建平台载体，拓展领域空间，让老同志各显其能、各展其长。</w:t>
      </w:r>
    </w:p>
    <w:p>
      <w:pPr>
        <w:spacing w:line="600" w:lineRule="exact"/>
        <w:ind w:firstLine="640" w:firstLineChars="200"/>
        <w:outlineLvl w:val="0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（二）问题及原因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/>
          <w:color w:val="000000"/>
          <w:kern w:val="0"/>
          <w:sz w:val="32"/>
          <w:szCs w:val="32"/>
          <w:lang w:val="en-US" w:eastAsia="zh-CN" w:bidi="ar-SA"/>
        </w:rPr>
        <w:t>1.个性化需求掌握不全。</w:t>
      </w:r>
      <w:r>
        <w:rPr>
          <w:rFonts w:eastAsia="仿宋_GB2312"/>
          <w:color w:val="000000"/>
          <w:sz w:val="32"/>
          <w:szCs w:val="32"/>
        </w:rPr>
        <w:t>离退休干部个性化需求多样化，在组织学习和活动时与他们的需求有差距。</w:t>
      </w:r>
    </w:p>
    <w:p>
      <w:pPr>
        <w:pStyle w:val="1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eastAsia="仿宋_GB2312"/>
          <w:color w:val="000000"/>
          <w:sz w:val="32"/>
          <w:szCs w:val="32"/>
        </w:rPr>
      </w:pPr>
      <w:r>
        <w:rPr>
          <w:rFonts w:eastAsia="仿宋_GB2312"/>
          <w:b/>
          <w:color w:val="000000"/>
          <w:sz w:val="32"/>
          <w:szCs w:val="32"/>
        </w:rPr>
        <w:t>2.</w:t>
      </w:r>
      <w:r>
        <w:rPr>
          <w:rFonts w:hint="eastAsia" w:eastAsia="仿宋_GB2312"/>
          <w:b/>
          <w:color w:val="000000"/>
          <w:sz w:val="32"/>
          <w:szCs w:val="32"/>
        </w:rPr>
        <w:t>精细化服务做得不够</w:t>
      </w:r>
      <w:r>
        <w:rPr>
          <w:rFonts w:eastAsia="仿宋_GB2312"/>
          <w:b/>
          <w:color w:val="000000"/>
          <w:sz w:val="32"/>
          <w:szCs w:val="32"/>
        </w:rPr>
        <w:t>。</w:t>
      </w:r>
      <w:r>
        <w:rPr>
          <w:rFonts w:eastAsia="仿宋_GB2312"/>
          <w:color w:val="000000"/>
          <w:sz w:val="32"/>
          <w:szCs w:val="32"/>
        </w:rPr>
        <w:t>推进</w:t>
      </w:r>
      <w:r>
        <w:rPr>
          <w:rFonts w:hint="eastAsia" w:eastAsia="仿宋_GB2312"/>
          <w:color w:val="000000"/>
          <w:sz w:val="32"/>
          <w:szCs w:val="32"/>
        </w:rPr>
        <w:t>学习活动</w:t>
      </w:r>
      <w:r>
        <w:rPr>
          <w:rFonts w:eastAsia="仿宋_GB2312"/>
          <w:color w:val="000000"/>
          <w:sz w:val="32"/>
          <w:szCs w:val="32"/>
        </w:rPr>
        <w:t>工作过程中</w:t>
      </w:r>
      <w:r>
        <w:rPr>
          <w:rFonts w:hint="eastAsia" w:eastAsia="仿宋_GB2312"/>
          <w:color w:val="000000"/>
          <w:sz w:val="32"/>
          <w:szCs w:val="32"/>
        </w:rPr>
        <w:t>遇到新问题</w:t>
      </w:r>
      <w:r>
        <w:rPr>
          <w:rFonts w:eastAsia="仿宋_GB2312"/>
          <w:color w:val="000000"/>
          <w:sz w:val="32"/>
          <w:szCs w:val="32"/>
        </w:rPr>
        <w:t>，工作标准高，</w:t>
      </w:r>
      <w:r>
        <w:rPr>
          <w:rFonts w:hint="eastAsia" w:eastAsia="仿宋_GB2312"/>
          <w:color w:val="000000"/>
          <w:sz w:val="32"/>
          <w:szCs w:val="32"/>
        </w:rPr>
        <w:t>复杂化和精细化要求高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eastAsia="仿宋_GB2312"/>
          <w:color w:val="000000"/>
          <w:sz w:val="32"/>
          <w:szCs w:val="32"/>
        </w:rPr>
        <w:t>需要我们进行改进。</w:t>
      </w:r>
    </w:p>
    <w:p>
      <w:pPr>
        <w:pStyle w:val="1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eastAsia="仿宋_GB2312"/>
          <w:color w:val="000000"/>
          <w:sz w:val="32"/>
          <w:szCs w:val="32"/>
          <w:lang w:eastAsia="zh-CN"/>
        </w:rPr>
      </w:pPr>
      <w:r>
        <w:rPr>
          <w:rFonts w:hint="eastAsia" w:eastAsia="仿宋_GB2312"/>
          <w:color w:val="000000"/>
          <w:sz w:val="32"/>
          <w:szCs w:val="32"/>
          <w:lang w:eastAsia="zh-CN"/>
        </w:rPr>
        <w:t>说明我们的工作标准还需提高，工作的创新能力还需进一步加强，不断提高为老同志服务的能力和本领。</w:t>
      </w:r>
    </w:p>
    <w:p>
      <w:pPr>
        <w:pStyle w:val="17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有关建议</w:t>
      </w:r>
    </w:p>
    <w:p>
      <w:pPr>
        <w:ind w:firstLine="640" w:firstLineChars="200"/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一是提高工作站位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，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强化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责任担当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。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从全局视野，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站在人口老龄化的大背景下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分析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离退休干部的文化养老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工作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，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充分认识做好新时代离退休干部工作的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必要性和重要性。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二是注重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与时俱进，扩大资源共享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。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不能照搬原先的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管理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体系，必须符合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现有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的需要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，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顺应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发展潮流，加快信息化建设的步伐，打破固有思维，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勇于将创新与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实践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相结合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，不断探究解决问题之法。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三是提升工作质量，强调精准服务。需深入老同志去了解他们的精神文化需求，顺应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广大离退休干部对美好生活的向往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，不断提高服务的针对性和实效性。</w:t>
      </w:r>
    </w:p>
    <w:p>
      <w:pPr>
        <w:spacing w:line="6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七、其他需要说明的问题</w:t>
      </w:r>
    </w:p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/>
        <w:textAlignment w:val="auto"/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无</w:t>
      </w:r>
    </w:p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3520" w:firstLineChars="1100"/>
        <w:textAlignment w:val="auto"/>
        <w:rPr>
          <w:rFonts w:hint="eastAsia" w:hAnsi="宋体" w:cs="宋体"/>
          <w:color w:val="000000"/>
          <w:kern w:val="0"/>
          <w:sz w:val="32"/>
          <w:szCs w:val="32"/>
          <w:lang w:val="en-US" w:eastAsia="zh-CN"/>
        </w:rPr>
      </w:pPr>
    </w:p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3520" w:firstLineChars="1100"/>
        <w:textAlignment w:val="auto"/>
        <w:rPr>
          <w:rFonts w:hint="eastAsia" w:hAnsi="宋体" w:cs="宋体"/>
          <w:color w:val="000000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decorative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方正黑体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DejaVu Sans">
    <w:altName w:val="Segoe Print"/>
    <w:panose1 w:val="020B0603030804020204"/>
    <w:charset w:val="00"/>
    <w:family w:val="auto"/>
    <w:pitch w:val="default"/>
    <w:sig w:usb0="00000000" w:usb1="00000000" w:usb2="0A246029" w:usb3="0400200C" w:csb0="600001FF" w:csb1="DFFF0000"/>
  </w:font>
  <w:font w:name="方正兰亭粗黑_GBK">
    <w:altName w:val="黑体"/>
    <w:panose1 w:val="02000000000000000000"/>
    <w:charset w:val="86"/>
    <w:family w:val="auto"/>
    <w:pitch w:val="default"/>
    <w:sig w:usb0="00000000" w:usb1="00000000" w:usb2="00080016" w:usb3="00000000" w:csb0="00040001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方正大标宋_GBK">
    <w:altName w:val="宋体"/>
    <w:panose1 w:val="02000000000000000000"/>
    <w:charset w:val="86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隶书_GBK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魏碑_GBK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行楷_GBK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楷体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细黑一_GBK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  <w:font w:name="隶书">
    <w:altName w:val="微软雅黑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font-weight : 400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Liberation Sans">
    <w:altName w:val="CESI仿宋-GB18030"/>
    <w:panose1 w:val="00000000000000000000"/>
    <w:charset w:val="00"/>
    <w:family w:val="swiss"/>
    <w:pitch w:val="default"/>
    <w:sig w:usb0="00000000" w:usb1="00000000" w:usb2="00000000" w:usb3="00000000" w:csb0="00040001" w:csb1="00000000"/>
  </w:font>
  <w:font w:name="Noto Sans CJK SC Regular">
    <w:altName w:val="宋体"/>
    <w:panose1 w:val="020B0500000000000000"/>
    <w:charset w:val="86"/>
    <w:family w:val="auto"/>
    <w:pitch w:val="default"/>
    <w:sig w:usb0="00000000" w:usb1="00000000" w:usb2="00000016" w:usb3="00000000" w:csb0="602E0107" w:csb1="00000000"/>
  </w:font>
  <w:font w:name="仿体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PingFang SC Regular">
    <w:altName w:val="Times New Roman"/>
    <w:panose1 w:val="00000000000000000000"/>
    <w:charset w:val="00"/>
    <w:family w:val="decorative"/>
    <w:pitch w:val="default"/>
    <w:sig w:usb0="00000000" w:usb1="00000000" w:usb2="00000000" w:usb3="00000000" w:csb0="00000000" w:csb1="00000000"/>
  </w:font>
  <w:font w:name="PingFang SC Semibold">
    <w:altName w:val="Times New Roman"/>
    <w:panose1 w:val="00000000000000000000"/>
    <w:charset w:val="00"/>
    <w:family w:val="decorative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ESI仿宋-GB18030">
    <w:panose1 w:val="02000500000000000000"/>
    <w:charset w:val="86"/>
    <w:family w:val="auto"/>
    <w:pitch w:val="default"/>
    <w:sig w:usb0="A00002BF" w:usb1="38C7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HP4ZNkPAgAABwQAAA4AAAAAAAAAAQAgAAAA&#10;HwEAAGRycy9lMm9Eb2MueG1sUEsFBgAAAAAGAAYAWQEAAK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0FB3DD8"/>
    <w:multiLevelType w:val="singleLevel"/>
    <w:tmpl w:val="E0FB3DD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FDAB75D6"/>
    <w:multiLevelType w:val="singleLevel"/>
    <w:tmpl w:val="FDAB75D6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67886A0B"/>
    <w:multiLevelType w:val="singleLevel"/>
    <w:tmpl w:val="67886A0B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00BB3BDA"/>
    <w:rsid w:val="00F84B2A"/>
    <w:rsid w:val="06381AF5"/>
    <w:rsid w:val="083E51F8"/>
    <w:rsid w:val="0A8A585C"/>
    <w:rsid w:val="0FC833FD"/>
    <w:rsid w:val="12992C03"/>
    <w:rsid w:val="1FA31EA6"/>
    <w:rsid w:val="23B032DF"/>
    <w:rsid w:val="27610832"/>
    <w:rsid w:val="31AF3171"/>
    <w:rsid w:val="34A846F3"/>
    <w:rsid w:val="37173543"/>
    <w:rsid w:val="3FF76880"/>
    <w:rsid w:val="43744EF9"/>
    <w:rsid w:val="50290C58"/>
    <w:rsid w:val="5C073259"/>
    <w:rsid w:val="655F6BFE"/>
    <w:rsid w:val="658E2AA4"/>
    <w:rsid w:val="67DE6AE2"/>
    <w:rsid w:val="6A234FFC"/>
    <w:rsid w:val="71AE6998"/>
    <w:rsid w:val="73D9DC48"/>
    <w:rsid w:val="76716639"/>
    <w:rsid w:val="77384FBA"/>
    <w:rsid w:val="79A304E1"/>
    <w:rsid w:val="7AB7FF50"/>
    <w:rsid w:val="7BFEB0DB"/>
    <w:rsid w:val="7FCE2862"/>
    <w:rsid w:val="7FFBC41C"/>
    <w:rsid w:val="7FFBF330"/>
    <w:rsid w:val="BFE85A0B"/>
    <w:rsid w:val="CEFD3F3D"/>
    <w:rsid w:val="CFBF0C4B"/>
    <w:rsid w:val="EA3F77F2"/>
    <w:rsid w:val="EEFE5989"/>
    <w:rsid w:val="EFCF3EAE"/>
    <w:rsid w:val="F5B764A2"/>
    <w:rsid w:val="F77F09F4"/>
    <w:rsid w:val="F7CF8132"/>
    <w:rsid w:val="FFD7BFFC"/>
    <w:rsid w:val="FFFA6B0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paragraph" w:styleId="6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9">
    <w:name w:val="Default Paragraph Font"/>
    <w:unhideWhenUsed/>
    <w:qFormat/>
    <w:uiPriority w:val="1"/>
  </w:style>
  <w:style w:type="table" w:default="1" w:styleId="10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line="560" w:lineRule="exact"/>
      <w:ind w:firstLine="640" w:firstLineChars="200"/>
    </w:pPr>
    <w:rPr>
      <w:rFonts w:eastAsia="仿宋_GB2312"/>
      <w:sz w:val="32"/>
      <w:szCs w:val="20"/>
    </w:rPr>
  </w:style>
  <w:style w:type="paragraph" w:styleId="3">
    <w:name w:val="Body Text"/>
    <w:basedOn w:val="1"/>
    <w:next w:val="4"/>
    <w:uiPriority w:val="0"/>
    <w:rPr>
      <w:rFonts w:ascii="仿宋_GB2312"/>
    </w:rPr>
  </w:style>
  <w:style w:type="paragraph" w:customStyle="1" w:styleId="4">
    <w:name w:val="目录 11"/>
    <w:basedOn w:val="1"/>
    <w:next w:val="1"/>
    <w:qFormat/>
    <w:uiPriority w:val="99"/>
    <w:pPr>
      <w:widowControl/>
      <w:wordWrap w:val="0"/>
    </w:pPr>
    <w:rPr>
      <w:rFonts w:ascii="Calibri" w:hAnsi="Calibri" w:cs="Calibri"/>
      <w:kern w:val="0"/>
      <w:szCs w:val="21"/>
    </w:rPr>
  </w:style>
  <w:style w:type="paragraph" w:styleId="7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1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  <w:style w:type="character" w:customStyle="1" w:styleId="12">
    <w:name w:val="font51"/>
    <w:basedOn w:val="9"/>
    <w:uiPriority w:val="0"/>
    <w:rPr>
      <w:rFonts w:hint="eastAsia" w:ascii="宋体" w:hAnsi="宋体" w:eastAsia="宋体" w:cs="宋体"/>
      <w:b/>
      <w:color w:val="000000"/>
      <w:sz w:val="18"/>
      <w:szCs w:val="18"/>
      <w:u w:val="none"/>
    </w:rPr>
  </w:style>
  <w:style w:type="character" w:customStyle="1" w:styleId="13">
    <w:name w:val="font31"/>
    <w:basedOn w:val="9"/>
    <w:qFormat/>
    <w:uiPriority w:val="0"/>
    <w:rPr>
      <w:rFonts w:hint="default" w:ascii="Times New Roman" w:hAnsi="Times New Roman" w:cs="Times New Roman"/>
      <w:b/>
      <w:color w:val="000000"/>
      <w:sz w:val="18"/>
      <w:szCs w:val="18"/>
      <w:u w:val="none"/>
    </w:rPr>
  </w:style>
  <w:style w:type="character" w:customStyle="1" w:styleId="14">
    <w:name w:val="font41"/>
    <w:basedOn w:val="9"/>
    <w:qFormat/>
    <w:uiPriority w:val="0"/>
    <w:rPr>
      <w:rFonts w:hint="eastAsia" w:ascii="方正书宋_GBK" w:hAnsi="方正书宋_GBK" w:eastAsia="方正书宋_GBK" w:cs="方正书宋_GBK"/>
      <w:color w:val="000000"/>
      <w:sz w:val="18"/>
      <w:szCs w:val="18"/>
      <w:u w:val="none"/>
    </w:rPr>
  </w:style>
  <w:style w:type="character" w:customStyle="1" w:styleId="15">
    <w:name w:val="font61"/>
    <w:basedOn w:val="9"/>
    <w:uiPriority w:val="0"/>
    <w:rPr>
      <w:rFonts w:hint="eastAsia" w:ascii="宋体" w:hAnsi="宋体" w:eastAsia="宋体" w:cs="宋体"/>
      <w:b/>
      <w:color w:val="000000"/>
      <w:sz w:val="18"/>
      <w:szCs w:val="18"/>
      <w:u w:val="none"/>
    </w:rPr>
  </w:style>
  <w:style w:type="character" w:customStyle="1" w:styleId="16">
    <w:name w:val="font11"/>
    <w:basedOn w:val="9"/>
    <w:qFormat/>
    <w:uiPriority w:val="0"/>
    <w:rPr>
      <w:rFonts w:hint="default" w:ascii="Times New Roman" w:hAnsi="Times New Roman" w:cs="Times New Roman"/>
      <w:b/>
      <w:color w:val="000000"/>
      <w:sz w:val="18"/>
      <w:szCs w:val="18"/>
      <w:u w:val="none"/>
    </w:rPr>
  </w:style>
  <w:style w:type="paragraph" w:customStyle="1" w:styleId="17">
    <w:name w:val="p0"/>
    <w:basedOn w:val="1"/>
    <w:qFormat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266</Words>
  <Characters>21</Characters>
  <Lines>1</Lines>
  <Paragraphs>1</Paragraphs>
  <ScaleCrop>false</ScaleCrop>
  <LinksUpToDate>false</LinksUpToDate>
  <CharactersWithSpaces>286</CharactersWithSpaces>
  <Application>WPS Office_10.8.0.6308_F1E327BC-269C-435d-A152-05C5408002CA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2022-03-10T11:16:00Z</dcterms:created>
  <dc:creator>user</dc:creator>
  <cp:lastModifiedBy>lmc</cp:lastModifiedBy>
  <cp:lastPrinted>2025-03-14T00:39:00Z</cp:lastPrinted>
  <dcterms:modified xsi:type="dcterms:W3CDTF">2025-08-28T08:28:09Z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