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80" w:lineRule="exact"/>
        <w:ind w:right="0" w:rightChars="0"/>
        <w:jc w:val="center"/>
        <w:textAlignment w:val="auto"/>
        <w:rPr>
          <w:rFonts w:hint="eastAsia" w:ascii="方正小标宋简体" w:eastAsia="方正小标宋简体"/>
          <w:sz w:val="36"/>
          <w:szCs w:val="36"/>
        </w:rPr>
      </w:pPr>
      <w:r>
        <w:rPr>
          <w:rFonts w:hint="eastAsia" w:ascii="方正小标宋简体" w:eastAsia="方正小标宋简体"/>
          <w:sz w:val="36"/>
          <w:szCs w:val="36"/>
          <w:lang w:eastAsia="zh-CN"/>
        </w:rPr>
        <w:t>部</w:t>
      </w:r>
      <w:r>
        <w:rPr>
          <w:rFonts w:hint="eastAsia" w:ascii="方正小标宋简体" w:eastAsia="方正小标宋简体"/>
          <w:sz w:val="36"/>
          <w:szCs w:val="36"/>
        </w:rPr>
        <w:t>门整体绩效</w:t>
      </w:r>
      <w:r>
        <w:rPr>
          <w:rFonts w:hint="eastAsia" w:ascii="方正小标宋简体" w:eastAsia="方正小标宋简体"/>
          <w:sz w:val="36"/>
          <w:szCs w:val="36"/>
          <w:lang w:eastAsia="zh-CN"/>
        </w:rPr>
        <w:t>评价</w:t>
      </w:r>
      <w:r>
        <w:rPr>
          <w:rFonts w:hint="eastAsia" w:ascii="方正小标宋简体" w:eastAsia="方正小标宋简体"/>
          <w:sz w:val="36"/>
          <w:szCs w:val="36"/>
        </w:rPr>
        <w:t>报告</w:t>
      </w:r>
    </w:p>
    <w:p>
      <w:pPr>
        <w:pageBreakBefore w:val="0"/>
        <w:kinsoku/>
        <w:wordWrap/>
        <w:overflowPunct/>
        <w:topLinePunct w:val="0"/>
        <w:autoSpaceDE/>
        <w:autoSpaceDN/>
        <w:bidi w:val="0"/>
        <w:adjustRightInd/>
        <w:snapToGrid/>
        <w:spacing w:line="580" w:lineRule="exact"/>
        <w:ind w:right="0" w:rightChars="0" w:firstLine="640" w:firstLineChars="200"/>
        <w:textAlignment w:val="auto"/>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pageBreakBefore w:val="0"/>
        <w:kinsoku/>
        <w:wordWrap/>
        <w:overflowPunct/>
        <w:topLinePunct w:val="0"/>
        <w:autoSpaceDE/>
        <w:autoSpaceDN/>
        <w:bidi w:val="0"/>
        <w:adjustRightInd/>
        <w:snapToGrid/>
        <w:spacing w:line="580" w:lineRule="exact"/>
        <w:ind w:right="0" w:rightChars="0" w:firstLine="640" w:firstLineChars="200"/>
        <w:textAlignment w:val="auto"/>
        <w:rPr>
          <w:rFonts w:hint="eastAsia" w:ascii="楷体_GB2312" w:eastAsia="楷体_GB2312"/>
          <w:sz w:val="32"/>
          <w:szCs w:val="32"/>
        </w:rPr>
      </w:pPr>
      <w:r>
        <w:rPr>
          <w:rFonts w:hint="eastAsia" w:ascii="楷体_GB2312" w:eastAsia="楷体_GB2312"/>
          <w:sz w:val="32"/>
          <w:szCs w:val="32"/>
        </w:rPr>
        <w:t>（一）机构设置及职责工作任务情况</w:t>
      </w:r>
    </w:p>
    <w:p>
      <w:pPr>
        <w:pageBreakBefore w:val="0"/>
        <w:kinsoku/>
        <w:wordWrap/>
        <w:overflowPunct/>
        <w:topLinePunct w:val="0"/>
        <w:autoSpaceDE/>
        <w:autoSpaceDN/>
        <w:bidi w:val="0"/>
        <w:adjustRightInd/>
        <w:snapToGrid/>
        <w:spacing w:line="580" w:lineRule="exact"/>
        <w:ind w:right="0" w:rightChars="0" w:firstLine="643" w:firstLineChars="200"/>
        <w:textAlignment w:val="auto"/>
        <w:rPr>
          <w:rFonts w:hint="eastAsia" w:ascii="仿宋_GB2312" w:eastAsia="仿宋_GB2312" w:hAnsiTheme="minorEastAsia"/>
          <w:b/>
          <w:bCs/>
          <w:sz w:val="32"/>
          <w:szCs w:val="32"/>
          <w:lang w:val="en-US" w:eastAsia="zh-CN"/>
        </w:rPr>
      </w:pPr>
      <w:r>
        <w:rPr>
          <w:rFonts w:hint="eastAsia" w:ascii="仿宋_GB2312" w:eastAsia="仿宋_GB2312" w:hAnsiTheme="minorEastAsia"/>
          <w:b/>
          <w:bCs/>
          <w:sz w:val="32"/>
          <w:szCs w:val="32"/>
          <w:lang w:val="en-US" w:eastAsia="zh-CN"/>
        </w:rPr>
        <w:t>1.</w:t>
      </w:r>
      <w:r>
        <w:rPr>
          <w:rFonts w:hint="eastAsia" w:ascii="仿宋_GB2312" w:eastAsia="仿宋_GB2312" w:hAnsiTheme="minorEastAsia"/>
          <w:b/>
          <w:bCs/>
          <w:sz w:val="32"/>
          <w:szCs w:val="32"/>
        </w:rPr>
        <w:t>部门机构设置情况</w:t>
      </w:r>
      <w:r>
        <w:rPr>
          <w:rFonts w:hint="eastAsia" w:ascii="仿宋_GB2312" w:eastAsia="仿宋_GB2312" w:hAnsiTheme="minorEastAsia"/>
          <w:b/>
          <w:bCs/>
          <w:sz w:val="32"/>
          <w:szCs w:val="32"/>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right="0" w:rightChars="0" w:firstLine="640" w:firstLineChars="200"/>
        <w:jc w:val="left"/>
        <w:textAlignment w:val="center"/>
        <w:rPr>
          <w:rFonts w:hint="eastAsia" w:ascii="仿宋_GB2312" w:eastAsia="仿宋_GB2312" w:hAnsiTheme="minorEastAsia"/>
          <w:b w:val="0"/>
          <w:sz w:val="32"/>
          <w:szCs w:val="32"/>
          <w:highlight w:val="yellow"/>
        </w:rPr>
      </w:pPr>
      <w:r>
        <w:rPr>
          <w:rFonts w:hint="eastAsia" w:ascii="仿宋_GB2312" w:eastAsia="仿宋_GB2312" w:hAnsiTheme="minorEastAsia"/>
          <w:b w:val="0"/>
          <w:sz w:val="32"/>
          <w:szCs w:val="32"/>
        </w:rPr>
        <w:t>中共北京市朝阳区委老干部局是区委主管本区离退休干部工作的工作机关，归口区委组织部管理。局机关编制行政科室3个：办公室、组织指导科、服务管理科；下属参照公务员法管理事业单位1个：老干部活动中心（老干部大学、老干部党校）。</w:t>
      </w:r>
    </w:p>
    <w:p>
      <w:pPr>
        <w:pStyle w:val="5"/>
        <w:pageBreakBefore w:val="0"/>
        <w:kinsoku/>
        <w:wordWrap/>
        <w:overflowPunct/>
        <w:topLinePunct w:val="0"/>
        <w:autoSpaceDE/>
        <w:autoSpaceDN/>
        <w:bidi w:val="0"/>
        <w:adjustRightInd/>
        <w:snapToGrid/>
        <w:spacing w:line="580" w:lineRule="exact"/>
        <w:ind w:right="0" w:rightChars="0" w:firstLine="643" w:firstLineChars="200"/>
        <w:jc w:val="left"/>
        <w:textAlignment w:val="auto"/>
        <w:rPr>
          <w:rFonts w:ascii="Times New Roman" w:hAnsi="Times New Roman" w:eastAsia="楷体" w:cs="Times New Roman"/>
          <w:sz w:val="32"/>
          <w:szCs w:val="32"/>
        </w:rPr>
      </w:pPr>
      <w:r>
        <w:rPr>
          <w:rFonts w:hint="eastAsia" w:ascii="仿宋_GB2312" w:eastAsia="仿宋_GB2312" w:cs="Times New Roman" w:hAnsiTheme="minorEastAsia"/>
          <w:b/>
          <w:bCs/>
          <w:kern w:val="2"/>
          <w:sz w:val="32"/>
          <w:szCs w:val="32"/>
          <w:lang w:val="en-US" w:eastAsia="zh-CN" w:bidi="ar-SA"/>
        </w:rPr>
        <w:t>2.部门职能情况。</w:t>
      </w:r>
    </w:p>
    <w:p>
      <w:pPr>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rPr>
          <w:rFonts w:ascii="仿宋_GB2312" w:eastAsia="仿宋_GB2312" w:cs="宋体" w:hAnsiTheme="minorEastAsia"/>
          <w:b w:val="0"/>
          <w:color w:val="000000"/>
          <w:kern w:val="0"/>
          <w:sz w:val="32"/>
          <w:szCs w:val="32"/>
        </w:rPr>
      </w:pPr>
      <w:r>
        <w:rPr>
          <w:rFonts w:hint="eastAsia" w:eastAsia="仿宋_GB2312"/>
          <w:b w:val="0"/>
          <w:bCs w:val="0"/>
          <w:sz w:val="32"/>
          <w:szCs w:val="32"/>
        </w:rPr>
        <w:t xml:space="preserve"> </w:t>
      </w:r>
      <w:r>
        <w:rPr>
          <w:rFonts w:hint="eastAsia" w:ascii="仿宋_GB2312" w:eastAsia="仿宋_GB2312" w:cs="宋体" w:hAnsiTheme="minorEastAsia"/>
          <w:b w:val="0"/>
          <w:color w:val="000000"/>
          <w:kern w:val="0"/>
          <w:sz w:val="32"/>
          <w:szCs w:val="32"/>
        </w:rPr>
        <w:t>（1）贯彻执行党中央、国务院和市委、市政府关于离退休干部工作的各项方针、政策及区委、区政府关于离退休干部工作的要求,向区委提出加强和改进离退休干部工作的意见建议，协助区委研究制定离退休干部的规划计划、政策措施、制度规定并组织实施。</w:t>
      </w:r>
    </w:p>
    <w:p>
      <w:pPr>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rPr>
          <w:rFonts w:ascii="仿宋_GB2312" w:eastAsia="仿宋_GB2312" w:cs="宋体" w:hAnsiTheme="minorEastAsia"/>
          <w:b w:val="0"/>
          <w:color w:val="000000"/>
          <w:kern w:val="0"/>
          <w:sz w:val="32"/>
          <w:szCs w:val="32"/>
        </w:rPr>
      </w:pPr>
      <w:r>
        <w:rPr>
          <w:rFonts w:hint="eastAsia" w:ascii="仿宋_GB2312" w:eastAsia="仿宋_GB2312" w:cs="宋体" w:hAnsiTheme="minorEastAsia"/>
          <w:b w:val="0"/>
          <w:color w:val="000000"/>
          <w:kern w:val="0"/>
          <w:sz w:val="32"/>
          <w:szCs w:val="32"/>
        </w:rPr>
        <w:t>（2）指导协调本区离退休干部党组织建设和党员教育管理工作，指导开展离退休干部思想政治工作。</w:t>
      </w:r>
    </w:p>
    <w:p>
      <w:pPr>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rPr>
          <w:rFonts w:ascii="仿宋_GB2312" w:eastAsia="仿宋_GB2312" w:cs="宋体" w:hAnsiTheme="minorEastAsia"/>
          <w:b w:val="0"/>
          <w:color w:val="000000"/>
          <w:kern w:val="0"/>
          <w:sz w:val="32"/>
          <w:szCs w:val="32"/>
        </w:rPr>
      </w:pPr>
      <w:r>
        <w:rPr>
          <w:rFonts w:hint="eastAsia" w:ascii="仿宋_GB2312" w:eastAsia="仿宋_GB2312" w:cs="宋体" w:hAnsiTheme="minorEastAsia"/>
          <w:b w:val="0"/>
          <w:color w:val="000000"/>
          <w:kern w:val="0"/>
          <w:sz w:val="32"/>
          <w:szCs w:val="32"/>
        </w:rPr>
        <w:t>（3）组织协调本区离退休干部开展学习活动，引导离退休干部发挥作用。</w:t>
      </w:r>
    </w:p>
    <w:p>
      <w:pPr>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rPr>
          <w:rFonts w:ascii="仿宋_GB2312" w:eastAsia="仿宋_GB2312" w:cs="宋体" w:hAnsiTheme="minorEastAsia"/>
          <w:b w:val="0"/>
          <w:color w:val="000000"/>
          <w:kern w:val="0"/>
          <w:sz w:val="32"/>
          <w:szCs w:val="32"/>
        </w:rPr>
      </w:pPr>
      <w:r>
        <w:rPr>
          <w:rFonts w:hint="eastAsia" w:ascii="仿宋_GB2312" w:eastAsia="仿宋_GB2312" w:cs="宋体" w:hAnsiTheme="minorEastAsia"/>
          <w:b w:val="0"/>
          <w:color w:val="000000"/>
          <w:kern w:val="0"/>
          <w:sz w:val="32"/>
          <w:szCs w:val="32"/>
        </w:rPr>
        <w:t>（4）组织指导离退休干部服务管理工作和易地安置离休干部服务管理工作，落实好政策待遇，保障各项权益。</w:t>
      </w:r>
    </w:p>
    <w:p>
      <w:pPr>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rPr>
          <w:rFonts w:ascii="仿宋_GB2312" w:eastAsia="仿宋_GB2312" w:cs="宋体" w:hAnsiTheme="minorEastAsia"/>
          <w:b w:val="0"/>
          <w:color w:val="000000"/>
          <w:kern w:val="0"/>
          <w:sz w:val="32"/>
          <w:szCs w:val="32"/>
        </w:rPr>
      </w:pPr>
      <w:r>
        <w:rPr>
          <w:rFonts w:hint="eastAsia" w:ascii="仿宋_GB2312" w:eastAsia="仿宋_GB2312" w:cs="宋体" w:hAnsiTheme="minorEastAsia"/>
          <w:b w:val="0"/>
          <w:color w:val="000000"/>
          <w:kern w:val="0"/>
          <w:sz w:val="32"/>
          <w:szCs w:val="32"/>
        </w:rPr>
        <w:t>（5）负责管理和指导老干部活动中心。</w:t>
      </w:r>
    </w:p>
    <w:p>
      <w:pPr>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rPr>
          <w:rFonts w:hint="eastAsia" w:ascii="仿宋_GB2312" w:eastAsia="仿宋_GB2312" w:hAnsiTheme="minorEastAsia"/>
          <w:b w:val="0"/>
          <w:sz w:val="32"/>
          <w:szCs w:val="32"/>
        </w:rPr>
      </w:pPr>
      <w:r>
        <w:rPr>
          <w:rFonts w:hint="eastAsia" w:ascii="仿宋_GB2312" w:eastAsia="仿宋_GB2312" w:cs="宋体" w:hAnsiTheme="minorEastAsia"/>
          <w:b w:val="0"/>
          <w:color w:val="000000"/>
          <w:kern w:val="0"/>
          <w:sz w:val="32"/>
          <w:szCs w:val="32"/>
        </w:rPr>
        <w:t>（6）完成区委、区政府和区委组织部交办的其他任务。</w:t>
      </w:r>
      <w:r>
        <w:rPr>
          <w:rFonts w:hint="eastAsia" w:ascii="仿宋_GB2312" w:eastAsia="仿宋_GB2312"/>
          <w:b w:val="0"/>
          <w:bCs w:val="0"/>
          <w:sz w:val="32"/>
          <w:szCs w:val="32"/>
        </w:rPr>
        <w:t xml:space="preserve"> </w:t>
      </w:r>
    </w:p>
    <w:p>
      <w:pPr>
        <w:pageBreakBefore w:val="0"/>
        <w:kinsoku/>
        <w:wordWrap/>
        <w:overflowPunct/>
        <w:topLinePunct w:val="0"/>
        <w:autoSpaceDE/>
        <w:autoSpaceDN/>
        <w:bidi w:val="0"/>
        <w:adjustRightInd/>
        <w:snapToGrid/>
        <w:spacing w:line="580" w:lineRule="exact"/>
        <w:ind w:right="0" w:rightChars="0" w:firstLine="640" w:firstLineChars="200"/>
        <w:textAlignment w:val="auto"/>
        <w:rPr>
          <w:rFonts w:hint="eastAsia" w:ascii="楷体_GB2312" w:eastAsia="楷体_GB2312"/>
          <w:sz w:val="32"/>
          <w:szCs w:val="32"/>
        </w:rPr>
      </w:pPr>
      <w:r>
        <w:rPr>
          <w:rFonts w:hint="eastAsia" w:ascii="楷体_GB2312" w:eastAsia="楷体_GB2312"/>
          <w:sz w:val="32"/>
          <w:szCs w:val="32"/>
        </w:rPr>
        <w:t>（二）部门整体绩效目标设立情况</w:t>
      </w:r>
    </w:p>
    <w:p>
      <w:pPr>
        <w:pageBreakBefore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eastAsia="仿宋_GB2312" w:cs="宋体" w:hAnsiTheme="minorEastAsia"/>
          <w:b w:val="0"/>
          <w:color w:val="000000"/>
          <w:kern w:val="0"/>
          <w:sz w:val="32"/>
          <w:szCs w:val="32"/>
          <w:lang w:val="en-US" w:eastAsia="zh-CN" w:bidi="ar-SA"/>
        </w:rPr>
      </w:pPr>
      <w:r>
        <w:rPr>
          <w:rFonts w:hint="eastAsia" w:ascii="仿宋_GB2312" w:eastAsia="仿宋_GB2312" w:cs="宋体" w:hAnsiTheme="minorEastAsia"/>
          <w:b w:val="0"/>
          <w:color w:val="000000"/>
          <w:kern w:val="0"/>
          <w:sz w:val="32"/>
          <w:szCs w:val="32"/>
          <w:lang w:val="en-US" w:eastAsia="zh-CN" w:bidi="ar-SA"/>
        </w:rPr>
        <w:t>部门整体目标的设立是对本单位职能进行认真梳理后，确定了各项工作职责，结合年度工作任务，预计单位在本年度内履职所需要达到的总体产出和效果，并以定量和定性相结合的方式进行表述，最终确定了单位的总体目标。在确定单位总体年度目标的基础上，结合二级指标内容，按照年度重点工作任务和预算资金安排情参考相关历史数据、行业标准、计划标准等，科学设定指标值。指标值的设定在考虑可实现性的基础上，尽量从严、从高设定，以充分发挥绩效目标对预算编制执行的引导约束和控制作用，从而达到目标与职责任务的相匹配和目标的合理性。</w:t>
      </w:r>
    </w:p>
    <w:p>
      <w:pPr>
        <w:pageBreakBefore w:val="0"/>
        <w:kinsoku/>
        <w:wordWrap/>
        <w:overflowPunct/>
        <w:topLinePunct w:val="0"/>
        <w:autoSpaceDE/>
        <w:autoSpaceDN/>
        <w:bidi w:val="0"/>
        <w:adjustRightInd/>
        <w:snapToGrid/>
        <w:spacing w:line="580" w:lineRule="exact"/>
        <w:ind w:right="0" w:rightChars="0" w:firstLine="540" w:firstLineChars="200"/>
        <w:textAlignment w:val="auto"/>
        <w:rPr>
          <w:rFonts w:ascii="黑体" w:hAnsi="黑体" w:eastAsia="黑体" w:cs="宋体"/>
          <w:color w:val="000000"/>
          <w:kern w:val="0"/>
          <w:sz w:val="32"/>
          <w:szCs w:val="32"/>
        </w:rPr>
      </w:pPr>
      <w:r>
        <w:rPr>
          <w:rFonts w:hint="eastAsia" w:ascii="微软雅黑" w:hAnsi="微软雅黑" w:eastAsia="微软雅黑" w:cs="微软雅黑"/>
          <w:i w:val="0"/>
          <w:caps w:val="0"/>
          <w:color w:val="121212"/>
          <w:spacing w:val="0"/>
          <w:sz w:val="27"/>
          <w:szCs w:val="27"/>
          <w:shd w:val="clear" w:fill="FFFFFF"/>
        </w:rPr>
        <w:t xml:space="preserve"> </w:t>
      </w: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pageBreakBefore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w:t>
      </w:r>
      <w:r>
        <w:rPr>
          <w:rFonts w:hint="eastAsia" w:ascii="仿宋_GB2312" w:hAnsi="宋体" w:eastAsia="仿宋_GB2312" w:cs="宋体"/>
          <w:color w:val="000000"/>
          <w:kern w:val="0"/>
          <w:sz w:val="32"/>
          <w:szCs w:val="32"/>
          <w:lang w:val="en-US" w:eastAsia="zh-CN"/>
        </w:rPr>
        <w:t>3080.90</w:t>
      </w:r>
      <w:r>
        <w:rPr>
          <w:rFonts w:hint="eastAsia" w:ascii="仿宋_GB2312" w:hAnsi="宋体" w:eastAsia="仿宋_GB2312" w:cs="宋体"/>
          <w:color w:val="000000"/>
          <w:kern w:val="0"/>
          <w:sz w:val="32"/>
          <w:szCs w:val="32"/>
        </w:rPr>
        <w:t>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w:t>
      </w:r>
      <w:r>
        <w:rPr>
          <w:rFonts w:hint="eastAsia" w:ascii="仿宋_GB2312" w:hAnsi="宋体" w:eastAsia="仿宋_GB2312" w:cs="宋体"/>
          <w:color w:val="000000"/>
          <w:kern w:val="0"/>
          <w:sz w:val="32"/>
          <w:szCs w:val="32"/>
          <w:lang w:val="en-US" w:eastAsia="zh-CN"/>
        </w:rPr>
        <w:t>1573.70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项目支出预算数</w:t>
      </w:r>
      <w:r>
        <w:rPr>
          <w:rFonts w:hint="eastAsia" w:ascii="仿宋_GB2312" w:hAnsi="宋体" w:eastAsia="仿宋_GB2312" w:cs="宋体"/>
          <w:color w:val="000000"/>
          <w:kern w:val="0"/>
          <w:sz w:val="32"/>
          <w:szCs w:val="32"/>
          <w:lang w:val="en-US" w:eastAsia="zh-CN"/>
        </w:rPr>
        <w:t>1507.21</w:t>
      </w:r>
      <w:r>
        <w:rPr>
          <w:rFonts w:ascii="仿宋_GB2312" w:hAnsi="宋体" w:eastAsia="仿宋_GB2312" w:cs="宋体"/>
          <w:color w:val="000000"/>
          <w:kern w:val="0"/>
          <w:sz w:val="32"/>
          <w:szCs w:val="32"/>
        </w:rPr>
        <w:t>万元，其他支出</w:t>
      </w:r>
      <w:r>
        <w:rPr>
          <w:rFonts w:hint="eastAsia" w:ascii="仿宋_GB2312" w:hAnsi="宋体" w:eastAsia="仿宋_GB2312" w:cs="宋体"/>
          <w:color w:val="000000"/>
          <w:kern w:val="0"/>
          <w:sz w:val="32"/>
          <w:szCs w:val="32"/>
        </w:rPr>
        <w:t>预算数</w:t>
      </w:r>
      <w:r>
        <w:rPr>
          <w:rFonts w:hint="eastAsia" w:ascii="仿宋_GB2312" w:hAnsi="宋体" w:eastAsia="仿宋_GB2312" w:cs="宋体"/>
          <w:color w:val="000000"/>
          <w:kern w:val="0"/>
          <w:sz w:val="32"/>
          <w:szCs w:val="32"/>
          <w:lang w:val="en-US" w:eastAsia="zh-CN"/>
        </w:rPr>
        <w:t>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资金总体</w:t>
      </w:r>
      <w:r>
        <w:rPr>
          <w:rFonts w:hint="eastAsia" w:ascii="仿宋_GB2312" w:hAnsi="宋体" w:eastAsia="仿宋_GB2312" w:cs="宋体"/>
          <w:color w:val="000000"/>
          <w:kern w:val="0"/>
          <w:sz w:val="32"/>
          <w:szCs w:val="32"/>
        </w:rPr>
        <w:t>支出</w:t>
      </w:r>
      <w:r>
        <w:rPr>
          <w:rFonts w:hint="eastAsia" w:ascii="仿宋_GB2312" w:hAnsi="宋体" w:eastAsia="仿宋_GB2312" w:cs="宋体"/>
          <w:color w:val="000000"/>
          <w:kern w:val="0"/>
          <w:sz w:val="32"/>
          <w:szCs w:val="32"/>
          <w:lang w:val="en-US" w:eastAsia="zh-CN"/>
        </w:rPr>
        <w:t>2833.91</w:t>
      </w:r>
      <w:r>
        <w:rPr>
          <w:rFonts w:ascii="仿宋_GB2312" w:hAnsi="宋体" w:eastAsia="仿宋_GB2312" w:cs="宋体"/>
          <w:color w:val="000000"/>
          <w:kern w:val="0"/>
          <w:sz w:val="32"/>
          <w:szCs w:val="32"/>
        </w:rPr>
        <w:t>万元，其中，基本支出</w:t>
      </w:r>
      <w:r>
        <w:rPr>
          <w:rFonts w:hint="eastAsia" w:ascii="仿宋_GB2312" w:hAnsi="宋体" w:eastAsia="仿宋_GB2312" w:cs="宋体"/>
          <w:color w:val="000000"/>
          <w:kern w:val="0"/>
          <w:sz w:val="32"/>
          <w:szCs w:val="32"/>
          <w:lang w:val="en-US" w:eastAsia="zh-CN"/>
        </w:rPr>
        <w:t>1333.65</w:t>
      </w:r>
      <w:r>
        <w:rPr>
          <w:rFonts w:ascii="仿宋_GB2312" w:hAnsi="宋体" w:eastAsia="仿宋_GB2312" w:cs="宋体"/>
          <w:color w:val="000000"/>
          <w:kern w:val="0"/>
          <w:sz w:val="32"/>
          <w:szCs w:val="32"/>
        </w:rPr>
        <w:t>万元，项目</w:t>
      </w:r>
      <w:r>
        <w:rPr>
          <w:rFonts w:hint="eastAsia" w:ascii="仿宋_GB2312" w:hAnsi="宋体" w:eastAsia="仿宋_GB2312" w:cs="宋体"/>
          <w:color w:val="000000"/>
          <w:kern w:val="0"/>
          <w:sz w:val="32"/>
          <w:szCs w:val="32"/>
        </w:rPr>
        <w:t>支出</w:t>
      </w:r>
      <w:r>
        <w:rPr>
          <w:rFonts w:hint="eastAsia" w:ascii="仿宋_GB2312" w:hAnsi="宋体" w:eastAsia="仿宋_GB2312" w:cs="宋体"/>
          <w:color w:val="000000"/>
          <w:kern w:val="0"/>
          <w:sz w:val="32"/>
          <w:szCs w:val="32"/>
          <w:lang w:val="en-US" w:eastAsia="zh-CN"/>
        </w:rPr>
        <w:t>1320.96</w:t>
      </w:r>
      <w:r>
        <w:rPr>
          <w:rFonts w:ascii="仿宋_GB2312" w:hAnsi="宋体" w:eastAsia="仿宋_GB2312" w:cs="宋体"/>
          <w:color w:val="000000"/>
          <w:kern w:val="0"/>
          <w:sz w:val="32"/>
          <w:szCs w:val="32"/>
        </w:rPr>
        <w:t>万元，其他支出</w:t>
      </w:r>
      <w:r>
        <w:rPr>
          <w:rFonts w:hint="eastAsia" w:ascii="仿宋_GB2312" w:hAnsi="宋体" w:eastAsia="仿宋_GB2312" w:cs="宋体"/>
          <w:color w:val="000000"/>
          <w:kern w:val="0"/>
          <w:sz w:val="32"/>
          <w:szCs w:val="32"/>
          <w:lang w:val="en-US" w:eastAsia="zh-CN"/>
        </w:rPr>
        <w:t>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w:t>
      </w:r>
      <w:r>
        <w:rPr>
          <w:rFonts w:hint="eastAsia" w:ascii="仿宋_GB2312" w:hAnsi="宋体" w:eastAsia="仿宋_GB2312" w:cs="宋体"/>
          <w:color w:val="000000"/>
          <w:kern w:val="0"/>
          <w:sz w:val="32"/>
          <w:szCs w:val="32"/>
          <w:lang w:val="en-US" w:eastAsia="zh-CN"/>
        </w:rPr>
        <w:t>91.98%</w:t>
      </w:r>
      <w:r>
        <w:rPr>
          <w:rFonts w:hint="eastAsia" w:ascii="仿宋_GB2312" w:hAnsi="宋体" w:eastAsia="仿宋_GB2312" w:cs="宋体"/>
          <w:color w:val="000000"/>
          <w:kern w:val="0"/>
          <w:sz w:val="32"/>
          <w:szCs w:val="32"/>
        </w:rPr>
        <w:t>。</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楷体_GB2312" w:eastAsia="楷体_GB2312"/>
          <w:sz w:val="32"/>
          <w:szCs w:val="32"/>
        </w:rPr>
      </w:pPr>
      <w:r>
        <w:rPr>
          <w:rFonts w:hint="eastAsia" w:ascii="楷体_GB2312" w:eastAsia="楷体_GB2312"/>
          <w:sz w:val="32"/>
          <w:szCs w:val="32"/>
        </w:rPr>
        <w:t>（一）产出完成情况分析</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rPr>
        <w:t>1.产出数量</w:t>
      </w:r>
      <w:r>
        <w:rPr>
          <w:rFonts w:hint="eastAsia" w:ascii="仿宋_GB2312" w:hAnsi="宋体" w:eastAsia="仿宋_GB2312" w:cs="宋体"/>
          <w:color w:val="000000"/>
          <w:kern w:val="0"/>
          <w:sz w:val="32"/>
          <w:szCs w:val="32"/>
          <w:lang w:eastAsia="zh-CN"/>
        </w:rPr>
        <w:t>：全年</w:t>
      </w:r>
      <w:r>
        <w:rPr>
          <w:rFonts w:hint="eastAsia" w:ascii="仿宋_GB2312" w:hAnsi="宋体" w:eastAsia="仿宋_GB2312" w:cs="宋体"/>
          <w:color w:val="000000"/>
          <w:kern w:val="0"/>
          <w:sz w:val="32"/>
          <w:szCs w:val="32"/>
        </w:rPr>
        <w:t>举办活动</w:t>
      </w:r>
      <w:r>
        <w:rPr>
          <w:rFonts w:hint="eastAsia" w:ascii="仿宋_GB2312" w:hAnsi="宋体" w:eastAsia="仿宋_GB2312" w:cs="宋体"/>
          <w:color w:val="000000"/>
          <w:kern w:val="0"/>
          <w:sz w:val="32"/>
          <w:szCs w:val="32"/>
          <w:lang w:val="en-US" w:eastAsia="zh-CN"/>
        </w:rPr>
        <w:t>次数和教学时长，均完成了年度产出指标的数量指标要求。</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r>
        <w:rPr>
          <w:rFonts w:hint="eastAsia" w:ascii="仿宋_GB2312" w:hAnsi="宋体" w:eastAsia="仿宋_GB2312" w:cs="宋体"/>
          <w:color w:val="000000"/>
          <w:kern w:val="0"/>
          <w:sz w:val="32"/>
          <w:szCs w:val="32"/>
          <w:lang w:eastAsia="zh-CN"/>
        </w:rPr>
        <w:t>：全年引导老干部在新形势下发挥作用较好，活动安全保障情况和享受服务对象合规率均达到</w:t>
      </w:r>
      <w:r>
        <w:rPr>
          <w:rFonts w:hint="eastAsia" w:ascii="仿宋_GB2312" w:hAnsi="宋体" w:eastAsia="仿宋_GB2312" w:cs="宋体"/>
          <w:color w:val="000000"/>
          <w:kern w:val="0"/>
          <w:sz w:val="32"/>
          <w:szCs w:val="32"/>
          <w:lang w:val="en-US" w:eastAsia="zh-CN"/>
        </w:rPr>
        <w:t>100%，</w:t>
      </w:r>
      <w:bookmarkStart w:id="0" w:name="_GoBack"/>
      <w:bookmarkEnd w:id="0"/>
      <w:r>
        <w:rPr>
          <w:rFonts w:hint="eastAsia" w:ascii="仿宋_GB2312" w:hAnsi="宋体" w:eastAsia="仿宋_GB2312" w:cs="宋体"/>
          <w:color w:val="000000"/>
          <w:kern w:val="0"/>
          <w:sz w:val="32"/>
          <w:szCs w:val="32"/>
          <w:lang w:val="en-US" w:eastAsia="zh-CN"/>
        </w:rPr>
        <w:t>均完成了年度产出指标的质量指标要求。</w:t>
      </w:r>
    </w:p>
    <w:p>
      <w:pPr>
        <w:pStyle w:val="2"/>
        <w:pageBreakBefore w:val="0"/>
        <w:kinsoku/>
        <w:wordWrap/>
        <w:overflowPunct/>
        <w:topLinePunct w:val="0"/>
        <w:autoSpaceDE/>
        <w:autoSpaceDN/>
        <w:bidi w:val="0"/>
        <w:adjustRightInd/>
        <w:snapToGrid/>
        <w:spacing w:line="580" w:lineRule="exact"/>
        <w:ind w:right="0" w:rightChars="0"/>
        <w:rPr>
          <w:rFonts w:hint="eastAsia"/>
          <w:lang w:eastAsia="zh-CN"/>
        </w:rPr>
      </w:pPr>
      <w:r>
        <w:rPr>
          <w:rFonts w:hint="eastAsia" w:hAnsi="宋体" w:cs="宋体"/>
          <w:color w:val="000000"/>
          <w:kern w:val="0"/>
          <w:sz w:val="32"/>
          <w:szCs w:val="32"/>
          <w:lang w:val="en-US" w:eastAsia="zh-CN"/>
        </w:rPr>
        <w:t>3.</w:t>
      </w:r>
      <w:r>
        <w:rPr>
          <w:rFonts w:hint="eastAsia" w:ascii="仿宋_GB2312" w:hAnsi="宋体" w:eastAsia="仿宋_GB2312" w:cs="宋体"/>
          <w:color w:val="000000"/>
          <w:kern w:val="0"/>
          <w:sz w:val="32"/>
          <w:szCs w:val="32"/>
        </w:rPr>
        <w:t>产出</w:t>
      </w:r>
      <w:r>
        <w:rPr>
          <w:rFonts w:hint="eastAsia" w:hAnsi="宋体" w:cs="宋体"/>
          <w:color w:val="000000"/>
          <w:kern w:val="0"/>
          <w:sz w:val="32"/>
          <w:szCs w:val="32"/>
          <w:lang w:eastAsia="zh-CN"/>
        </w:rPr>
        <w:t>时效：全年及时对上级精神政策进行宣讲和贯彻落实；对各项生活待遇全部及时落实到位；按年按计划完成了教学任务。</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r>
        <w:rPr>
          <w:rFonts w:hint="eastAsia" w:ascii="仿宋_GB2312" w:hAnsi="宋体" w:eastAsia="仿宋_GB2312" w:cs="宋体"/>
          <w:color w:val="000000"/>
          <w:kern w:val="0"/>
          <w:sz w:val="32"/>
          <w:szCs w:val="32"/>
          <w:lang w:eastAsia="zh-CN"/>
        </w:rPr>
        <w:t>：年度各项支出总成本均控制在预算内，未出现超预算开支现象，</w:t>
      </w:r>
      <w:r>
        <w:rPr>
          <w:rFonts w:hint="eastAsia" w:ascii="仿宋_GB2312" w:hAnsi="宋体" w:eastAsia="仿宋_GB2312" w:cs="宋体"/>
          <w:color w:val="000000"/>
          <w:kern w:val="0"/>
          <w:sz w:val="32"/>
          <w:szCs w:val="32"/>
          <w:lang w:val="en-US" w:eastAsia="zh-CN"/>
        </w:rPr>
        <w:t>完成了年度产出指标的成本指标要求。</w:t>
      </w:r>
      <w:r>
        <w:rPr>
          <w:rFonts w:hint="eastAsia" w:ascii="仿宋_GB2312" w:hAnsi="宋体" w:eastAsia="仿宋_GB2312" w:cs="宋体"/>
          <w:color w:val="000000"/>
          <w:kern w:val="0"/>
          <w:sz w:val="32"/>
          <w:szCs w:val="32"/>
        </w:rPr>
        <w:t xml:space="preserve">                            </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rPr>
        <w:t>1.社会效益</w:t>
      </w:r>
      <w:r>
        <w:rPr>
          <w:rFonts w:hint="eastAsia" w:ascii="仿宋_GB2312" w:hAnsi="宋体" w:eastAsia="仿宋_GB2312" w:cs="宋体"/>
          <w:color w:val="000000"/>
          <w:kern w:val="0"/>
          <w:sz w:val="32"/>
          <w:szCs w:val="32"/>
          <w:lang w:val="en-US" w:eastAsia="zh-CN"/>
        </w:rPr>
        <w:t>:通过组织活动充分调动老同志的参与积极性，使老同志的获得感增强、发挥作用明显，对社会的正面影响力提高；通过落实老干部生活待遇，进一步激发了老干部发挥“正能量”作用，促进社会和谐。</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.服务对象</w:t>
      </w:r>
      <w:r>
        <w:rPr>
          <w:rFonts w:ascii="仿宋_GB2312" w:hAnsi="宋体" w:eastAsia="仿宋_GB2312" w:cs="宋体"/>
          <w:color w:val="000000"/>
          <w:kern w:val="0"/>
          <w:sz w:val="32"/>
          <w:szCs w:val="32"/>
        </w:rPr>
        <w:t>满意度</w:t>
      </w:r>
      <w:r>
        <w:rPr>
          <w:rFonts w:hint="eastAsia" w:ascii="仿宋_GB2312" w:hAnsi="宋体" w:eastAsia="仿宋_GB2312" w:cs="宋体"/>
          <w:color w:val="000000"/>
          <w:kern w:val="0"/>
          <w:sz w:val="32"/>
          <w:szCs w:val="32"/>
          <w:lang w:eastAsia="zh-CN"/>
        </w:rPr>
        <w:t>：全区老干部对我们提供的服务满意度达到</w:t>
      </w:r>
      <w:r>
        <w:rPr>
          <w:rFonts w:hint="eastAsia" w:ascii="仿宋_GB2312" w:hAnsi="宋体" w:eastAsia="仿宋_GB2312" w:cs="宋体"/>
          <w:color w:val="000000"/>
          <w:kern w:val="0"/>
          <w:sz w:val="32"/>
          <w:szCs w:val="32"/>
          <w:lang w:val="en-US" w:eastAsia="zh-CN"/>
        </w:rPr>
        <w:t>93%以上。</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楷体_GB2312" w:eastAsia="楷体_GB2312"/>
          <w:sz w:val="32"/>
          <w:szCs w:val="32"/>
        </w:rPr>
      </w:pPr>
      <w:r>
        <w:rPr>
          <w:rFonts w:hint="eastAsia" w:ascii="楷体_GB2312" w:eastAsia="楷体_GB2312"/>
          <w:sz w:val="32"/>
          <w:szCs w:val="32"/>
        </w:rPr>
        <w:t>（一）财务管理</w:t>
      </w:r>
    </w:p>
    <w:p>
      <w:pPr>
        <w:pStyle w:val="9"/>
        <w:pageBreakBefore w:val="0"/>
        <w:kinsoku/>
        <w:wordWrap/>
        <w:overflowPunct/>
        <w:topLinePunct w:val="0"/>
        <w:autoSpaceDE/>
        <w:autoSpaceDN/>
        <w:bidi w:val="0"/>
        <w:adjustRightInd/>
        <w:snapToGrid/>
        <w:spacing w:line="580" w:lineRule="exact"/>
        <w:ind w:right="0" w:rightChars="0" w:firstLine="640" w:firstLineChars="200"/>
        <w:jc w:val="left"/>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1.财务管理制度健全性。</w:t>
      </w:r>
      <w:r>
        <w:rPr>
          <w:rFonts w:hint="eastAsia" w:ascii="仿宋_GB2312" w:hAnsi="宋体" w:eastAsia="仿宋_GB2312" w:cs="宋体"/>
          <w:color w:val="000000"/>
          <w:kern w:val="0"/>
          <w:sz w:val="32"/>
          <w:szCs w:val="32"/>
          <w:lang w:val="en-US" w:eastAsia="zh-CN"/>
        </w:rPr>
        <w:t>根据《中华人民共和国会计法》、《中华人民共和国预算法》、《政府会计制度》等相关规定，结合本单位实际，2024年严格按照各项财务管理制度落实经费收支，修订完善各类财务管理制度4个：《老干部局内部比选采购管理规定》、《老干</w:t>
      </w:r>
      <w:r>
        <w:rPr>
          <w:rFonts w:hint="eastAsia" w:ascii="仿宋_GB2312" w:hAnsi="宋体" w:eastAsia="仿宋_GB2312" w:cs="宋体"/>
          <w:color w:val="000000"/>
          <w:kern w:val="0"/>
          <w:sz w:val="32"/>
          <w:szCs w:val="32"/>
          <w:lang w:val="en-US" w:eastAsia="zh-CN" w:bidi="ar-SA"/>
        </w:rPr>
        <w:t>部局工程类项目采购规定</w:t>
      </w:r>
      <w:r>
        <w:rPr>
          <w:rFonts w:hint="eastAsia" w:ascii="仿宋_GB2312" w:hAnsi="仿宋_GB2312" w:eastAsia="仿宋_GB2312" w:cs="仿宋_GB2312"/>
          <w:color w:val="000000"/>
          <w:kern w:val="0"/>
          <w:sz w:val="32"/>
          <w:szCs w:val="32"/>
          <w:lang w:val="en-US" w:eastAsia="zh-CN" w:bidi="ar-SA"/>
        </w:rPr>
        <w:t>》</w:t>
      </w:r>
      <w:r>
        <w:rPr>
          <w:rFonts w:hint="eastAsia" w:ascii="仿宋_GB2312" w:hAnsi="宋体" w:eastAsia="仿宋_GB2312" w:cs="宋体"/>
          <w:color w:val="000000"/>
          <w:kern w:val="0"/>
          <w:sz w:val="32"/>
          <w:szCs w:val="32"/>
          <w:lang w:val="en-US" w:eastAsia="zh-CN" w:bidi="ar-SA"/>
        </w:rPr>
        <w:t>、</w:t>
      </w:r>
      <w:r>
        <w:rPr>
          <w:rFonts w:hint="eastAsia" w:ascii="仿宋_GB2312" w:hAnsi="仿宋_GB2312" w:eastAsia="仿宋_GB2312" w:cs="仿宋_GB2312"/>
          <w:color w:val="000000"/>
          <w:kern w:val="0"/>
          <w:sz w:val="32"/>
          <w:szCs w:val="32"/>
          <w:lang w:val="en-US" w:eastAsia="zh-CN" w:bidi="ar-SA"/>
        </w:rPr>
        <w:t>《</w:t>
      </w:r>
      <w:r>
        <w:rPr>
          <w:rFonts w:hint="eastAsia" w:ascii="仿宋_GB2312" w:hAnsi="宋体" w:eastAsia="仿宋_GB2312" w:cs="宋体"/>
          <w:color w:val="000000"/>
          <w:kern w:val="0"/>
          <w:sz w:val="32"/>
          <w:szCs w:val="32"/>
          <w:lang w:val="en-US" w:eastAsia="zh-CN" w:bidi="ar-SA"/>
        </w:rPr>
        <w:t>老干部局合同管理办法和内部审计管理规定</w:t>
      </w:r>
      <w:r>
        <w:rPr>
          <w:rFonts w:hint="eastAsia" w:ascii="仿宋_GB2312" w:hAnsi="仿宋_GB2312" w:eastAsia="仿宋_GB2312" w:cs="仿宋_GB2312"/>
          <w:color w:val="000000"/>
          <w:kern w:val="0"/>
          <w:sz w:val="32"/>
          <w:szCs w:val="32"/>
          <w:lang w:val="en-US" w:eastAsia="zh-CN" w:bidi="ar-SA"/>
        </w:rPr>
        <w:t>》和《</w:t>
      </w:r>
      <w:r>
        <w:rPr>
          <w:rFonts w:hint="eastAsia" w:ascii="仿宋_GB2312" w:hAnsi="宋体" w:eastAsia="仿宋_GB2312" w:cs="宋体"/>
          <w:color w:val="000000"/>
          <w:kern w:val="0"/>
          <w:sz w:val="32"/>
          <w:szCs w:val="32"/>
          <w:lang w:val="en-US" w:eastAsia="zh-CN" w:bidi="ar-SA"/>
        </w:rPr>
        <w:t>老干部局内部审计管理规定</w:t>
      </w:r>
      <w:r>
        <w:rPr>
          <w:rFonts w:hint="eastAsia" w:ascii="仿宋_GB2312" w:hAnsi="仿宋_GB2312" w:eastAsia="仿宋_GB2312" w:cs="仿宋_GB2312"/>
          <w:color w:val="000000"/>
          <w:kern w:val="0"/>
          <w:sz w:val="32"/>
          <w:szCs w:val="32"/>
          <w:lang w:val="en-US" w:eastAsia="zh-CN" w:bidi="ar-SA"/>
        </w:rPr>
        <w:t>》</w:t>
      </w:r>
      <w:r>
        <w:rPr>
          <w:rFonts w:hint="eastAsia" w:ascii="仿宋_GB2312" w:hAnsi="宋体" w:eastAsia="仿宋_GB2312" w:cs="宋体"/>
          <w:color w:val="000000"/>
          <w:kern w:val="0"/>
          <w:sz w:val="32"/>
          <w:szCs w:val="32"/>
          <w:lang w:val="en-US" w:eastAsia="zh-CN" w:bidi="ar-SA"/>
        </w:rPr>
        <w:t>，并对制度进行了宣讲，使现有制度更加符合单位实际，在确保资金使用安全的前提下提升了工作效率，降低内控风险。坚持做到单位主要负责同志对本单位绩效负责，项目责任人对项目预算绩效负责，切实做到“花钱必问效，无效必问责”。</w:t>
      </w:r>
    </w:p>
    <w:p>
      <w:pPr>
        <w:pStyle w:val="2"/>
        <w:pageBreakBefore w:val="0"/>
        <w:kinsoku/>
        <w:wordWrap/>
        <w:overflowPunct/>
        <w:topLinePunct w:val="0"/>
        <w:autoSpaceDE/>
        <w:autoSpaceDN/>
        <w:bidi w:val="0"/>
        <w:adjustRightInd/>
        <w:snapToGrid/>
        <w:spacing w:line="580" w:lineRule="exact"/>
        <w:ind w:right="0" w:rightChars="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r>
        <w:rPr>
          <w:rFonts w:hint="eastAsia" w:ascii="仿宋_GB2312" w:hAnsi="宋体" w:eastAsia="仿宋_GB2312" w:cs="宋体"/>
          <w:color w:val="000000"/>
          <w:kern w:val="0"/>
          <w:sz w:val="32"/>
          <w:szCs w:val="32"/>
          <w:lang w:eastAsia="zh-CN"/>
        </w:rPr>
        <w:t>。</w:t>
      </w:r>
      <w:r>
        <w:rPr>
          <w:rFonts w:hint="eastAsia" w:hAnsi="宋体" w:cs="宋体"/>
          <w:color w:val="000000"/>
          <w:kern w:val="0"/>
          <w:sz w:val="32"/>
          <w:szCs w:val="32"/>
          <w:lang w:eastAsia="zh-CN"/>
        </w:rPr>
        <w:t>严格按照</w:t>
      </w:r>
      <w:r>
        <w:rPr>
          <w:rFonts w:hint="eastAsia" w:ascii="仿宋_GB2312" w:hAnsi="宋体" w:eastAsia="仿宋_GB2312" w:cs="宋体"/>
          <w:color w:val="000000"/>
          <w:kern w:val="0"/>
          <w:sz w:val="32"/>
          <w:szCs w:val="32"/>
        </w:rPr>
        <w:t>一体化系统的预算资金</w:t>
      </w:r>
      <w:r>
        <w:rPr>
          <w:rFonts w:hint="eastAsia" w:hAnsi="宋体" w:cs="宋体"/>
          <w:color w:val="000000"/>
          <w:kern w:val="0"/>
          <w:sz w:val="32"/>
          <w:szCs w:val="32"/>
          <w:lang w:eastAsia="zh-CN"/>
        </w:rPr>
        <w:t>申请用款计划，</w:t>
      </w:r>
      <w:r>
        <w:rPr>
          <w:rFonts w:hint="eastAsia" w:ascii="仿宋_GB2312" w:hAnsi="宋体" w:eastAsia="仿宋_GB2312" w:cs="宋体"/>
          <w:color w:val="000000"/>
          <w:kern w:val="0"/>
          <w:sz w:val="32"/>
          <w:szCs w:val="32"/>
        </w:rPr>
        <w:t>由</w:t>
      </w:r>
      <w:r>
        <w:rPr>
          <w:rFonts w:hint="eastAsia" w:hAnsi="宋体" w:cs="宋体"/>
          <w:color w:val="000000"/>
          <w:kern w:val="0"/>
          <w:sz w:val="32"/>
          <w:szCs w:val="32"/>
          <w:lang w:eastAsia="zh-CN"/>
        </w:rPr>
        <w:t>单位申请用款计划</w:t>
      </w:r>
      <w:r>
        <w:rPr>
          <w:rFonts w:hint="eastAsia" w:ascii="仿宋_GB2312" w:hAnsi="宋体" w:eastAsia="仿宋_GB2312" w:cs="宋体"/>
          <w:color w:val="000000"/>
          <w:kern w:val="0"/>
          <w:sz w:val="32"/>
          <w:szCs w:val="32"/>
        </w:rPr>
        <w:t>，</w:t>
      </w:r>
      <w:r>
        <w:rPr>
          <w:rFonts w:hint="eastAsia" w:hAnsi="宋体" w:cs="宋体"/>
          <w:color w:val="000000"/>
          <w:kern w:val="0"/>
          <w:sz w:val="32"/>
          <w:szCs w:val="32"/>
          <w:lang w:eastAsia="zh-CN"/>
        </w:rPr>
        <w:t>财政局</w:t>
      </w:r>
      <w:r>
        <w:rPr>
          <w:rFonts w:hint="eastAsia" w:ascii="仿宋_GB2312" w:hAnsi="宋体" w:eastAsia="仿宋_GB2312" w:cs="宋体"/>
          <w:color w:val="000000"/>
          <w:kern w:val="0"/>
          <w:sz w:val="32"/>
          <w:szCs w:val="32"/>
        </w:rPr>
        <w:t>业务科室审核、支付中心受理。</w:t>
      </w:r>
      <w:r>
        <w:rPr>
          <w:rFonts w:hint="eastAsia" w:hAnsi="宋体" w:cs="宋体"/>
          <w:color w:val="000000"/>
          <w:kern w:val="0"/>
          <w:sz w:val="32"/>
          <w:szCs w:val="32"/>
          <w:lang w:eastAsia="zh-CN"/>
        </w:rPr>
        <w:t>在支付资金时认真对照经费审批单核对审批金额和局领导、业务科室、经手人和财务人员签字后再进行支付，杜绝签字不全支付资金的现象，</w:t>
      </w:r>
      <w:r>
        <w:rPr>
          <w:rFonts w:hint="eastAsia" w:ascii="仿宋_GB2312" w:hAnsi="宋体" w:eastAsia="仿宋_GB2312" w:cs="宋体"/>
          <w:color w:val="000000"/>
          <w:kern w:val="0"/>
          <w:sz w:val="32"/>
          <w:szCs w:val="32"/>
        </w:rPr>
        <w:t>每日根据代理银行确认支付金额，及时导出用款额度，便于支付资金清算，定期核对用款额度余额</w:t>
      </w:r>
      <w:r>
        <w:rPr>
          <w:rFonts w:hint="eastAsia" w:hAnsi="宋体" w:cs="宋体"/>
          <w:color w:val="000000"/>
          <w:kern w:val="0"/>
          <w:sz w:val="32"/>
          <w:szCs w:val="32"/>
          <w:lang w:eastAsia="zh-CN"/>
        </w:rPr>
        <w:t>，</w:t>
      </w:r>
      <w:r>
        <w:rPr>
          <w:rFonts w:hint="eastAsia" w:ascii="仿宋_GB2312" w:hAnsi="宋体" w:eastAsia="仿宋_GB2312" w:cs="宋体"/>
          <w:color w:val="000000"/>
          <w:kern w:val="0"/>
          <w:sz w:val="32"/>
          <w:szCs w:val="32"/>
        </w:rPr>
        <w:t>做到帐证相符、帐帐相符、帐实相符、帐表相符</w:t>
      </w:r>
      <w:r>
        <w:rPr>
          <w:rFonts w:hint="eastAsia" w:hAnsi="宋体" w:cs="宋体"/>
          <w:color w:val="000000"/>
          <w:kern w:val="0"/>
          <w:sz w:val="32"/>
          <w:szCs w:val="32"/>
          <w:lang w:eastAsia="zh-CN"/>
        </w:rPr>
        <w:t>。</w:t>
      </w:r>
      <w:r>
        <w:rPr>
          <w:rFonts w:hint="eastAsia" w:ascii="仿宋_GB2312" w:hAnsi="宋体" w:eastAsia="仿宋_GB2312" w:cs="宋体"/>
          <w:color w:val="000000"/>
          <w:kern w:val="0"/>
          <w:sz w:val="32"/>
          <w:szCs w:val="32"/>
        </w:rPr>
        <w:t>严格执行印鉴和票据管理制度，分人分印管理，同一经办人员不得管理全部印鉴</w:t>
      </w:r>
      <w:r>
        <w:rPr>
          <w:rFonts w:hint="eastAsia" w:hAnsi="宋体" w:cs="宋体"/>
          <w:color w:val="000000"/>
          <w:kern w:val="0"/>
          <w:sz w:val="32"/>
          <w:szCs w:val="32"/>
          <w:lang w:eastAsia="zh-CN"/>
        </w:rPr>
        <w:t>，</w:t>
      </w:r>
      <w:r>
        <w:rPr>
          <w:rFonts w:hint="eastAsia" w:ascii="仿宋_GB2312" w:hAnsi="宋体" w:eastAsia="仿宋_GB2312" w:cs="宋体"/>
          <w:color w:val="000000"/>
          <w:kern w:val="0"/>
          <w:sz w:val="32"/>
          <w:szCs w:val="32"/>
        </w:rPr>
        <w:t>相关票据、凭证专人保管，重要单据建立严格领用和核销制度。</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pPr>
        <w:pStyle w:val="2"/>
        <w:pageBreakBefore w:val="0"/>
        <w:kinsoku/>
        <w:wordWrap/>
        <w:overflowPunct/>
        <w:topLinePunct w:val="0"/>
        <w:autoSpaceDE/>
        <w:autoSpaceDN/>
        <w:bidi w:val="0"/>
        <w:adjustRightInd/>
        <w:snapToGrid/>
        <w:spacing w:line="580" w:lineRule="exact"/>
        <w:ind w:right="0" w:rightChars="0"/>
        <w:textAlignment w:val="auto"/>
      </w:pP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w:t>
      </w:r>
      <w:r>
        <w:rPr>
          <w:rFonts w:hint="eastAsia" w:hAnsi="宋体" w:cs="宋体"/>
          <w:color w:val="000000"/>
          <w:kern w:val="0"/>
          <w:sz w:val="32"/>
          <w:szCs w:val="32"/>
          <w:lang w:eastAsia="zh-CN"/>
        </w:rPr>
        <w:t>资料真实、完整、准确，符合</w:t>
      </w:r>
      <w:r>
        <w:rPr>
          <w:rFonts w:ascii="Times New Roman" w:eastAsia="仿宋"/>
          <w:szCs w:val="32"/>
        </w:rPr>
        <w:t>《政府会计</w:t>
      </w:r>
      <w:r>
        <w:rPr>
          <w:rFonts w:ascii="仿宋_GB2312" w:hAnsi="宋体" w:eastAsia="仿宋_GB2312" w:cs="宋体"/>
          <w:color w:val="000000"/>
          <w:kern w:val="0"/>
          <w:sz w:val="32"/>
          <w:szCs w:val="32"/>
        </w:rPr>
        <w:t>准则》</w:t>
      </w:r>
      <w:r>
        <w:rPr>
          <w:rFonts w:hint="eastAsia" w:ascii="仿宋_GB2312" w:hAnsi="宋体" w:eastAsia="仿宋_GB2312" w:cs="宋体"/>
          <w:color w:val="000000"/>
          <w:kern w:val="0"/>
          <w:sz w:val="32"/>
          <w:szCs w:val="32"/>
          <w:lang w:eastAsia="zh-CN"/>
        </w:rPr>
        <w:t>和</w:t>
      </w:r>
      <w:r>
        <w:rPr>
          <w:rFonts w:hint="eastAsia" w:ascii="仿宋_GB2312" w:hAnsi="宋体" w:eastAsia="仿宋_GB2312" w:cs="宋体"/>
          <w:color w:val="000000"/>
          <w:kern w:val="0"/>
          <w:sz w:val="32"/>
          <w:szCs w:val="32"/>
        </w:rPr>
        <w:t>部门整体绩效</w:t>
      </w:r>
      <w:r>
        <w:rPr>
          <w:rFonts w:hint="eastAsia" w:ascii="仿宋_GB2312" w:hAnsi="宋体" w:eastAsia="仿宋_GB2312" w:cs="宋体"/>
          <w:color w:val="000000"/>
          <w:kern w:val="0"/>
          <w:sz w:val="32"/>
          <w:szCs w:val="32"/>
          <w:lang w:eastAsia="zh-CN"/>
        </w:rPr>
        <w:t>评价</w:t>
      </w:r>
      <w:r>
        <w:rPr>
          <w:rFonts w:hint="eastAsia" w:hAnsi="宋体" w:cs="宋体"/>
          <w:color w:val="000000"/>
          <w:kern w:val="0"/>
          <w:sz w:val="32"/>
          <w:szCs w:val="32"/>
          <w:lang w:eastAsia="zh-CN"/>
        </w:rPr>
        <w:t>要求。</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楷体_GB2312" w:eastAsia="楷体_GB2312"/>
          <w:sz w:val="32"/>
          <w:szCs w:val="32"/>
        </w:rPr>
      </w:pPr>
      <w:r>
        <w:rPr>
          <w:rFonts w:hint="eastAsia" w:ascii="楷体_GB2312" w:eastAsia="楷体_GB2312"/>
          <w:sz w:val="32"/>
          <w:szCs w:val="32"/>
        </w:rPr>
        <w:t>（二）资产管理</w:t>
      </w:r>
    </w:p>
    <w:p>
      <w:pPr>
        <w:pStyle w:val="2"/>
        <w:pageBreakBefore w:val="0"/>
        <w:kinsoku/>
        <w:wordWrap/>
        <w:overflowPunct/>
        <w:topLinePunct w:val="0"/>
        <w:autoSpaceDE/>
        <w:autoSpaceDN/>
        <w:bidi w:val="0"/>
        <w:adjustRightInd/>
        <w:snapToGrid/>
        <w:spacing w:line="580" w:lineRule="exact"/>
        <w:ind w:right="0" w:rightChars="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建立了</w:t>
      </w:r>
      <w:r>
        <w:rPr>
          <w:rFonts w:hint="eastAsia" w:hAnsi="宋体" w:cs="宋体"/>
          <w:color w:val="000000"/>
          <w:kern w:val="0"/>
          <w:sz w:val="32"/>
          <w:szCs w:val="32"/>
          <w:lang w:eastAsia="zh-CN"/>
        </w:rPr>
        <w:t>本</w:t>
      </w:r>
      <w:r>
        <w:rPr>
          <w:rFonts w:hint="eastAsia" w:ascii="仿宋_GB2312" w:hAnsi="宋体" w:eastAsia="仿宋_GB2312" w:cs="宋体"/>
          <w:color w:val="000000"/>
          <w:kern w:val="0"/>
          <w:sz w:val="32"/>
          <w:szCs w:val="32"/>
        </w:rPr>
        <w:t>单位资产管理办法</w:t>
      </w:r>
      <w:r>
        <w:rPr>
          <w:rFonts w:hint="eastAsia" w:hAnsi="宋体" w:cs="宋体"/>
          <w:color w:val="000000"/>
          <w:kern w:val="0"/>
          <w:sz w:val="32"/>
          <w:szCs w:val="32"/>
          <w:lang w:eastAsia="zh-CN"/>
        </w:rPr>
        <w:t>，明确了资产</w:t>
      </w:r>
      <w:r>
        <w:rPr>
          <w:rFonts w:hint="eastAsia" w:ascii="仿宋_GB2312" w:hAnsi="宋体" w:eastAsia="仿宋_GB2312" w:cs="宋体"/>
          <w:color w:val="000000"/>
          <w:kern w:val="0"/>
          <w:sz w:val="32"/>
          <w:szCs w:val="32"/>
        </w:rPr>
        <w:t>资产处置细则</w:t>
      </w:r>
      <w:r>
        <w:rPr>
          <w:rFonts w:hint="eastAsia" w:hAnsi="宋体" w:cs="宋体"/>
          <w:color w:val="000000"/>
          <w:kern w:val="0"/>
          <w:sz w:val="32"/>
          <w:szCs w:val="32"/>
          <w:lang w:eastAsia="zh-CN"/>
        </w:rPr>
        <w:t>和流程</w:t>
      </w:r>
      <w:r>
        <w:rPr>
          <w:rFonts w:hint="eastAsia" w:ascii="仿宋_GB2312" w:hAnsi="宋体" w:eastAsia="仿宋_GB2312" w:cs="宋体"/>
          <w:color w:val="000000"/>
          <w:kern w:val="0"/>
          <w:sz w:val="32"/>
          <w:szCs w:val="32"/>
        </w:rPr>
        <w:t>。</w:t>
      </w:r>
      <w:r>
        <w:rPr>
          <w:rFonts w:ascii="Times New Roman" w:hAnsi="Times New Roman" w:eastAsia="仿宋_GB2312"/>
          <w:sz w:val="32"/>
          <w:szCs w:val="32"/>
        </w:rPr>
        <w:t>严格落实固定资产管理制度，对资产进行精细化、标准化、规范化管理，进行了资产盘查清点，进一步夯实了资产管理基础。坚持统一领导、分级管理、职责到人、物尽其用的原则，合理配备并提高资产使用效率，提高了资产管理工作效率和质量。</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楷体_GB2312" w:eastAsia="楷体_GB2312"/>
          <w:sz w:val="32"/>
          <w:szCs w:val="32"/>
        </w:rPr>
      </w:pPr>
      <w:r>
        <w:rPr>
          <w:rFonts w:hint="eastAsia" w:ascii="楷体_GB2312" w:eastAsia="楷体_GB2312"/>
          <w:sz w:val="32"/>
          <w:szCs w:val="32"/>
        </w:rPr>
        <w:t>（三）绩效</w:t>
      </w:r>
      <w:r>
        <w:rPr>
          <w:rFonts w:ascii="楷体_GB2312" w:eastAsia="楷体_GB2312"/>
          <w:sz w:val="32"/>
          <w:szCs w:val="32"/>
        </w:rPr>
        <w:t>管理</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楷体_GB2312" w:eastAsia="楷体_GB2312"/>
          <w:sz w:val="32"/>
          <w:szCs w:val="32"/>
        </w:rPr>
      </w:pPr>
      <w:r>
        <w:rPr>
          <w:rFonts w:hint="eastAsia" w:ascii="仿宋_GB2312" w:hAnsi="仿宋" w:eastAsia="仿宋_GB2312"/>
          <w:b w:val="0"/>
          <w:color w:val="000000"/>
          <w:sz w:val="32"/>
          <w:szCs w:val="32"/>
          <w:shd w:val="clear" w:color="auto" w:fill="FFFFFF"/>
        </w:rPr>
        <w:t>全年按照贯彻落实上级关于老干部工作的方针、政策、法律、法规和指示；负责区委老干部工作领导小组办公室的日常工作，会同有关部门制订相关政策措施，推动老干部工作相关问题的研究解决；负责离退休干部党的建设、服务管理、作用发挥、文化养老等工作；负责指导监督《朝阳区离退休干部工作领导责任制》落实的总体目标要求认真落实，各项工作均达到了总体目标要求。项目支出按照落实上级对老干部工作的方针、政策，了解本区老干部的思想、学习和生活情况，解决老干部的实际困难和问题，引导老干部在新形势下发挥作用的要求，结合工作实际做到了早筹划、早准备，每月按时落实老干部各项政策，完成了全年各项工作。总成本均控制在预算内，各分项成本均按照政策和合同执行</w:t>
      </w:r>
      <w:r>
        <w:rPr>
          <w:rFonts w:hint="eastAsia" w:ascii="仿宋_GB2312" w:hAnsi="仿宋" w:eastAsia="仿宋_GB2312"/>
          <w:b w:val="0"/>
          <w:color w:val="000000"/>
          <w:sz w:val="32"/>
          <w:szCs w:val="32"/>
          <w:shd w:val="clear" w:color="auto" w:fill="FFFFFF"/>
          <w:lang w:eastAsia="zh-CN"/>
        </w:rPr>
        <w:t>。</w:t>
      </w:r>
    </w:p>
    <w:p>
      <w:pPr>
        <w:pageBreakBefore w:val="0"/>
        <w:numPr>
          <w:ilvl w:val="0"/>
          <w:numId w:val="1"/>
        </w:numPr>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楷体_GB2312" w:eastAsia="楷体_GB2312"/>
          <w:sz w:val="32"/>
          <w:szCs w:val="32"/>
        </w:rPr>
      </w:pPr>
      <w:r>
        <w:rPr>
          <w:rFonts w:hint="eastAsia" w:ascii="楷体_GB2312" w:eastAsia="楷体_GB2312"/>
          <w:sz w:val="32"/>
          <w:szCs w:val="32"/>
        </w:rPr>
        <w:t>结转结余率</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pPr>
      <w:r>
        <w:rPr>
          <w:rFonts w:hint="eastAsia" w:ascii="仿宋_GB2312" w:hAnsi="仿宋" w:eastAsia="仿宋_GB2312"/>
          <w:b w:val="0"/>
          <w:color w:val="000000"/>
          <w:sz w:val="32"/>
          <w:szCs w:val="32"/>
          <w:shd w:val="clear" w:color="auto" w:fill="FFFFFF"/>
        </w:rPr>
        <w:t>结转结余率</w:t>
      </w:r>
      <w:r>
        <w:rPr>
          <w:rFonts w:hint="eastAsia" w:ascii="仿宋_GB2312" w:hAnsi="仿宋" w:eastAsia="仿宋_GB2312"/>
          <w:b w:val="0"/>
          <w:color w:val="000000"/>
          <w:sz w:val="32"/>
          <w:szCs w:val="32"/>
          <w:shd w:val="clear" w:color="auto" w:fill="FFFFFF"/>
          <w:lang w:eastAsia="zh-CN"/>
        </w:rPr>
        <w:t>为</w:t>
      </w:r>
      <w:r>
        <w:rPr>
          <w:rFonts w:hint="eastAsia" w:ascii="仿宋_GB2312" w:hAnsi="仿宋" w:eastAsia="仿宋_GB2312"/>
          <w:b w:val="0"/>
          <w:color w:val="000000"/>
          <w:sz w:val="32"/>
          <w:szCs w:val="32"/>
          <w:shd w:val="clear" w:color="auto" w:fill="FFFFFF"/>
          <w:lang w:val="en-US" w:eastAsia="zh-CN"/>
        </w:rPr>
        <w:t>0，年底无</w:t>
      </w:r>
      <w:r>
        <w:rPr>
          <w:rFonts w:hint="eastAsia" w:ascii="仿宋_GB2312" w:hAnsi="仿宋" w:eastAsia="仿宋_GB2312"/>
          <w:b w:val="0"/>
          <w:color w:val="000000"/>
          <w:sz w:val="32"/>
          <w:szCs w:val="32"/>
          <w:shd w:val="clear" w:color="auto" w:fill="FFFFFF"/>
        </w:rPr>
        <w:t>结转结余</w:t>
      </w:r>
      <w:r>
        <w:rPr>
          <w:rFonts w:hint="eastAsia" w:ascii="仿宋_GB2312" w:hAnsi="仿宋" w:eastAsia="仿宋_GB2312"/>
          <w:b w:val="0"/>
          <w:color w:val="000000"/>
          <w:sz w:val="32"/>
          <w:szCs w:val="32"/>
          <w:shd w:val="clear" w:color="auto" w:fill="FFFFFF"/>
          <w:lang w:eastAsia="zh-CN"/>
        </w:rPr>
        <w:t>。</w:t>
      </w:r>
    </w:p>
    <w:p>
      <w:pPr>
        <w:pageBreakBefore w:val="0"/>
        <w:numPr>
          <w:ilvl w:val="0"/>
          <w:numId w:val="1"/>
        </w:numPr>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楷体_GB2312" w:eastAsia="楷体_GB2312"/>
          <w:sz w:val="32"/>
          <w:szCs w:val="32"/>
        </w:rPr>
      </w:pPr>
      <w:r>
        <w:rPr>
          <w:rFonts w:hint="eastAsia" w:ascii="楷体_GB2312" w:eastAsia="楷体_GB2312"/>
          <w:sz w:val="32"/>
          <w:szCs w:val="32"/>
        </w:rPr>
        <w:t>部门预决算差异率</w:t>
      </w:r>
    </w:p>
    <w:p>
      <w:pPr>
        <w:pageBreakBefore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pPr>
      <w:r>
        <w:rPr>
          <w:rFonts w:hint="eastAsia" w:ascii="仿宋_GB2312" w:hAnsi="仿宋" w:eastAsia="仿宋_GB2312"/>
          <w:b w:val="0"/>
          <w:color w:val="000000"/>
          <w:sz w:val="32"/>
          <w:szCs w:val="32"/>
          <w:shd w:val="clear" w:color="auto" w:fill="FFFFFF"/>
        </w:rPr>
        <w:t>部门预决算差异率</w:t>
      </w:r>
      <w:r>
        <w:rPr>
          <w:rFonts w:hint="eastAsia" w:ascii="仿宋_GB2312" w:hAnsi="仿宋" w:eastAsia="仿宋_GB2312"/>
          <w:b w:val="0"/>
          <w:color w:val="000000"/>
          <w:sz w:val="32"/>
          <w:szCs w:val="32"/>
          <w:shd w:val="clear" w:color="auto" w:fill="FFFFFF"/>
          <w:lang w:eastAsia="zh-CN"/>
        </w:rPr>
        <w:t>为</w:t>
      </w:r>
      <w:r>
        <w:rPr>
          <w:rFonts w:hint="eastAsia" w:ascii="仿宋_GB2312" w:hAnsi="仿宋" w:eastAsia="仿宋_GB2312"/>
          <w:b w:val="0"/>
          <w:color w:val="000000"/>
          <w:sz w:val="32"/>
          <w:szCs w:val="32"/>
          <w:shd w:val="clear" w:color="auto" w:fill="FFFFFF"/>
          <w:lang w:val="en-US" w:eastAsia="zh-CN"/>
        </w:rPr>
        <w:t>8.02%，主要原因为部分还原到其他单位的项目经费开支使用未达标。</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1.产出指标总分为55分，自评得分55分，产出数量、产出质量、</w:t>
      </w:r>
      <w:r>
        <w:rPr>
          <w:rFonts w:hint="eastAsia" w:ascii="仿宋_GB2312" w:hAnsi="宋体" w:eastAsia="仿宋_GB2312" w:cs="宋体"/>
          <w:color w:val="000000"/>
          <w:kern w:val="0"/>
          <w:sz w:val="32"/>
          <w:szCs w:val="32"/>
        </w:rPr>
        <w:t>产出</w:t>
      </w:r>
      <w:r>
        <w:rPr>
          <w:rFonts w:hint="eastAsia" w:ascii="仿宋_GB2312" w:hAnsi="宋体" w:eastAsia="仿宋_GB2312" w:cs="宋体"/>
          <w:color w:val="000000"/>
          <w:kern w:val="0"/>
          <w:sz w:val="32"/>
          <w:szCs w:val="32"/>
          <w:lang w:eastAsia="zh-CN"/>
        </w:rPr>
        <w:t>时效</w:t>
      </w:r>
      <w:r>
        <w:rPr>
          <w:rFonts w:hint="eastAsia" w:ascii="仿宋_GB2312" w:hAnsi="宋体" w:eastAsia="仿宋_GB2312" w:cs="宋体"/>
          <w:color w:val="000000"/>
          <w:kern w:val="0"/>
          <w:sz w:val="32"/>
          <w:szCs w:val="32"/>
          <w:lang w:val="en-US" w:eastAsia="zh-CN"/>
        </w:rPr>
        <w:t>均完成和达到了年度产出指标的要求。</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2.效益指标总分为15分，自评得分</w:t>
      </w:r>
      <w:r>
        <w:rPr>
          <w:rFonts w:hint="eastAsia" w:hAnsi="宋体" w:cs="宋体"/>
          <w:color w:val="000000"/>
          <w:kern w:val="0"/>
          <w:sz w:val="32"/>
          <w:szCs w:val="32"/>
          <w:lang w:val="en-US" w:eastAsia="zh-CN"/>
        </w:rPr>
        <w:t>15</w:t>
      </w:r>
      <w:r>
        <w:rPr>
          <w:rFonts w:hint="eastAsia" w:ascii="仿宋_GB2312" w:hAnsi="宋体" w:eastAsia="仿宋_GB2312" w:cs="宋体"/>
          <w:color w:val="000000"/>
          <w:kern w:val="0"/>
          <w:sz w:val="32"/>
          <w:szCs w:val="32"/>
          <w:lang w:val="en-US" w:eastAsia="zh-CN"/>
        </w:rPr>
        <w:t>分</w:t>
      </w:r>
      <w:r>
        <w:rPr>
          <w:rFonts w:hint="eastAsia" w:hAnsi="宋体" w:cs="宋体"/>
          <w:color w:val="000000"/>
          <w:kern w:val="0"/>
          <w:sz w:val="32"/>
          <w:szCs w:val="32"/>
          <w:lang w:val="en-US" w:eastAsia="zh-CN"/>
        </w:rPr>
        <w:t>，</w:t>
      </w:r>
      <w:r>
        <w:rPr>
          <w:rFonts w:hint="eastAsia" w:ascii="仿宋_GB2312" w:hAnsi="宋体" w:eastAsia="仿宋_GB2312" w:cs="宋体"/>
          <w:color w:val="000000"/>
          <w:kern w:val="0"/>
          <w:sz w:val="32"/>
          <w:szCs w:val="32"/>
          <w:lang w:val="en-US" w:eastAsia="zh-CN"/>
        </w:rPr>
        <w:t>社会效益指标达到年度指标，老同志的获得感增强、发挥作用明显</w:t>
      </w:r>
      <w:r>
        <w:rPr>
          <w:rFonts w:hint="eastAsia" w:ascii="仿宋_GB2312" w:hAnsi="宋体" w:eastAsia="仿宋_GB2312" w:cs="宋体"/>
          <w:color w:val="000000"/>
          <w:kern w:val="0"/>
          <w:sz w:val="32"/>
          <w:szCs w:val="32"/>
          <w:lang w:eastAsia="zh-CN"/>
        </w:rPr>
        <w:t>。</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.满意度指标</w:t>
      </w:r>
      <w:r>
        <w:rPr>
          <w:rFonts w:hint="eastAsia" w:ascii="仿宋_GB2312" w:hAnsi="宋体" w:eastAsia="仿宋_GB2312" w:cs="宋体"/>
          <w:color w:val="000000"/>
          <w:kern w:val="0"/>
          <w:sz w:val="32"/>
          <w:szCs w:val="32"/>
          <w:lang w:val="en-US" w:eastAsia="zh-CN"/>
        </w:rPr>
        <w:t>总分为15分，自评得分</w:t>
      </w:r>
      <w:r>
        <w:rPr>
          <w:rFonts w:hint="eastAsia" w:hAnsi="宋体" w:cs="宋体"/>
          <w:color w:val="000000"/>
          <w:kern w:val="0"/>
          <w:sz w:val="32"/>
          <w:szCs w:val="32"/>
          <w:lang w:val="en-US" w:eastAsia="zh-CN"/>
        </w:rPr>
        <w:t>15</w:t>
      </w:r>
      <w:r>
        <w:rPr>
          <w:rFonts w:hint="eastAsia" w:ascii="仿宋_GB2312" w:hAnsi="宋体" w:eastAsia="仿宋_GB2312" w:cs="宋体"/>
          <w:color w:val="000000"/>
          <w:kern w:val="0"/>
          <w:sz w:val="32"/>
          <w:szCs w:val="32"/>
          <w:lang w:val="en-US" w:eastAsia="zh-CN"/>
        </w:rPr>
        <w:t>分，组织各项活动</w:t>
      </w:r>
      <w:r>
        <w:rPr>
          <w:rFonts w:hint="eastAsia" w:ascii="仿宋_GB2312" w:hAnsi="宋体" w:eastAsia="仿宋_GB2312" w:cs="宋体"/>
          <w:color w:val="000000"/>
          <w:kern w:val="0"/>
          <w:sz w:val="32"/>
          <w:szCs w:val="32"/>
        </w:rPr>
        <w:t>服务对象</w:t>
      </w:r>
      <w:r>
        <w:rPr>
          <w:rFonts w:ascii="仿宋_GB2312" w:hAnsi="宋体" w:eastAsia="仿宋_GB2312" w:cs="宋体"/>
          <w:color w:val="000000"/>
          <w:kern w:val="0"/>
          <w:sz w:val="32"/>
          <w:szCs w:val="32"/>
        </w:rPr>
        <w:t>满意度</w:t>
      </w:r>
      <w:r>
        <w:rPr>
          <w:rFonts w:hint="eastAsia" w:ascii="仿宋_GB2312" w:hAnsi="宋体" w:eastAsia="仿宋_GB2312" w:cs="宋体"/>
          <w:color w:val="000000"/>
          <w:kern w:val="0"/>
          <w:sz w:val="32"/>
          <w:szCs w:val="32"/>
          <w:lang w:eastAsia="zh-CN"/>
        </w:rPr>
        <w:t>达到了年初指标值。</w:t>
      </w:r>
    </w:p>
    <w:p>
      <w:pPr>
        <w:pStyle w:val="2"/>
        <w:pageBreakBefore w:val="0"/>
        <w:kinsoku/>
        <w:wordWrap/>
        <w:overflowPunct/>
        <w:topLinePunct w:val="0"/>
        <w:autoSpaceDE/>
        <w:autoSpaceDN/>
        <w:bidi w:val="0"/>
        <w:adjustRightInd/>
        <w:snapToGrid/>
        <w:spacing w:line="580" w:lineRule="exact"/>
        <w:ind w:right="0" w:rightChars="0"/>
        <w:textAlignment w:val="auto"/>
        <w:rPr>
          <w:rFonts w:hint="eastAsia"/>
          <w:lang w:val="en-US"/>
        </w:rPr>
      </w:pPr>
      <w:r>
        <w:rPr>
          <w:rFonts w:hint="eastAsia" w:hAnsi="宋体" w:cs="宋体"/>
          <w:color w:val="000000"/>
          <w:kern w:val="0"/>
          <w:sz w:val="32"/>
          <w:szCs w:val="32"/>
          <w:lang w:val="en-US" w:eastAsia="zh-CN"/>
        </w:rPr>
        <w:t>4.成本指标</w:t>
      </w:r>
      <w:r>
        <w:rPr>
          <w:rFonts w:hint="eastAsia" w:ascii="仿宋_GB2312" w:hAnsi="宋体" w:eastAsia="仿宋_GB2312" w:cs="宋体"/>
          <w:color w:val="000000"/>
          <w:kern w:val="0"/>
          <w:sz w:val="32"/>
          <w:szCs w:val="32"/>
          <w:lang w:val="en-US" w:eastAsia="zh-CN"/>
        </w:rPr>
        <w:t>总分为15分</w:t>
      </w:r>
      <w:r>
        <w:rPr>
          <w:rFonts w:hint="eastAsia" w:hAnsi="宋体" w:cs="宋体"/>
          <w:color w:val="000000"/>
          <w:kern w:val="0"/>
          <w:sz w:val="32"/>
          <w:szCs w:val="32"/>
          <w:lang w:val="en-US" w:eastAsia="zh-CN"/>
        </w:rPr>
        <w:t>，</w:t>
      </w:r>
      <w:r>
        <w:rPr>
          <w:rFonts w:hint="eastAsia" w:ascii="仿宋_GB2312" w:hAnsi="宋体" w:eastAsia="仿宋_GB2312" w:cs="宋体"/>
          <w:color w:val="000000"/>
          <w:kern w:val="0"/>
          <w:sz w:val="32"/>
          <w:szCs w:val="32"/>
          <w:lang w:val="en-US" w:eastAsia="zh-CN"/>
        </w:rPr>
        <w:t>自评得分</w:t>
      </w:r>
      <w:r>
        <w:rPr>
          <w:rFonts w:hint="eastAsia" w:hAnsi="宋体" w:cs="宋体"/>
          <w:color w:val="000000"/>
          <w:kern w:val="0"/>
          <w:sz w:val="32"/>
          <w:szCs w:val="32"/>
          <w:lang w:val="en-US" w:eastAsia="zh-CN"/>
        </w:rPr>
        <w:t>15</w:t>
      </w:r>
      <w:r>
        <w:rPr>
          <w:rFonts w:hint="eastAsia" w:ascii="仿宋_GB2312" w:hAnsi="宋体" w:eastAsia="仿宋_GB2312" w:cs="宋体"/>
          <w:color w:val="000000"/>
          <w:kern w:val="0"/>
          <w:sz w:val="32"/>
          <w:szCs w:val="32"/>
          <w:lang w:val="en-US" w:eastAsia="zh-CN"/>
        </w:rPr>
        <w:t>分</w:t>
      </w:r>
      <w:r>
        <w:rPr>
          <w:rFonts w:hint="eastAsia" w:hAnsi="宋体" w:cs="宋体"/>
          <w:color w:val="000000"/>
          <w:kern w:val="0"/>
          <w:sz w:val="32"/>
          <w:szCs w:val="32"/>
          <w:lang w:val="en-US" w:eastAsia="zh-CN"/>
        </w:rPr>
        <w:t>，总成本均控制在年度预算内。</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楷体_GB2312" w:eastAsia="楷体_GB2312"/>
          <w:sz w:val="32"/>
          <w:szCs w:val="32"/>
        </w:rPr>
      </w:pPr>
      <w:r>
        <w:rPr>
          <w:rFonts w:hint="eastAsia" w:ascii="楷体_GB2312" w:eastAsia="楷体_GB2312"/>
          <w:sz w:val="32"/>
          <w:szCs w:val="32"/>
        </w:rPr>
        <w:t>（二）存在的问题及原因分析</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楷体_GB2312" w:eastAsia="楷体_GB2312"/>
          <w:sz w:val="32"/>
          <w:szCs w:val="32"/>
        </w:rPr>
      </w:pPr>
      <w:r>
        <w:rPr>
          <w:rFonts w:hint="eastAsia" w:ascii="仿宋_GB2312" w:hAnsi="宋体" w:eastAsia="仿宋_GB2312" w:cs="宋体"/>
          <w:color w:val="000000"/>
          <w:kern w:val="0"/>
          <w:sz w:val="32"/>
          <w:szCs w:val="32"/>
          <w:lang w:val="en-US" w:eastAsia="zh-CN"/>
        </w:rPr>
        <w:t>存在的问题：一是</w:t>
      </w:r>
      <w:r>
        <w:rPr>
          <w:rFonts w:hint="eastAsia" w:ascii="仿宋_GB2312" w:hAnsi="仿宋" w:eastAsia="仿宋_GB2312"/>
          <w:b w:val="0"/>
          <w:color w:val="000000"/>
          <w:sz w:val="32"/>
          <w:szCs w:val="32"/>
          <w:shd w:val="clear" w:color="auto" w:fill="FFFFFF"/>
          <w:lang w:val="en-US" w:eastAsia="zh-CN"/>
        </w:rPr>
        <w:t>部分还原到其他单位的项目经费开支使用未达标</w:t>
      </w:r>
      <w:r>
        <w:rPr>
          <w:rFonts w:hint="eastAsia" w:ascii="仿宋_GB2312" w:hAnsi="宋体" w:eastAsia="仿宋_GB2312" w:cs="宋体"/>
          <w:color w:val="000000"/>
          <w:kern w:val="0"/>
          <w:sz w:val="32"/>
          <w:szCs w:val="32"/>
          <w:lang w:val="en-US" w:eastAsia="zh-CN"/>
        </w:rPr>
        <w:t>；二是部分预算绩效目标数值设置还不太准确；三是</w:t>
      </w:r>
      <w:r>
        <w:rPr>
          <w:rFonts w:hint="eastAsia" w:ascii="仿宋_GB2312" w:hAnsi="宋体" w:eastAsia="仿宋_GB2312" w:cs="宋体"/>
          <w:color w:val="000000"/>
          <w:kern w:val="0"/>
          <w:sz w:val="32"/>
          <w:szCs w:val="32"/>
        </w:rPr>
        <w:t>持续为全区老同志服务的能力还需提高</w:t>
      </w:r>
      <w:r>
        <w:rPr>
          <w:rFonts w:hint="eastAsia" w:ascii="仿宋_GB2312" w:hAnsi="宋体" w:eastAsia="仿宋_GB2312" w:cs="宋体"/>
          <w:color w:val="000000"/>
          <w:kern w:val="0"/>
          <w:sz w:val="32"/>
          <w:szCs w:val="32"/>
          <w:lang w:eastAsia="zh-CN"/>
        </w:rPr>
        <w:t>。</w:t>
      </w:r>
    </w:p>
    <w:p>
      <w:pPr>
        <w:pageBreakBefore w:val="0"/>
        <w:kinsoku/>
        <w:wordWrap/>
        <w:overflowPunct/>
        <w:topLinePunct w:val="0"/>
        <w:autoSpaceDE/>
        <w:autoSpaceDN/>
        <w:bidi w:val="0"/>
        <w:adjustRightInd/>
        <w:snapToGrid/>
        <w:spacing w:line="580" w:lineRule="exact"/>
        <w:ind w:left="105" w:leftChars="50" w:right="0" w:rightChars="0" w:firstLine="480" w:firstLineChars="150"/>
        <w:textAlignment w:val="auto"/>
        <w:rPr>
          <w:rFonts w:hint="eastAsia" w:ascii="黑体" w:hAnsi="黑体" w:eastAsia="黑体"/>
          <w:sz w:val="32"/>
          <w:szCs w:val="32"/>
        </w:rPr>
      </w:pPr>
      <w:r>
        <w:rPr>
          <w:rFonts w:hint="eastAsia" w:ascii="黑体" w:hAnsi="黑体" w:eastAsia="黑体"/>
          <w:sz w:val="32"/>
          <w:szCs w:val="32"/>
        </w:rPr>
        <w:t>六、下一步工作举措</w:t>
      </w:r>
    </w:p>
    <w:p>
      <w:pPr>
        <w:pStyle w:val="2"/>
        <w:pageBreakBefore w:val="0"/>
        <w:kinsoku/>
        <w:wordWrap/>
        <w:overflowPunct/>
        <w:topLinePunct w:val="0"/>
        <w:autoSpaceDE/>
        <w:autoSpaceDN/>
        <w:bidi w:val="0"/>
        <w:adjustRightInd/>
        <w:snapToGrid/>
        <w:spacing w:line="580" w:lineRule="exact"/>
        <w:ind w:right="0" w:rightChars="0"/>
        <w:textAlignment w:val="auto"/>
        <w:rPr>
          <w:rFonts w:hint="eastAsia" w:hAnsi="宋体" w:cs="宋体"/>
          <w:color w:val="000000"/>
          <w:kern w:val="0"/>
          <w:sz w:val="32"/>
          <w:szCs w:val="32"/>
          <w:lang w:eastAsia="zh-CN"/>
        </w:rPr>
      </w:pPr>
      <w:r>
        <w:rPr>
          <w:rFonts w:hint="eastAsia" w:hAnsi="宋体" w:cs="宋体"/>
          <w:color w:val="000000"/>
          <w:kern w:val="0"/>
          <w:sz w:val="32"/>
          <w:szCs w:val="32"/>
          <w:lang w:eastAsia="zh-CN"/>
        </w:rPr>
        <w:t>一是加大对预算编制的精准度和绩效目标设置的合理性；</w:t>
      </w:r>
    </w:p>
    <w:p>
      <w:pPr>
        <w:pStyle w:val="2"/>
        <w:pageBreakBefore w:val="0"/>
        <w:kinsoku/>
        <w:wordWrap/>
        <w:overflowPunct/>
        <w:topLinePunct w:val="0"/>
        <w:autoSpaceDE/>
        <w:autoSpaceDN/>
        <w:bidi w:val="0"/>
        <w:adjustRightInd/>
        <w:snapToGrid/>
        <w:spacing w:line="580" w:lineRule="exact"/>
        <w:ind w:right="0" w:rightChars="0"/>
        <w:textAlignment w:val="auto"/>
        <w:rPr>
          <w:rFonts w:hint="eastAsia" w:hAnsi="宋体" w:cs="宋体"/>
          <w:color w:val="000000"/>
          <w:kern w:val="0"/>
          <w:sz w:val="32"/>
          <w:szCs w:val="32"/>
          <w:lang w:eastAsia="zh-CN"/>
        </w:rPr>
      </w:pPr>
      <w:r>
        <w:rPr>
          <w:rFonts w:hint="eastAsia" w:hAnsi="宋体" w:cs="宋体"/>
          <w:color w:val="000000"/>
          <w:kern w:val="0"/>
          <w:sz w:val="32"/>
          <w:szCs w:val="32"/>
          <w:lang w:eastAsia="zh-CN"/>
        </w:rPr>
        <w:t>二是加强项目绩效的日常监管和跟踪，落实阶段性项目绩效评价制度，确保年度总体项目绩效目标的完成。</w:t>
      </w:r>
    </w:p>
    <w:p>
      <w:pPr>
        <w:pStyle w:val="2"/>
        <w:pageBreakBefore w:val="0"/>
        <w:kinsoku/>
        <w:wordWrap/>
        <w:overflowPunct/>
        <w:topLinePunct w:val="0"/>
        <w:autoSpaceDE/>
        <w:autoSpaceDN/>
        <w:bidi w:val="0"/>
        <w:adjustRightInd/>
        <w:snapToGrid/>
        <w:spacing w:line="580" w:lineRule="exact"/>
        <w:ind w:right="0" w:rightChars="0"/>
        <w:textAlignment w:val="auto"/>
        <w:rPr>
          <w:rFonts w:hint="eastAsia" w:hAnsi="宋体" w:cs="宋体"/>
          <w:color w:val="000000"/>
          <w:kern w:val="0"/>
          <w:sz w:val="32"/>
          <w:szCs w:val="32"/>
          <w:lang w:val="en-US" w:eastAsia="zh-CN"/>
        </w:rPr>
      </w:pPr>
      <w:r>
        <w:rPr>
          <w:rFonts w:hint="eastAsia" w:hAnsi="宋体" w:cs="宋体"/>
          <w:color w:val="000000"/>
          <w:kern w:val="0"/>
          <w:sz w:val="32"/>
          <w:szCs w:val="32"/>
          <w:lang w:eastAsia="zh-CN"/>
        </w:rPr>
        <w:t>三是严格财务审核，在费用报账支付时按照预算规定的项目和用途进行资金使用和审核支付，杜绝超支现象发生。</w:t>
      </w:r>
    </w:p>
    <w:p>
      <w:pPr>
        <w:pStyle w:val="2"/>
        <w:pageBreakBefore w:val="0"/>
        <w:kinsoku/>
        <w:wordWrap/>
        <w:overflowPunct/>
        <w:topLinePunct w:val="0"/>
        <w:autoSpaceDE/>
        <w:autoSpaceDN/>
        <w:bidi w:val="0"/>
        <w:adjustRightInd/>
        <w:snapToGrid/>
        <w:spacing w:line="580" w:lineRule="exact"/>
        <w:ind w:right="0" w:rightChars="0" w:firstLine="3520" w:firstLineChars="1100"/>
        <w:textAlignment w:val="auto"/>
        <w:rPr>
          <w:rFonts w:hint="eastAsia" w:hAnsi="宋体" w:cs="宋体"/>
          <w:color w:val="000000"/>
          <w:kern w:val="0"/>
          <w:sz w:val="32"/>
          <w:szCs w:val="32"/>
          <w:lang w:val="en-US" w:eastAsia="zh-CN"/>
        </w:rPr>
      </w:pPr>
    </w:p>
    <w:p>
      <w:pPr>
        <w:pageBreakBefore w:val="0"/>
        <w:kinsoku/>
        <w:wordWrap/>
        <w:overflowPunct/>
        <w:topLinePunct w:val="0"/>
        <w:autoSpaceDE/>
        <w:autoSpaceDN/>
        <w:bidi w:val="0"/>
        <w:adjustRightInd/>
        <w:snapToGrid/>
        <w:spacing w:line="580" w:lineRule="exact"/>
        <w:ind w:right="0" w:rightChars="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DejaVu Sans">
    <w:altName w:val="Trebuchet MS"/>
    <w:panose1 w:val="020B0603030804020204"/>
    <w:charset w:val="00"/>
    <w:family w:val="auto"/>
    <w:pitch w:val="default"/>
    <w:sig w:usb0="00000000" w:usb1="00000000" w:usb2="0A246029" w:usb3="0400200C" w:csb0="600001FF" w:csb1="DFFF0000"/>
  </w:font>
  <w:font w:name="Calibri Light">
    <w:altName w:val="Calibri"/>
    <w:panose1 w:val="020F0302020204030204"/>
    <w:charset w:val="00"/>
    <w:family w:val="auto"/>
    <w:pitch w:val="default"/>
    <w:sig w:usb0="00000000" w:usb1="00000000" w:usb2="00000000" w:usb3="00000000" w:csb0="2000019F" w:csb1="00000000"/>
  </w:font>
  <w:font w:name="方正隶书_GBK">
    <w:altName w:val="宋体"/>
    <w:panose1 w:val="02000000000000000000"/>
    <w:charset w:val="86"/>
    <w:family w:val="auto"/>
    <w:pitch w:val="default"/>
    <w:sig w:usb0="00000000" w:usb1="00000000" w:usb2="00000000" w:usb3="00000000" w:csb0="00040000" w:csb1="00000000"/>
  </w:font>
  <w:font w:name="方正魏碑_GBK">
    <w:altName w:val="宋体"/>
    <w:panose1 w:val="02000000000000000000"/>
    <w:charset w:val="86"/>
    <w:family w:val="auto"/>
    <w:pitch w:val="default"/>
    <w:sig w:usb0="00000000" w:usb1="00000000" w:usb2="00000000" w:usb3="00000000" w:csb0="00040000" w:csb1="00000000"/>
  </w:font>
  <w:font w:name="方正行楷_GBK">
    <w:altName w:val="宋体"/>
    <w:panose1 w:val="02000000000000000000"/>
    <w:charset w:val="86"/>
    <w:family w:val="auto"/>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方正细黑一_GBK">
    <w:altName w:val="黑体"/>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Trebuchet MS">
    <w:panose1 w:val="020B0603020202020204"/>
    <w:charset w:val="00"/>
    <w:family w:val="auto"/>
    <w:pitch w:val="default"/>
    <w:sig w:usb0="00000287" w:usb1="00000000" w:usb2="00000000" w:usb3="00000000" w:csb0="2000009F" w:csb1="00000000"/>
  </w:font>
  <w:font w:name="隶书">
    <w:panose1 w:val="0201050906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等线">
    <w:altName w:val="宋体"/>
    <w:panose1 w:val="02010600030101010101"/>
    <w:charset w:val="86"/>
    <w:family w:val="auto"/>
    <w:pitch w:val="default"/>
    <w:sig w:usb0="00000000" w:usb1="00000000" w:usb2="00000016" w:usb3="00000000" w:csb0="0004000F" w:csb1="00000000"/>
  </w:font>
  <w:font w:name="font-weight : 40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10022FF" w:usb1="C000E47F" w:usb2="00000029" w:usb3="00000000" w:csb0="200001DF" w:csb1="20000000"/>
  </w:font>
  <w:font w:name="Liberation Sans">
    <w:altName w:val="Arial Unicode MS"/>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仿体">
    <w:altName w:val="Segoe Print"/>
    <w:panose1 w:val="00000000000000000000"/>
    <w:charset w:val="00"/>
    <w:family w:val="auto"/>
    <w:pitch w:val="default"/>
    <w:sig w:usb0="00000000" w:usb1="00000000" w:usb2="00000000" w:usb3="00000000" w:csb0="00040001" w:csb1="00000000"/>
  </w:font>
  <w:font w:name="PingFang SC Regular">
    <w:altName w:val="Times New Roman"/>
    <w:panose1 w:val="00000000000000000000"/>
    <w:charset w:val="00"/>
    <w:family w:val="decorative"/>
    <w:pitch w:val="default"/>
    <w:sig w:usb0="00000000" w:usb1="00000000" w:usb2="00000000" w:usb3="00000000" w:csb0="00000000" w:csb1="00000000"/>
  </w:font>
  <w:font w:name="PingFang SC Semibold">
    <w:altName w:val="Times New Roman"/>
    <w:panose1 w:val="00000000000000000000"/>
    <w:charset w:val="00"/>
    <w:family w:val="decorative"/>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 w:name="CESI仿宋-GB18030">
    <w:altName w:val="仿宋"/>
    <w:panose1 w:val="02000500000000000000"/>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DC6543"/>
    <w:multiLevelType w:val="singleLevel"/>
    <w:tmpl w:val="63DC6543"/>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BF12E6"/>
    <w:rsid w:val="09C2470C"/>
    <w:rsid w:val="09FD3A74"/>
    <w:rsid w:val="11652C3A"/>
    <w:rsid w:val="12F87A86"/>
    <w:rsid w:val="15F42A3A"/>
    <w:rsid w:val="15FF58D8"/>
    <w:rsid w:val="164421DD"/>
    <w:rsid w:val="177B21A5"/>
    <w:rsid w:val="1FE715EA"/>
    <w:rsid w:val="240C6945"/>
    <w:rsid w:val="301C2B99"/>
    <w:rsid w:val="325117C9"/>
    <w:rsid w:val="33402E09"/>
    <w:rsid w:val="36B14AB2"/>
    <w:rsid w:val="3B5F2171"/>
    <w:rsid w:val="3EFE7BD6"/>
    <w:rsid w:val="3F161D95"/>
    <w:rsid w:val="485A5F32"/>
    <w:rsid w:val="488E27BA"/>
    <w:rsid w:val="55F819B6"/>
    <w:rsid w:val="560F5DFF"/>
    <w:rsid w:val="58C84CBB"/>
    <w:rsid w:val="5AB27146"/>
    <w:rsid w:val="69BF12E6"/>
    <w:rsid w:val="6D851C6E"/>
    <w:rsid w:val="6E6924A9"/>
    <w:rsid w:val="70987FCE"/>
    <w:rsid w:val="731B4180"/>
    <w:rsid w:val="7C4713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2"/>
    <w:basedOn w:val="1"/>
    <w:next w:val="1"/>
    <w:unhideWhenUsed/>
    <w:qFormat/>
    <w:uiPriority w:val="0"/>
    <w:pPr>
      <w:keepNext/>
      <w:keepLines/>
      <w:jc w:val="center"/>
      <w:outlineLvl w:val="1"/>
    </w:pPr>
    <w:rPr>
      <w:rFonts w:ascii="Cambria" w:hAnsi="Cambria" w:cs="Cambria"/>
      <w:sz w:val="36"/>
      <w:szCs w:val="36"/>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spacing w:line="560" w:lineRule="exact"/>
      <w:ind w:firstLine="640" w:firstLineChars="200"/>
    </w:pPr>
    <w:rPr>
      <w:rFonts w:eastAsia="仿宋_GB2312"/>
      <w:sz w:val="32"/>
      <w:szCs w:val="20"/>
    </w:rPr>
  </w:style>
  <w:style w:type="paragraph" w:styleId="3">
    <w:name w:val="Body Text"/>
    <w:basedOn w:val="1"/>
    <w:next w:val="4"/>
    <w:qFormat/>
    <w:uiPriority w:val="0"/>
    <w:rPr>
      <w:rFonts w:ascii="仿宋_GB2312"/>
    </w:rPr>
  </w:style>
  <w:style w:type="paragraph" w:customStyle="1" w:styleId="4">
    <w:name w:val="目录 11"/>
    <w:basedOn w:val="1"/>
    <w:next w:val="1"/>
    <w:qFormat/>
    <w:uiPriority w:val="99"/>
    <w:pPr>
      <w:widowControl/>
      <w:wordWrap w:val="0"/>
    </w:pPr>
    <w:rPr>
      <w:rFonts w:ascii="Calibri" w:hAnsi="Calibri" w:cs="Calibri"/>
      <w:kern w:val="0"/>
      <w:szCs w:val="21"/>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2023-01-11T09:12:00Z</dcterms:created>
  <dc:creator>Administrator</dc:creator>
  <cp:lastModifiedBy>admin</cp:lastModifiedBy>
  <cp:lastPrinted>2024-03-21T06:00:00Z</cp:lastPrinted>
  <dcterms:modified xsi:type="dcterms:W3CDTF">2025-09-04T08:46:34Z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