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崔各庄乡京旺家园公共设施维修项目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支出绩效评价报告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基本情况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项目概况。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京旺家园为我乡农村拆迁安置小区，其中1-7区居民入住已超过10年，小区部分公共设施的毁损情况比较严重，为消除安全隐患，我乡于2022年年底向区财政局申请进行京旺家园公共设施维修并通过立项，区财政批复施工资金682.84万元，实际施工合同金额677.31万元。改造涉及京旺家园1至7区，已于2023年9月竣工并通过验收，按区财政局支出计划，2023年度支出合同额80%即541.85万元，2024年度进行结算审计并依据核定金额支付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项目绩效目标。包括总体目标和阶段性目标。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项目总体目标为完成京旺家园公共设施维修项目，共分为三个子项目，目标一为实施完成京旺家园单元门修缮工程，目标二为实施完成京旺家园外墙砖维修工程，目标三为实施完成京旺家园一四五区车库风道更换工程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（一）绩效评价目的、对象和范围。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绩效评价的主要目的在于全面、客观地评估京旺家园公共设施维修项目的支出绩效。本次绩效评价的对象为京旺家园公共设施维修项目的各项支出，包括维修费用、管理费用、其他支出等方面，评价对象为崔各庄乡京旺家园公共设施维修项目，范围涵盖项目必要性、项目可行性、项目经济性、项目效率性、项目效益性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（二）绩效评价原则、评价指标体系（附表说明）、评价方法、评价标准等。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事前评估工作由区财政局统一组织，并委托第三方机构具体参与实施，对项目必要性、可行性、经济性、效率性、效益性五个方面进行评估，并提出相关建议。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绩效评价工作过程。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本次事前评估主要采用入户调研、查阅材料、专家咨询、专家评议等方式，结合项目单位提供的资料进行评估。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三、综合评价情况及评价结论</w:t>
      </w:r>
    </w:p>
    <w:tbl>
      <w:tblPr>
        <w:tblStyle w:val="8"/>
        <w:tblpPr w:leftFromText="180" w:rightFromText="180" w:vertAnchor="text" w:horzAnchor="page" w:tblpX="830" w:tblpY="36"/>
        <w:tblOverlap w:val="never"/>
        <w:tblW w:w="10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623"/>
        <w:gridCol w:w="763"/>
        <w:gridCol w:w="406"/>
        <w:gridCol w:w="1592"/>
        <w:gridCol w:w="222"/>
        <w:gridCol w:w="1088"/>
        <w:gridCol w:w="2271"/>
        <w:gridCol w:w="124"/>
        <w:gridCol w:w="466"/>
        <w:gridCol w:w="861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11010523T000002072792-</w:t>
            </w:r>
            <w:r>
              <w:rPr>
                <w:rStyle w:val="13"/>
                <w:lang w:val="en-US" w:eastAsia="zh-CN" w:bidi="ar"/>
              </w:rPr>
              <w:t>京旺家园公共设施维修项目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崔各庄乡政府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崔各庄乡政府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4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赵新伟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84304135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lang w:val="en-US" w:eastAsia="zh-CN" w:bidi="ar"/>
              </w:rPr>
              <w:t>项目资金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（万元）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857.7119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541.85366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541.85366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857.7119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541.85366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541.85366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7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8"/>
                <w:lang w:val="en-US" w:eastAsia="zh-CN" w:bidi="ar"/>
              </w:rPr>
              <w:t>上年结转资金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提升京旺家园居住条件。</w:t>
            </w:r>
          </w:p>
        </w:tc>
        <w:tc>
          <w:tcPr>
            <w:tcW w:w="5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京旺家园公共设施维修项目已于2023年9月竣工并通过验收，本项目提升了京旺家园整体居住条件。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惠及小区数量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＝7个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7个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工程质量符合国家相关标准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定性：优良中低差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优：严格按照国家相关建筑质量标准进行实施，确保了工程质量的合格与可靠。监理对材料及施工质量全程把控，确保工程质量符合国家相关标准。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工程完成时效</w:t>
            </w:r>
          </w:p>
        </w:tc>
        <w:tc>
          <w:tcPr>
            <w:tcW w:w="1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≤12个月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6个月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＝8577119元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541.85366万元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根据本项目绩效评估评估报告，建议对本项目</w:t>
            </w:r>
            <w:r>
              <w:rPr>
                <w:rStyle w:val="12"/>
                <w:rFonts w:eastAsia="宋体"/>
                <w:lang w:val="en-US" w:eastAsia="zh-CN" w:bidi="ar"/>
              </w:rPr>
              <w:t>“</w:t>
            </w:r>
            <w:r>
              <w:rPr>
                <w:rStyle w:val="13"/>
                <w:lang w:val="en-US" w:eastAsia="zh-CN" w:bidi="ar"/>
              </w:rPr>
              <w:t>部分支持</w:t>
            </w:r>
            <w:r>
              <w:rPr>
                <w:rStyle w:val="12"/>
                <w:rFonts w:eastAsia="宋体"/>
                <w:lang w:val="en-US" w:eastAsia="zh-CN" w:bidi="ar"/>
              </w:rPr>
              <w:t>”</w:t>
            </w:r>
            <w:r>
              <w:rPr>
                <w:rStyle w:val="13"/>
                <w:lang w:val="en-US" w:eastAsia="zh-CN" w:bidi="ar"/>
              </w:rPr>
              <w:t>，推测因为对接人员未仔细阅读，导致预算金额填报错误。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4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提升京旺家园居住条件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定性：优良中低差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：项目共分为单元门修缮工程、外墙砖维修工程、一四五区车库风道更换工程三个子项目，其中单元门修缮工程施工内容为更换1区-7区175樘破损严重的单元门及36块公区玻璃；外墙砖维修工程施工内容为1、4、5、6、7区破损严重的6538平方米外墙砖进行修复；一四五区车库风道更换工程施工内容为1、4、5区破损严重的8290平方米车库石膏风道更换成镀锌钢板管道。大幅提升京旺家园居住条件。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京旺家园居民满意度</w:t>
            </w:r>
          </w:p>
        </w:tc>
        <w:tc>
          <w:tcPr>
            <w:tcW w:w="108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填表人：  王鹏        联系电话：   84304199     填写日期：2024.3.12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2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填报注意事项：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自评表内容可从一体化系统复制，因2022年一体化系统有绩效目标调整情况，若格式存在不一致情况以一体化系统为准。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预期指标情况要严格按照年初或项目追加时的绩效目标填报，不得随意调整。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（1）该表总分共计100分，其中预算执行率为10分，绩效指标部分为90分；90（含）-100分为优、80（含）-90分为良、60（含）-80分为中、60分以下为差。（2）得分一档最高不能超过该指标分值上限。（3）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4.请在“偏差原因分析及改进措施”中说明偏离目标、不能完成目标的原因及拟采取的措施。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2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（一）项目决策情况。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项目工作领导小组，主管领导任组长，京旺物业经理任副组长，城乡办、社区办、京旺家园一、二、三、四社区、施工单位为成员。领导小组下设办公室，办公室设在京旺家园物业公司工程部，主要负责项目整体安排、居民协调、宣传引导、材料整理上报、协助施工单位进场施工等工作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（二）项目过程情况。</w:t>
      </w:r>
    </w:p>
    <w:p>
      <w:pPr>
        <w:pStyle w:val="4"/>
        <w:pageBreakBefore w:val="0"/>
        <w:kinsoku/>
        <w:wordWrap/>
        <w:overflowPunct/>
        <w:topLinePunct w:val="0"/>
        <w:bidi w:val="0"/>
        <w:spacing w:line="520" w:lineRule="exact"/>
        <w:ind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1.项目前期阶段。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收集居民意见，结合居民需求和小区实际情况确认施工内容，召开居民代表会讨论施工方案，做好信息公开和透明，公示施工内容等相关信息。</w:t>
      </w:r>
    </w:p>
    <w:p>
      <w:pPr>
        <w:pStyle w:val="4"/>
        <w:pageBreakBefore w:val="0"/>
        <w:kinsoku/>
        <w:wordWrap/>
        <w:overflowPunct/>
        <w:topLinePunct w:val="0"/>
        <w:bidi w:val="0"/>
        <w:spacing w:line="520" w:lineRule="exact"/>
        <w:ind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2.设计及招标阶段。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初步方案和概算，委托专业设计单位设计方案，同时进行工程量清单编制和预算编制，为后续的招标工作提供依据。比选第三方招标代理公司制定招标方案和评标标准，通过发布招标文件、评标、定标等过程，确保招标过程公正、公平、公开。</w:t>
      </w:r>
    </w:p>
    <w:p>
      <w:pPr>
        <w:pStyle w:val="4"/>
        <w:pageBreakBefore w:val="0"/>
        <w:kinsoku/>
        <w:wordWrap/>
        <w:overflowPunct/>
        <w:topLinePunct w:val="0"/>
        <w:bidi w:val="0"/>
        <w:spacing w:line="520" w:lineRule="exact"/>
        <w:ind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3.施工建设阶段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（1）每周例会机制。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项目施工后，各成员单位每周召开工作例会，专题调度项目进展及遇到的问题等内容，做到及时发现问题、第一时间研究解决问题，对于疑难问题要及时上报。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（2）公示告知机制。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目开工、工程内容变化、发生影响居民生活的施工工序前均须通过小区单元门张贴公告、微信群、公众号等方式进行公示告知，确保居民知情。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（3）信息报送机制。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各施工单位对开展的工作要做好工作材料整理，并及时上报领导小组办公室，由物业定期进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行梳理汇总并存档备查。</w:t>
      </w:r>
    </w:p>
    <w:p>
      <w:pPr>
        <w:pStyle w:val="4"/>
        <w:pageBreakBefore w:val="0"/>
        <w:kinsoku/>
        <w:wordWrap/>
        <w:overflowPunct/>
        <w:topLinePunct w:val="0"/>
        <w:bidi w:val="0"/>
        <w:spacing w:line="520" w:lineRule="exact"/>
        <w:ind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4.总结验收阶段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（1）汇总工程资料。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确保资料的完整性和准确性，验收后相关部门对工程资料进行备案和存档。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（2）预验收阶段。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监理单位针对在施工及预验收过程中发现的问题，向施工单位提出相应的整改意见，施工单位及时整改并向监理单位反馈。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（3）正式验收。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在监理预验收准备完成后，建设单位、社区、物业等参建单位组织验收委员会，验收委员会将会对工程的工程量、工程质量、外观等进行检查和评估，并对工程资料进行审核。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（4）结算和移交。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在项目通过正式验收后，施工单位需将工程及相关资料移交给使用单位（京旺物业）。同时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委托第三方造价公司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进行工程的结算评审工作，根据核定金额进行结算。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（三）项目产出情况。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共分为单元门修缮工程、外墙砖维修工程、一四五区车库风道更换工程三个子项目，其中单元门修缮工程施工内容为更换1区-7区175樘破损严重的单元门及36块公区玻璃；外墙砖维修工程施工内容为1、4、5、6、7区破损严重的6538平方米外墙砖进行修复；一四五区车库风道更换工程施工内容为1、4、5区破损严重的8290平方米车库石膏风道更换成镀锌钢板管道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（四）项目效益情况。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项目的绩效目标设置为“实施完成京旺家园单元门修缮工程、外墙砖维修工程和一、四、五区车库风道更换工程”，目前效益目标均已完成。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、主要经验及做法、存在的问题及原因分析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有关科室及社区在项目全过程中充分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重居民意见的收集与信息公开，确保施工内容贴近居民需求。同时规范设计与招标流程，依托专业设计和公正公开的招标，保障项目质量和公正性。在施工阶段，实行定期调度机制，通过定期例会和公示告知机制，及时解决问题并减少施工对居民的影响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分施工如更换单元门、外墙维修为流水化施工作业，因施工涉及区域广，导致日常巡检中，有居民投诉施工垃圾未能及时清理的情况。接投诉后，项目部进一步完善现场监督机制，加强各施工单位内部的沟通，增加清理频率，同时协调社区、监理单位共同监督并维护施工现场的清洁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1C10C"/>
    <w:multiLevelType w:val="singleLevel"/>
    <w:tmpl w:val="E5B1C1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16CCC1"/>
    <w:multiLevelType w:val="singleLevel"/>
    <w:tmpl w:val="3A16CC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OGZkY2YzYzEwMjBiOTE5YTgxMjBiODdlZjBkOGEifQ=="/>
  </w:docVars>
  <w:rsids>
    <w:rsidRoot w:val="F77F09F4"/>
    <w:rsid w:val="000A27AF"/>
    <w:rsid w:val="00161C76"/>
    <w:rsid w:val="005678A8"/>
    <w:rsid w:val="007958E0"/>
    <w:rsid w:val="00B40A65"/>
    <w:rsid w:val="00BB3BDA"/>
    <w:rsid w:val="00D33560"/>
    <w:rsid w:val="00F84B2A"/>
    <w:rsid w:val="038C5B76"/>
    <w:rsid w:val="056621AB"/>
    <w:rsid w:val="080C0DE8"/>
    <w:rsid w:val="096B7D90"/>
    <w:rsid w:val="0AB4509C"/>
    <w:rsid w:val="0B5A630E"/>
    <w:rsid w:val="0D2072BE"/>
    <w:rsid w:val="0DCF60DD"/>
    <w:rsid w:val="0F16079E"/>
    <w:rsid w:val="15064E11"/>
    <w:rsid w:val="152E2E60"/>
    <w:rsid w:val="1585667E"/>
    <w:rsid w:val="160F7CF5"/>
    <w:rsid w:val="16E473F0"/>
    <w:rsid w:val="1826220B"/>
    <w:rsid w:val="1844637C"/>
    <w:rsid w:val="195D67D0"/>
    <w:rsid w:val="1B146AEA"/>
    <w:rsid w:val="1C710E65"/>
    <w:rsid w:val="1E5D3CF4"/>
    <w:rsid w:val="1FA92F69"/>
    <w:rsid w:val="2217240B"/>
    <w:rsid w:val="26A5092E"/>
    <w:rsid w:val="28E84B02"/>
    <w:rsid w:val="29D15596"/>
    <w:rsid w:val="2B6A39AF"/>
    <w:rsid w:val="2BAA613D"/>
    <w:rsid w:val="2C047EA4"/>
    <w:rsid w:val="2D4A5D8B"/>
    <w:rsid w:val="2DC0604D"/>
    <w:rsid w:val="2E556795"/>
    <w:rsid w:val="329E0CF6"/>
    <w:rsid w:val="32B17669"/>
    <w:rsid w:val="335B56CF"/>
    <w:rsid w:val="360905B2"/>
    <w:rsid w:val="3681331C"/>
    <w:rsid w:val="37173543"/>
    <w:rsid w:val="37C30C14"/>
    <w:rsid w:val="37D42E21"/>
    <w:rsid w:val="3AA30B8F"/>
    <w:rsid w:val="3F9B16C9"/>
    <w:rsid w:val="3FB6105E"/>
    <w:rsid w:val="3FF76880"/>
    <w:rsid w:val="40CB061C"/>
    <w:rsid w:val="42A1447A"/>
    <w:rsid w:val="431F6F1A"/>
    <w:rsid w:val="43215EA1"/>
    <w:rsid w:val="43375B7B"/>
    <w:rsid w:val="43744EF9"/>
    <w:rsid w:val="443312C4"/>
    <w:rsid w:val="451C7BB5"/>
    <w:rsid w:val="45F428E0"/>
    <w:rsid w:val="45F97EF6"/>
    <w:rsid w:val="4907292A"/>
    <w:rsid w:val="49C33FF5"/>
    <w:rsid w:val="4CAF7561"/>
    <w:rsid w:val="4CDE39A2"/>
    <w:rsid w:val="4D1B218F"/>
    <w:rsid w:val="4F000FA0"/>
    <w:rsid w:val="50290C58"/>
    <w:rsid w:val="50FD4E06"/>
    <w:rsid w:val="53F51CFD"/>
    <w:rsid w:val="5440376B"/>
    <w:rsid w:val="56073F6A"/>
    <w:rsid w:val="57E36310"/>
    <w:rsid w:val="58150BC0"/>
    <w:rsid w:val="5900361E"/>
    <w:rsid w:val="5A5D05FC"/>
    <w:rsid w:val="5B223F16"/>
    <w:rsid w:val="5C073259"/>
    <w:rsid w:val="5DF94AE0"/>
    <w:rsid w:val="5E231BA8"/>
    <w:rsid w:val="5EDA221B"/>
    <w:rsid w:val="616D5CB5"/>
    <w:rsid w:val="65606A1C"/>
    <w:rsid w:val="6BE05629"/>
    <w:rsid w:val="6CE07597"/>
    <w:rsid w:val="71147636"/>
    <w:rsid w:val="71A44693"/>
    <w:rsid w:val="71AE6998"/>
    <w:rsid w:val="73BD6240"/>
    <w:rsid w:val="773A3D47"/>
    <w:rsid w:val="77D02EB0"/>
    <w:rsid w:val="798412AA"/>
    <w:rsid w:val="79A304E1"/>
    <w:rsid w:val="7AB7FF50"/>
    <w:rsid w:val="7BFD3E6C"/>
    <w:rsid w:val="7BFEB0DB"/>
    <w:rsid w:val="7D851A94"/>
    <w:rsid w:val="7DFD5ACF"/>
    <w:rsid w:val="7E503E50"/>
    <w:rsid w:val="7FDD1714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before="0" w:after="140" w:line="276" w:lineRule="auto"/>
    </w:p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12">
    <w:name w:val="font51"/>
    <w:basedOn w:val="9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6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71"/>
    <w:basedOn w:val="9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5">
    <w:name w:val="font81"/>
    <w:basedOn w:val="9"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6">
    <w:name w:val="font171"/>
    <w:basedOn w:val="9"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17">
    <w:name w:val="font41"/>
    <w:basedOn w:val="9"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8">
    <w:name w:val="font91"/>
    <w:basedOn w:val="9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73</TotalTime>
  <ScaleCrop>false</ScaleCrop>
  <LinksUpToDate>false</LinksUpToDate>
  <CharactersWithSpaces>301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Administrator</cp:lastModifiedBy>
  <cp:lastPrinted>2024-03-18T03:29:21Z</cp:lastPrinted>
  <dcterms:modified xsi:type="dcterms:W3CDTF">2024-03-18T03:29:33Z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532081A83B7140C894AB1C03ECEB905D_13</vt:lpwstr>
  </property>
</Properties>
</file>