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312" w:beforeLines="100" w:after="312" w:afterLines="100" w:line="500" w:lineRule="exact"/>
        <w:rPr>
          <w:rFonts w:hint="eastAsia" w:ascii="方正小标宋简体" w:hAnsi="方正小标宋简体" w:eastAsia="方正小标宋简体" w:cs="方正小标宋简体"/>
          <w:color w:val="auto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Cs w:val="44"/>
        </w:rPr>
        <w:t>北京市朝阳区人民政府左家庄街道办事处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jc w:val="both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  <w:lang w:bidi="ar"/>
        </w:rPr>
        <w:t>依据</w:t>
      </w:r>
      <w:r>
        <w:rPr>
          <w:rFonts w:hint="eastAsia" w:ascii="仿宋_GB2312" w:eastAsia="仿宋_GB2312"/>
          <w:sz w:val="32"/>
        </w:rPr>
        <w:t>《朝阳区2022年政务公开工作要点》</w:t>
      </w:r>
      <w:r>
        <w:rPr>
          <w:rFonts w:hint="eastAsia" w:ascii="仿宋_GB2312" w:eastAsia="仿宋_GB2312"/>
          <w:sz w:val="32"/>
          <w:lang w:eastAsia="zh-CN"/>
        </w:rPr>
        <w:t>第四十条规定，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  <w:lang w:bidi="ar"/>
        </w:rPr>
        <w:t>编制本报告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 w:bidi="ar"/>
        </w:rPr>
        <w:t>。</w:t>
      </w:r>
    </w:p>
    <w:p>
      <w:pPr>
        <w:adjustRightInd w:val="0"/>
        <w:snapToGrid w:val="0"/>
        <w:spacing w:line="56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2022年是党的二十大召开之年，是实施“十四五”规划承上启下的重要一年，是坚持以人民为中心深化政务公开、全面提升政务公开质量和实效的攻坚之年。</w:t>
      </w:r>
      <w:r>
        <w:rPr>
          <w:rFonts w:ascii="Times New Roman" w:hAnsi="Times New Roman" w:eastAsia="仿宋_GB2312" w:cs="Times New Roman"/>
          <w:sz w:val="32"/>
          <w:szCs w:val="32"/>
        </w:rPr>
        <w:t>左家庄街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认真贯彻落实《中华人民共和国政府信息公开条例》，促进政府权力运行的公开透明，提升政府公信力。</w:t>
      </w:r>
      <w:r>
        <w:rPr>
          <w:rFonts w:ascii="Times New Roman" w:hAnsi="Times New Roman" w:eastAsia="仿宋_GB2312" w:cs="Times New Roman"/>
          <w:sz w:val="32"/>
          <w:szCs w:val="32"/>
        </w:rPr>
        <w:t>现将一年来工作情况汇报如下：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一、总体情况</w:t>
      </w:r>
    </w:p>
    <w:p>
      <w:pPr>
        <w:adjustRightInd w:val="0"/>
        <w:snapToGrid w:val="0"/>
        <w:spacing w:line="56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年全年，左家庄街道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在区委、区政府的正确领导下，</w:t>
      </w:r>
      <w:r>
        <w:rPr>
          <w:rFonts w:ascii="Times New Roman" w:hAnsi="Times New Roman" w:eastAsia="仿宋_GB2312" w:cs="Times New Roman"/>
          <w:sz w:val="32"/>
          <w:szCs w:val="32"/>
        </w:rPr>
        <w:t>政府信息公开工作运行平稳，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坚持“以公开为常态，不公开为例外”的原则，以群众满意为目标，不断拓展公开内容，创新公开形式，完善公开制度，强化公开监督，</w:t>
      </w:r>
      <w:r>
        <w:rPr>
          <w:rFonts w:ascii="Times New Roman" w:hAnsi="Times New Roman" w:eastAsia="仿宋_GB2312" w:cs="Times New Roman"/>
          <w:sz w:val="32"/>
          <w:szCs w:val="32"/>
        </w:rPr>
        <w:t>依法保障人民群众知情权、参与权、表达权和监督权。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  <w:lang w:bidi="ar"/>
        </w:rPr>
        <w:t>（一）主动公开情况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主动公开政府信息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，工作动态类信息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行政处罚类信息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条；扶贫、教育、医疗、社会保障、促进就业等方面的政策、措施和实施情况类信息26条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行政执法信息1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条；财政预决算（部门）5条；双随机抽查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 w:bidi="ar"/>
        </w:rPr>
        <w:t>（二）</w:t>
      </w:r>
      <w:r>
        <w:rPr>
          <w:rFonts w:ascii="Times New Roman" w:hAnsi="Times New Roman" w:eastAsia="楷体_GB2312" w:cs="Times New Roman"/>
          <w:b/>
          <w:bCs/>
          <w:sz w:val="32"/>
          <w:szCs w:val="32"/>
          <w:lang w:bidi="ar"/>
        </w:rPr>
        <w:t>依申请公开办理情况</w:t>
      </w:r>
    </w:p>
    <w:p>
      <w:pPr>
        <w:adjustRightInd w:val="0"/>
        <w:snapToGrid w:val="0"/>
        <w:spacing w:line="56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年度截止到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12月份</w:t>
      </w:r>
      <w:r>
        <w:rPr>
          <w:rFonts w:ascii="Times New Roman" w:hAnsi="Times New Roman" w:eastAsia="仿宋_GB2312" w:cs="Times New Roman"/>
          <w:sz w:val="32"/>
          <w:szCs w:val="32"/>
        </w:rPr>
        <w:t>共收到政府信息公开申请3件，接受信息公开方面的咨询0人次，政府信息公开的行政复议申请0件。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我街道</w:t>
      </w:r>
      <w:r>
        <w:rPr>
          <w:rFonts w:ascii="Times New Roman" w:hAnsi="Times New Roman" w:eastAsia="仿宋_GB2312" w:cs="Times New Roman"/>
          <w:sz w:val="32"/>
          <w:szCs w:val="32"/>
        </w:rPr>
        <w:t>在收到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申请人的电子邮件或邮寄信件信息公开申请后，主动</w:t>
      </w:r>
      <w:r>
        <w:rPr>
          <w:rFonts w:ascii="Times New Roman" w:hAnsi="Times New Roman" w:eastAsia="仿宋_GB2312" w:cs="Times New Roman"/>
          <w:sz w:val="32"/>
          <w:szCs w:val="32"/>
        </w:rPr>
        <w:t>及时与申请人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沟通，并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注重与上级部门、相关科室、律师的沟通，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妥善处理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申请人的相关诉求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，最大限度为申请人提供相关政府信息，切实保障申请人权利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主动公开政府信息情况</w:t>
      </w:r>
    </w:p>
    <w:p>
      <w:pPr>
        <w:rPr>
          <w:rFonts w:ascii="Times New Roman" w:hAnsi="Times New Roman" w:cs="Times New Roman"/>
        </w:rPr>
      </w:pPr>
    </w:p>
    <w:tbl>
      <w:tblPr>
        <w:tblStyle w:val="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Times New Roman" w:hAnsi="Times New Roman" w:eastAsia="宋体" w:cs="Times New Roman"/>
          <w:spacing w:val="8"/>
          <w:kern w:val="0"/>
          <w:sz w:val="24"/>
        </w:rPr>
      </w:pPr>
      <w:r>
        <w:rPr>
          <w:rFonts w:ascii="Times New Roman" w:hAnsi="Times New Roman" w:eastAsia="黑体" w:cs="Times New Roman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5"/>
        <w:widowControl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2022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年左家庄街道积极贯彻落实市、区关于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政务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公开工作要求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经过对全年工作认真梳理，发现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政务公开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工作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中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还存在一些不足之处：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一是部分信息公开进展缓慢。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年机关各部门在信息公开上积极主动，但是存在信息公开进展缓慢，信息发布的时效性还有待加强，公开事项、公开载体、公开时限等需进一步规范。下一步将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提升信息公开时效性。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持续完善信息公开制度，规范信息公开工作流程，积极宣传信息公开制度，强化《条例》和《政务公开工作要点》的学习，推进政务公开工作向制度化、规范化发展。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是信息公开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 w:bidi="ar"/>
        </w:rPr>
        <w:t>渠道有待完善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 w:bidi="ar"/>
        </w:rPr>
        <w:t>2022年在信息公开工作上，我街道虽然能够主动、全面地做到政务公开，但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涉及重点领域和民生热点关注的社会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 w:bidi="ar"/>
        </w:rPr>
        <w:t>信息公开渠道需要进一步多元化。下一步将拓宽信息公开渠道。在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政务公开的形式上，结合实际，讲究实效，因地制宜选取以群众看得到、看得清、看得懂的方式进行公开，丰富网络媒体多种渠道向社会广泛公开，便于群众监督。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三是信息公开业务能力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 w:bidi="ar"/>
        </w:rPr>
        <w:t>有待提高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我单位负责信息公开的同志因分工调整等原因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存在业务不熟练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信息公开理解不到位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等问题，需进一步加强培训和指导。下一步将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强化培训工作。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将《朝阳区2022年政务公开工作要点》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作为重要内容进行学习宣传贯彻。组织政务公开工作培训，并积极安排人员轮训交流，通过认真学习研究、实践，提升工作人员对信息公开工作的理解、运用和落实能力。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</w:pPr>
    </w:p>
    <w:p>
      <w:pPr>
        <w:widowControl/>
        <w:spacing w:line="560" w:lineRule="exact"/>
        <w:ind w:firstLine="675"/>
        <w:jc w:val="left"/>
        <w:rPr>
          <w:rFonts w:ascii="Times New Roman" w:hAnsi="Times New Roman" w:eastAsia="宋体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发出收费通知的件数和总金额以及实际收取的总金额均为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 w:bidi="ar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本报告中所列数据的统计期限自202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年1月1日起，至202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年12月31日止。本报告的电子版可在朝阳区政府信息公开专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栏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fldChar w:fldCharType="begin"/>
      </w:r>
      <w:r>
        <w:instrText xml:space="preserve"> HYPERLINK "http://xxgk.bjchy.gov.cn/" </w:instrText>
      </w:r>
      <w:r>
        <w:fldChar w:fldCharType="separate"/>
      </w: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</w:rPr>
        <w:t>http://xxgk.bjchy.gov.cn/</w:t>
      </w:r>
      <w:r>
        <w:rPr>
          <w:rStyle w:val="8"/>
          <w:rFonts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下载。如对报告有任何疑问，请联系左家庄街道办事处综合办公室，联系电话：64643210。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北京市朝阳区人民政府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左家庄街道办事处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汉仪大宋简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4B52"/>
    <w:rsid w:val="0036543E"/>
    <w:rsid w:val="008C5626"/>
    <w:rsid w:val="00A126A0"/>
    <w:rsid w:val="00CA308D"/>
    <w:rsid w:val="02C753DD"/>
    <w:rsid w:val="053F0E11"/>
    <w:rsid w:val="085722F6"/>
    <w:rsid w:val="0F012518"/>
    <w:rsid w:val="156B70A4"/>
    <w:rsid w:val="157E1BB0"/>
    <w:rsid w:val="1F3A515C"/>
    <w:rsid w:val="232114FE"/>
    <w:rsid w:val="23325D27"/>
    <w:rsid w:val="24BB6CEB"/>
    <w:rsid w:val="2A355ECA"/>
    <w:rsid w:val="2C776DD7"/>
    <w:rsid w:val="2EE2240E"/>
    <w:rsid w:val="2FAB1FFF"/>
    <w:rsid w:val="35B41E89"/>
    <w:rsid w:val="36602B51"/>
    <w:rsid w:val="37D66EDB"/>
    <w:rsid w:val="3BF635E0"/>
    <w:rsid w:val="3C8E7B11"/>
    <w:rsid w:val="3E275D54"/>
    <w:rsid w:val="410A133F"/>
    <w:rsid w:val="428554D7"/>
    <w:rsid w:val="43F46C62"/>
    <w:rsid w:val="45ED0C64"/>
    <w:rsid w:val="46122C2A"/>
    <w:rsid w:val="466F2A41"/>
    <w:rsid w:val="482509F0"/>
    <w:rsid w:val="49544C2E"/>
    <w:rsid w:val="49AC7C29"/>
    <w:rsid w:val="4C6A50E0"/>
    <w:rsid w:val="4CFF4A5A"/>
    <w:rsid w:val="4D7F082B"/>
    <w:rsid w:val="4F5962A2"/>
    <w:rsid w:val="52C2192F"/>
    <w:rsid w:val="57B77605"/>
    <w:rsid w:val="594F0DC7"/>
    <w:rsid w:val="59AE552A"/>
    <w:rsid w:val="5E203CC1"/>
    <w:rsid w:val="60C552F8"/>
    <w:rsid w:val="622542C4"/>
    <w:rsid w:val="63C3584B"/>
    <w:rsid w:val="64397549"/>
    <w:rsid w:val="6802092F"/>
    <w:rsid w:val="68C7271F"/>
    <w:rsid w:val="6A582B83"/>
    <w:rsid w:val="6D057F67"/>
    <w:rsid w:val="6EE54B52"/>
    <w:rsid w:val="6F4E33D2"/>
    <w:rsid w:val="713C2FD5"/>
    <w:rsid w:val="720D605A"/>
    <w:rsid w:val="725C7B21"/>
    <w:rsid w:val="77EE0BF3"/>
    <w:rsid w:val="7826677D"/>
    <w:rsid w:val="78DA0385"/>
    <w:rsid w:val="79427298"/>
    <w:rsid w:val="7A0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jc w:val="center"/>
    </w:pPr>
    <w:rPr>
      <w:rFonts w:ascii="方正小标宋简体" w:hAnsi="汉仪大宋简" w:eastAsia="方正小标宋简体"/>
      <w:color w:val="000000"/>
      <w:kern w:val="0"/>
      <w:sz w:val="44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2214</Words>
  <Characters>2313</Characters>
  <Lines>19</Lines>
  <Paragraphs>5</Paragraphs>
  <TotalTime>0</TotalTime>
  <ScaleCrop>false</ScaleCrop>
  <LinksUpToDate>false</LinksUpToDate>
  <CharactersWithSpaces>2396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2021-12-23T01:27:00Z</dcterms:created>
  <dc:creator>Lenovo</dc:creator>
  <cp:lastModifiedBy>华一</cp:lastModifiedBy>
  <cp:lastPrinted>2023-01-05T02:36:00Z</cp:lastPrinted>
  <dcterms:modified xsi:type="dcterms:W3CDTF">2023-02-22T03:55:22Z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A37874128E164998ADA2A1CB7B174D14</vt:lpwstr>
  </property>
</Properties>
</file>