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hint="eastAsia" w:ascii="黑体" w:hAnsi="黑体" w:eastAsia="黑体" w:cs="黑体"/>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一：</w:t>
      </w:r>
      <w:bookmarkStart w:id="0" w:name="_GoBack"/>
      <w:bookmarkEnd w:id="0"/>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农业农村综合服务中心为区政府直属的相当正处级事业单位，归口区农业农村局领导，公益一类，经费形式财政补助（全额拨款）。根据朝编〔2019〕46号、京朝办字〔2020〕8号、朝编〔2020〕26号、朝编〔2021〕15号文件精神，内设办公室、组织人事科、财务资产科、科教信息科、生态农业科、动物防疫科、农产品质量安全科、植物保护科、农村人才培训科、农业服务科、信访科共11个科室。2个事业单位分别是朝阳区农业农村综合服务中心本级、朝阳区动植物疫病预防控制中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农业农村综合服务中心主要职能是：贯彻落实党中央关于“三农”工作的方针政策、决策部署和市委、区委相关工作要求。贯彻执行国家和北京市有关生态农业、种植业、畜牧业、水产业、农业机械化方面的法律、法规、规章和政策。负责重大动物疫病、水生动物疫病和农业有害生物监测、检测、诊断、流行病学调查、疫情报告、疫情扑灭以及其他预防、控制等技术工作；开展重大动物疫病强制免疫、动物疫病检疫净化、应急防疫物资储备等工作；为行政部门开展检疫、动物疫病风险评估、应急管理、兽医社会化服务等提供技术支持。负责为本区耕地和永久基本农田资源利用提供品种引进、技术服务；参与本区农业产业的规划研究，重点项目立项、业务指导和服务。参与制定本区农产品质量安全体系建设规划，研究拟定相关生产技术要求，并组织实施；协助开展农业标准化生产管理、产地认定、“三品一标”认证、风险监测、检测等。负责本区农业、农机、水产技术员及动物防疫人员的技术培训和有关科普知识宣传；负责农村人才服务和就业指导工作。负责农业新产品、新技术的引进示范、推广；负责农业信息化建设和涉农综合信息服务；负责农业综合信息平台的建设、维护。负责休闲农业旅游产品开发推广。承担农村地区的信访接待、矛盾调处和维护社会稳定等事务性、辅助性工作。完成区委、区政府交办的其他任务。</w:t>
      </w:r>
    </w:p>
    <w:p>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三定方案的职能要求，全面完成工作任务和区政府交办的其他工作任务，主要完成朝阳区农产品质量安全监管追溯体系建设、都市型现代农业新品种新技术新肥料示范推广、阳台菜园“六进工程”示范与推广、农村实用人才培训、管区房屋安全鉴定及消防安全评估经费、房屋修缮加固及消防改造、农科示范园项目、景观水域水生生物资源养护项目、动物疫病防疫检疫培训、宣传工作、植物病虫草鼠测报与防治、农膜和农药包装回收处置、农产品质量安全及动植物疫病检测项目、狂犬病免疫工作经费、狂犬病免疫标识、农产品质量安全-市级异地监督抽查等工作。</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年全</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预算数</w:t>
      </w:r>
      <w:r>
        <w:rPr>
          <w:rFonts w:hint="eastAsia" w:ascii="仿宋_GB2312" w:hAnsi="仿宋" w:eastAsia="仿宋_GB2312"/>
          <w:strike w:val="0"/>
          <w:dstrike w:val="0"/>
          <w:sz w:val="32"/>
          <w:szCs w:val="32"/>
          <w:highlight w:val="none"/>
          <w:u w:val="none"/>
          <w:lang w:val="en-US" w:eastAsia="zh-CN"/>
        </w:rPr>
        <w:t>6054.315769</w:t>
      </w:r>
      <w:r>
        <w:rPr>
          <w:rFonts w:hint="eastAsia" w:ascii="仿宋_GB2312" w:hAnsi="仿宋" w:eastAsia="仿宋_GB2312"/>
          <w:strike w:val="0"/>
          <w:dstrike w:val="0"/>
          <w:sz w:val="32"/>
          <w:szCs w:val="32"/>
          <w:highlight w:val="none"/>
          <w:u w:val="none"/>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仿宋" w:eastAsia="仿宋_GB2312"/>
          <w:strike w:val="0"/>
          <w:dstrike w:val="0"/>
          <w:sz w:val="32"/>
          <w:szCs w:val="32"/>
          <w:highlight w:val="none"/>
          <w:u w:val="none"/>
          <w:lang w:val="en-US" w:eastAsia="zh-CN"/>
        </w:rPr>
        <w:t>4849.488620</w:t>
      </w:r>
      <w:r>
        <w:rPr>
          <w:rFonts w:hint="eastAsia" w:ascii="仿宋_GB2312" w:hAnsi="仿宋" w:eastAsia="仿宋_GB2312"/>
          <w:strike w:val="0"/>
          <w:dstrike w:val="0"/>
          <w:sz w:val="32"/>
          <w:szCs w:val="32"/>
          <w:highlight w:val="none"/>
          <w:u w:val="none"/>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项目支出预算数</w:t>
      </w:r>
      <w:r>
        <w:rPr>
          <w:rFonts w:hint="eastAsia" w:ascii="仿宋_GB2312" w:hAnsi="仿宋" w:eastAsia="仿宋_GB2312"/>
          <w:sz w:val="32"/>
          <w:szCs w:val="32"/>
          <w:highlight w:val="none"/>
          <w:u w:val="none"/>
          <w:lang w:val="en-US" w:eastAsia="zh-CN"/>
        </w:rPr>
        <w:t>1204.827149</w:t>
      </w:r>
      <w:r>
        <w:rPr>
          <w:rFonts w:hint="eastAsia" w:ascii="仿宋_GB2312" w:hAnsi="仿宋" w:eastAsia="仿宋_GB2312"/>
          <w:sz w:val="32"/>
          <w:szCs w:val="32"/>
          <w:highlight w:val="none"/>
          <w:u w:val="none"/>
        </w:rPr>
        <w:t>万元</w:t>
      </w:r>
      <w:r>
        <w:rPr>
          <w:rFonts w:ascii="仿宋_GB2312" w:hAnsi="宋体" w:eastAsia="仿宋_GB2312" w:cs="宋体"/>
          <w:color w:val="000000"/>
          <w:kern w:val="0"/>
          <w:sz w:val="32"/>
          <w:szCs w:val="32"/>
        </w:rPr>
        <w:t>，其他支出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仿宋" w:eastAsia="仿宋_GB2312"/>
          <w:strike w:val="0"/>
          <w:dstrike w:val="0"/>
          <w:sz w:val="32"/>
          <w:szCs w:val="32"/>
          <w:highlight w:val="none"/>
          <w:u w:val="none"/>
          <w:lang w:val="en-US" w:eastAsia="zh-CN"/>
        </w:rPr>
        <w:t>6054.315769</w:t>
      </w:r>
      <w:r>
        <w:rPr>
          <w:rFonts w:hint="eastAsia" w:ascii="仿宋_GB2312" w:hAnsi="仿宋" w:eastAsia="仿宋_GB2312"/>
          <w:strike w:val="0"/>
          <w:dstrike w:val="0"/>
          <w:sz w:val="32"/>
          <w:szCs w:val="32"/>
          <w:highlight w:val="none"/>
          <w:u w:val="none"/>
        </w:rPr>
        <w:t>万元</w:t>
      </w:r>
      <w:r>
        <w:rPr>
          <w:rFonts w:ascii="仿宋_GB2312" w:hAnsi="宋体" w:eastAsia="仿宋_GB2312" w:cs="宋体"/>
          <w:color w:val="000000"/>
          <w:kern w:val="0"/>
          <w:sz w:val="32"/>
          <w:szCs w:val="32"/>
        </w:rPr>
        <w:t>，其中，基本支出</w:t>
      </w:r>
      <w:r>
        <w:rPr>
          <w:rFonts w:hint="eastAsia" w:ascii="仿宋_GB2312" w:hAnsi="仿宋" w:eastAsia="仿宋_GB2312"/>
          <w:strike w:val="0"/>
          <w:dstrike w:val="0"/>
          <w:sz w:val="32"/>
          <w:szCs w:val="32"/>
          <w:highlight w:val="none"/>
          <w:u w:val="none"/>
          <w:lang w:val="en-US" w:eastAsia="zh-CN"/>
        </w:rPr>
        <w:t>4849.488620</w:t>
      </w:r>
      <w:r>
        <w:rPr>
          <w:rFonts w:hint="eastAsia" w:ascii="仿宋_GB2312" w:hAnsi="仿宋" w:eastAsia="仿宋_GB2312"/>
          <w:strike w:val="0"/>
          <w:dstrike w:val="0"/>
          <w:sz w:val="32"/>
          <w:szCs w:val="32"/>
          <w:highlight w:val="none"/>
          <w:u w:val="none"/>
        </w:rPr>
        <w:t>万元</w:t>
      </w:r>
      <w:r>
        <w:rPr>
          <w:rFonts w:ascii="仿宋_GB2312" w:hAnsi="宋体" w:eastAsia="仿宋_GB2312" w:cs="宋体"/>
          <w:color w:val="000000"/>
          <w:kern w:val="0"/>
          <w:sz w:val="32"/>
          <w:szCs w:val="32"/>
        </w:rPr>
        <w:t>，项目</w:t>
      </w:r>
      <w:r>
        <w:rPr>
          <w:rFonts w:hint="eastAsia" w:ascii="仿宋_GB2312" w:hAnsi="宋体" w:eastAsia="仿宋_GB2312" w:cs="宋体"/>
          <w:color w:val="000000"/>
          <w:kern w:val="0"/>
          <w:sz w:val="32"/>
          <w:szCs w:val="32"/>
        </w:rPr>
        <w:t>支出</w:t>
      </w:r>
      <w:r>
        <w:rPr>
          <w:rFonts w:hint="eastAsia" w:ascii="仿宋_GB2312" w:hAnsi="仿宋" w:eastAsia="仿宋_GB2312"/>
          <w:sz w:val="32"/>
          <w:szCs w:val="32"/>
          <w:highlight w:val="none"/>
          <w:u w:val="none"/>
          <w:lang w:val="en-US" w:eastAsia="zh-CN"/>
        </w:rPr>
        <w:t>1204.827149</w:t>
      </w:r>
      <w:r>
        <w:rPr>
          <w:rFonts w:hint="eastAsia" w:ascii="仿宋_GB2312" w:hAnsi="仿宋" w:eastAsia="仿宋_GB2312"/>
          <w:sz w:val="32"/>
          <w:szCs w:val="32"/>
          <w:highlight w:val="none"/>
          <w:u w:val="none"/>
        </w:rPr>
        <w:t>万元</w:t>
      </w:r>
      <w:r>
        <w:rPr>
          <w:rFonts w:ascii="仿宋_GB2312" w:hAnsi="宋体" w:eastAsia="仿宋_GB2312" w:cs="宋体"/>
          <w:color w:val="000000"/>
          <w:kern w:val="0"/>
          <w:sz w:val="32"/>
          <w:szCs w:val="32"/>
        </w:rPr>
        <w:t>，其他支出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截止202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年底，完成事业编制在职人员11</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人,退休23</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人的日常基本支出。高产高效技术推广及新品种、新技术应用，打造农耕文化传承和示范园地，充分发挥农业的生态服务价值，促进农业进入家庭和社区，以及开展惠农政策宣传、农情调查等，推进城市农业发展项目开展</w:t>
      </w:r>
      <w:r>
        <w:rPr>
          <w:rFonts w:hint="eastAsia" w:ascii="仿宋_GB2312" w:hAnsi="宋体" w:eastAsia="仿宋_GB2312" w:cs="宋体"/>
          <w:color w:val="000000"/>
          <w:kern w:val="0"/>
          <w:sz w:val="32"/>
          <w:szCs w:val="32"/>
          <w:highlight w:val="none"/>
        </w:rPr>
        <w:t>9</w:t>
      </w:r>
      <w:r>
        <w:rPr>
          <w:rFonts w:hint="eastAsia" w:ascii="仿宋_GB2312" w:hAnsi="宋体" w:eastAsia="仿宋_GB2312" w:cs="宋体"/>
          <w:color w:val="000000"/>
          <w:kern w:val="0"/>
          <w:sz w:val="32"/>
          <w:szCs w:val="32"/>
        </w:rPr>
        <w:t>个。做好农作物病虫害监测，提升动物疫病防控能力，有效防止动物疫病的发生项目</w:t>
      </w:r>
      <w:r>
        <w:rPr>
          <w:rFonts w:hint="eastAsia" w:ascii="仿宋_GB2312" w:hAnsi="宋体" w:eastAsia="仿宋_GB2312" w:cs="宋体"/>
          <w:color w:val="000000"/>
          <w:kern w:val="0"/>
          <w:sz w:val="32"/>
          <w:szCs w:val="32"/>
          <w:highlight w:val="none"/>
          <w:lang w:val="en-US" w:eastAsia="zh-CN"/>
        </w:rPr>
        <w:t>19</w:t>
      </w:r>
      <w:r>
        <w:rPr>
          <w:rFonts w:hint="eastAsia" w:ascii="仿宋_GB2312" w:hAnsi="宋体" w:eastAsia="仿宋_GB2312" w:cs="宋体"/>
          <w:color w:val="000000"/>
          <w:kern w:val="0"/>
          <w:sz w:val="32"/>
          <w:szCs w:val="32"/>
        </w:rPr>
        <w:t>个。促进实现农产品绿色生产、全程监管、优质安全的项目</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个。完善农村实用人才工作机制，搭建人才工作平台。提高现有人才队伍能力素质，激励发挥人才作用，开展8个培训班，培训人数</w:t>
      </w:r>
      <w:r>
        <w:rPr>
          <w:rFonts w:hint="eastAsia" w:ascii="仿宋_GB2312" w:hAnsi="宋体" w:eastAsia="仿宋_GB2312" w:cs="宋体"/>
          <w:color w:val="000000"/>
          <w:kern w:val="0"/>
          <w:sz w:val="32"/>
          <w:szCs w:val="32"/>
          <w:lang w:val="en-US" w:eastAsia="zh-CN"/>
        </w:rPr>
        <w:t>450</w:t>
      </w:r>
      <w:r>
        <w:rPr>
          <w:rFonts w:hint="eastAsia" w:ascii="仿宋_GB2312" w:hAnsi="宋体" w:eastAsia="仿宋_GB2312" w:cs="宋体"/>
          <w:color w:val="000000"/>
          <w:kern w:val="0"/>
          <w:sz w:val="32"/>
          <w:szCs w:val="32"/>
        </w:rPr>
        <w:t>人。</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为单位各项工作开展提供必要的资金保障；高产高效技术推广及新品种、新技术应用；检测</w:t>
      </w:r>
      <w:r>
        <w:rPr>
          <w:rFonts w:hint="eastAsia" w:ascii="仿宋_GB2312" w:hAnsi="宋体" w:eastAsia="仿宋_GB2312" w:cs="宋体"/>
          <w:color w:val="000000"/>
          <w:kern w:val="0"/>
          <w:sz w:val="32"/>
          <w:szCs w:val="32"/>
          <w:lang w:eastAsia="zh-CN"/>
        </w:rPr>
        <w:t>结果合格率</w:t>
      </w:r>
      <w:r>
        <w:rPr>
          <w:rFonts w:hint="eastAsia"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%；农产品质量监测信息数据、指标项准确</w:t>
      </w:r>
      <w:r>
        <w:rPr>
          <w:rFonts w:hint="eastAsia" w:ascii="仿宋_GB2312" w:hAnsi="宋体" w:eastAsia="仿宋_GB2312" w:cs="宋体"/>
          <w:color w:val="000000"/>
          <w:kern w:val="0"/>
          <w:sz w:val="32"/>
          <w:szCs w:val="32"/>
          <w:lang w:val="en-US" w:eastAsia="zh-CN"/>
        </w:rPr>
        <w:t>,农产品综合合格率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98%</w:t>
      </w:r>
      <w:r>
        <w:rPr>
          <w:rFonts w:hint="eastAsia" w:ascii="仿宋_GB2312" w:hAnsi="宋体" w:eastAsia="仿宋_GB2312" w:cs="宋体"/>
          <w:color w:val="000000"/>
          <w:kern w:val="0"/>
          <w:sz w:val="32"/>
          <w:szCs w:val="32"/>
        </w:rPr>
        <w:t>；服务对象满意度≥</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0%。</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3.产出进度</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对8个重点农业生产基地的农作物病虫草鼠害监测时间达</w:t>
      </w:r>
      <w:r>
        <w:rPr>
          <w:rFonts w:hint="eastAsia" w:ascii="仿宋_GB2312" w:hAnsi="宋体" w:eastAsia="仿宋_GB2312" w:cs="宋体"/>
          <w:color w:val="000000"/>
          <w:kern w:val="0"/>
          <w:sz w:val="32"/>
          <w:szCs w:val="32"/>
          <w:highlight w:val="none"/>
          <w:lang w:val="en-US" w:eastAsia="zh-CN"/>
        </w:rPr>
        <w:t>12</w:t>
      </w:r>
      <w:r>
        <w:rPr>
          <w:rFonts w:hint="eastAsia" w:ascii="仿宋_GB2312" w:hAnsi="宋体" w:eastAsia="仿宋_GB2312" w:cs="宋体"/>
          <w:color w:val="000000"/>
          <w:kern w:val="0"/>
          <w:sz w:val="32"/>
          <w:szCs w:val="32"/>
          <w:highlight w:val="none"/>
        </w:rPr>
        <w:t>个月，准确率90%以上；重大外来有害生物阻截带设置监测点4个，开展2种有害生物的诱捕监测以及周围2公里范围内16种有害生物实地踏查，4月中下旬-10月底，诱捕2种外来有害生物，4月下旬-11月上旬，监测点周围2公里普查16种有害生物。全年监测结果显示，除一种虫害少量诱捕到，未发现其它有害生物。2024年有害生物对我区农业生产和农业生态未造成影响。</w:t>
      </w:r>
      <w:r>
        <w:rPr>
          <w:rFonts w:hint="eastAsia" w:ascii="仿宋_GB2312" w:hAnsi="宋体" w:eastAsia="仿宋_GB2312" w:cs="宋体"/>
          <w:color w:val="000000"/>
          <w:kern w:val="0"/>
          <w:sz w:val="32"/>
          <w:szCs w:val="32"/>
        </w:rPr>
        <w:t>采集朝阳区农产品质量安全管理信息内模块信息数据、邀请行业专家现场指导、朝阳区农产品质量安全管理信息系统平台运转维护与网络安全保障、检测试剂配套。</w:t>
      </w:r>
      <w:r>
        <w:rPr>
          <w:rFonts w:hint="eastAsia" w:ascii="仿宋_GB2312" w:hAnsi="宋体" w:eastAsia="仿宋_GB2312" w:cs="宋体"/>
          <w:color w:val="000000"/>
          <w:kern w:val="0"/>
          <w:sz w:val="32"/>
          <w:szCs w:val="32"/>
          <w:highlight w:val="none"/>
        </w:rPr>
        <w:t>微信公众号，平均2条/周</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rPr>
        <w:t>春季开展河流、湿地公园增殖放流活动，共放流鱼苗约300</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公斤以上，引进名贵金鱼品种超过0.05万尾，动物防疫宣传活动</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次，信息普及人数超</w:t>
      </w:r>
      <w:r>
        <w:rPr>
          <w:rFonts w:hint="eastAsia" w:ascii="仿宋_GB2312" w:hAnsi="宋体" w:eastAsia="仿宋_GB2312" w:cs="宋体"/>
          <w:color w:val="000000"/>
          <w:kern w:val="0"/>
          <w:sz w:val="32"/>
          <w:szCs w:val="32"/>
          <w:highlight w:val="none"/>
          <w:lang w:val="en-US" w:eastAsia="zh-CN"/>
        </w:rPr>
        <w:t>20000</w:t>
      </w:r>
      <w:r>
        <w:rPr>
          <w:rFonts w:hint="eastAsia" w:ascii="仿宋_GB2312" w:hAnsi="宋体" w:eastAsia="仿宋_GB2312" w:cs="宋体"/>
          <w:color w:val="000000"/>
          <w:kern w:val="0"/>
          <w:sz w:val="32"/>
          <w:szCs w:val="32"/>
          <w:highlight w:val="none"/>
        </w:rPr>
        <w:t>人次</w:t>
      </w:r>
      <w:r>
        <w:rPr>
          <w:rFonts w:hint="eastAsia" w:ascii="仿宋_GB2312" w:hAnsi="宋体" w:eastAsia="仿宋_GB2312" w:cs="宋体"/>
          <w:color w:val="000000"/>
          <w:kern w:val="0"/>
          <w:sz w:val="32"/>
          <w:szCs w:val="32"/>
        </w:rPr>
        <w:t>。其余按照项目预算书支出进度完成。</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项目支出总金额：</w:t>
      </w:r>
      <w:r>
        <w:rPr>
          <w:rFonts w:hint="eastAsia" w:ascii="仿宋_GB2312" w:hAnsi="仿宋" w:eastAsia="仿宋_GB2312"/>
          <w:sz w:val="32"/>
          <w:szCs w:val="32"/>
          <w:highlight w:val="none"/>
          <w:u w:val="none"/>
          <w:lang w:val="en-US" w:eastAsia="zh-CN"/>
        </w:rPr>
        <w:t>1204.827149</w:t>
      </w:r>
      <w:r>
        <w:rPr>
          <w:rFonts w:hint="eastAsia" w:ascii="仿宋_GB2312" w:hAnsi="宋体" w:eastAsia="仿宋_GB2312" w:cs="宋体"/>
          <w:color w:val="000000"/>
          <w:kern w:val="0"/>
          <w:sz w:val="32"/>
          <w:szCs w:val="32"/>
        </w:rPr>
        <w:t>万元。后勤保障服务工作</w:t>
      </w:r>
      <w:r>
        <w:rPr>
          <w:rFonts w:hint="eastAsia" w:ascii="仿宋_GB2312" w:hAnsi="宋体" w:eastAsia="仿宋_GB2312" w:cs="宋体"/>
          <w:color w:val="000000"/>
          <w:kern w:val="0"/>
          <w:sz w:val="32"/>
          <w:szCs w:val="32"/>
          <w:lang w:val="en-US" w:eastAsia="zh-CN"/>
        </w:rPr>
        <w:t>450.700444</w:t>
      </w:r>
      <w:r>
        <w:rPr>
          <w:rFonts w:hint="eastAsia" w:ascii="仿宋_GB2312" w:hAnsi="宋体" w:eastAsia="仿宋_GB2312" w:cs="宋体"/>
          <w:color w:val="000000"/>
          <w:kern w:val="0"/>
          <w:sz w:val="32"/>
          <w:szCs w:val="32"/>
        </w:rPr>
        <w:t>万元；党建、人事、宣传工作</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万元；生态农业</w:t>
      </w:r>
      <w:r>
        <w:rPr>
          <w:rFonts w:hint="eastAsia" w:ascii="仿宋_GB2312" w:hAnsi="宋体" w:eastAsia="仿宋_GB2312" w:cs="宋体"/>
          <w:color w:val="000000"/>
          <w:kern w:val="0"/>
          <w:sz w:val="32"/>
          <w:szCs w:val="32"/>
          <w:lang w:val="en-US" w:eastAsia="zh-CN"/>
        </w:rPr>
        <w:t>193.24958</w:t>
      </w:r>
      <w:r>
        <w:rPr>
          <w:rFonts w:hint="eastAsia" w:ascii="仿宋_GB2312" w:hAnsi="宋体" w:eastAsia="仿宋_GB2312" w:cs="宋体"/>
          <w:color w:val="000000"/>
          <w:kern w:val="0"/>
          <w:sz w:val="32"/>
          <w:szCs w:val="32"/>
        </w:rPr>
        <w:t>万元；动植物疫病防控</w:t>
      </w:r>
      <w:r>
        <w:rPr>
          <w:rFonts w:hint="eastAsia" w:ascii="仿宋_GB2312" w:hAnsi="宋体" w:eastAsia="仿宋_GB2312" w:cs="宋体"/>
          <w:color w:val="000000"/>
          <w:kern w:val="0"/>
          <w:sz w:val="32"/>
          <w:szCs w:val="32"/>
          <w:lang w:val="en-US" w:eastAsia="zh-CN"/>
        </w:rPr>
        <w:t>184.893571</w:t>
      </w:r>
      <w:r>
        <w:rPr>
          <w:rFonts w:hint="eastAsia" w:ascii="仿宋_GB2312" w:hAnsi="宋体" w:eastAsia="仿宋_GB2312" w:cs="宋体"/>
          <w:color w:val="000000"/>
          <w:kern w:val="0"/>
          <w:sz w:val="32"/>
          <w:szCs w:val="32"/>
        </w:rPr>
        <w:t>万元；农产品质量安全</w:t>
      </w:r>
      <w:r>
        <w:rPr>
          <w:rFonts w:hint="eastAsia" w:ascii="仿宋_GB2312" w:hAnsi="宋体" w:eastAsia="仿宋_GB2312" w:cs="宋体"/>
          <w:color w:val="000000"/>
          <w:kern w:val="0"/>
          <w:sz w:val="32"/>
          <w:szCs w:val="32"/>
          <w:lang w:val="en-US" w:eastAsia="zh-CN"/>
        </w:rPr>
        <w:t>219.592</w:t>
      </w:r>
      <w:r>
        <w:rPr>
          <w:rFonts w:hint="eastAsia" w:ascii="仿宋_GB2312" w:hAnsi="宋体" w:eastAsia="仿宋_GB2312" w:cs="宋体"/>
          <w:color w:val="000000"/>
          <w:kern w:val="0"/>
          <w:sz w:val="32"/>
          <w:szCs w:val="32"/>
        </w:rPr>
        <w:t>万元；农村实用人才服务管理</w:t>
      </w:r>
      <w:r>
        <w:rPr>
          <w:rFonts w:hint="eastAsia" w:ascii="仿宋_GB2312" w:hAnsi="宋体" w:eastAsia="仿宋_GB2312" w:cs="宋体"/>
          <w:color w:val="000000"/>
          <w:kern w:val="0"/>
          <w:sz w:val="32"/>
          <w:szCs w:val="32"/>
          <w:lang w:val="en-US" w:eastAsia="zh-CN"/>
        </w:rPr>
        <w:t>5.448605</w:t>
      </w:r>
      <w:r>
        <w:rPr>
          <w:rFonts w:hint="eastAsia" w:ascii="仿宋_GB2312" w:hAnsi="宋体" w:eastAsia="仿宋_GB2312" w:cs="宋体"/>
          <w:color w:val="000000"/>
          <w:kern w:val="0"/>
          <w:sz w:val="32"/>
          <w:szCs w:val="32"/>
        </w:rPr>
        <w:t>万元；其它</w:t>
      </w:r>
      <w:r>
        <w:rPr>
          <w:rFonts w:hint="eastAsia" w:ascii="仿宋_GB2312" w:hAnsi="宋体" w:eastAsia="仿宋_GB2312" w:cs="宋体"/>
          <w:color w:val="000000"/>
          <w:kern w:val="0"/>
          <w:sz w:val="32"/>
          <w:szCs w:val="32"/>
          <w:lang w:val="en-US" w:eastAsia="zh-CN"/>
        </w:rPr>
        <w:t>130.942949</w:t>
      </w:r>
      <w:r>
        <w:rPr>
          <w:rFonts w:hint="eastAsia" w:ascii="仿宋_GB2312" w:hAnsi="宋体" w:eastAsia="仿宋_GB2312" w:cs="宋体"/>
          <w:color w:val="000000"/>
          <w:kern w:val="0"/>
          <w:sz w:val="32"/>
          <w:szCs w:val="32"/>
        </w:rPr>
        <w:t>万元。</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无。</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夯实主责主业，更有效发挥农业综合服务中心及基层单位的作用，助</w:t>
      </w:r>
      <w:r>
        <w:rPr>
          <w:rFonts w:hint="eastAsia" w:ascii="仿宋_GB2312" w:hAnsi="宋体" w:eastAsia="仿宋_GB2312" w:cs="宋体"/>
          <w:color w:val="000000"/>
          <w:kern w:val="0"/>
          <w:sz w:val="32"/>
          <w:szCs w:val="32"/>
          <w:lang w:eastAsia="zh-CN"/>
        </w:rPr>
        <w:t>力“五宜”朝阳，</w:t>
      </w:r>
      <w:r>
        <w:rPr>
          <w:rFonts w:hint="eastAsia" w:ascii="仿宋_GB2312" w:hAnsi="宋体" w:eastAsia="仿宋_GB2312" w:cs="宋体"/>
          <w:color w:val="000000"/>
          <w:kern w:val="0"/>
          <w:sz w:val="32"/>
          <w:szCs w:val="32"/>
        </w:rPr>
        <w:t>推</w:t>
      </w:r>
      <w:r>
        <w:rPr>
          <w:rFonts w:hint="eastAsia" w:ascii="仿宋_GB2312" w:hAnsi="宋体" w:eastAsia="仿宋_GB2312" w:cs="宋体"/>
          <w:color w:val="000000"/>
          <w:kern w:val="0"/>
          <w:sz w:val="32"/>
          <w:szCs w:val="32"/>
          <w:lang w:eastAsia="zh-CN"/>
        </w:rPr>
        <w:t>动</w:t>
      </w:r>
      <w:r>
        <w:rPr>
          <w:rFonts w:hint="eastAsia" w:ascii="仿宋_GB2312" w:hAnsi="宋体" w:eastAsia="仿宋_GB2312" w:cs="宋体"/>
          <w:color w:val="000000"/>
          <w:kern w:val="0"/>
          <w:sz w:val="32"/>
          <w:szCs w:val="32"/>
        </w:rPr>
        <w:t>乡村振兴建设</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发挥基层党组织战斗堡垒作用和党员模范作用；提高当地蔬菜质量安全水平，减少家庭蔬菜病虫害</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持续推进阳台菜园“六进工程”</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促进农业进入家庭和社区，</w:t>
      </w:r>
      <w:r>
        <w:rPr>
          <w:rFonts w:hint="eastAsia" w:ascii="仿宋_GB2312" w:hAnsi="宋体" w:eastAsia="仿宋_GB2312" w:cs="宋体"/>
          <w:color w:val="000000"/>
          <w:kern w:val="0"/>
          <w:sz w:val="32"/>
          <w:szCs w:val="32"/>
          <w:lang w:eastAsia="zh-CN"/>
        </w:rPr>
        <w:t>依托生态农业示范园、数字农业场景等基地，科普农业知识，传承农耕文化；抓好粮食和重要农产品稳产保供，打造赏食兼顾、自然协调的特色都市农业景观</w:t>
      </w:r>
      <w:r>
        <w:rPr>
          <w:rFonts w:hint="eastAsia" w:ascii="仿宋_GB2312" w:hAnsi="宋体" w:eastAsia="仿宋_GB2312" w:cs="宋体"/>
          <w:color w:val="000000"/>
          <w:kern w:val="0"/>
          <w:sz w:val="32"/>
          <w:szCs w:val="32"/>
        </w:rPr>
        <w:t>；提高全区动物卫生和动物产品安全监管水平；提升当地生产源头农产品质量安全控制能力和水平</w:t>
      </w:r>
      <w:r>
        <w:rPr>
          <w:rFonts w:hint="eastAsia" w:ascii="仿宋_GB2312" w:hAnsi="宋体" w:eastAsia="仿宋_GB2312" w:cs="宋体"/>
          <w:color w:val="000000"/>
          <w:kern w:val="0"/>
          <w:sz w:val="32"/>
          <w:szCs w:val="32"/>
          <w:lang w:eastAsia="zh-CN"/>
        </w:rPr>
        <w:t>，防控农产品安全风险</w:t>
      </w:r>
      <w:r>
        <w:rPr>
          <w:rFonts w:hint="eastAsia" w:ascii="仿宋_GB2312" w:hAnsi="宋体" w:eastAsia="仿宋_GB2312" w:cs="宋体"/>
          <w:color w:val="000000"/>
          <w:kern w:val="0"/>
          <w:sz w:val="32"/>
          <w:szCs w:val="32"/>
        </w:rPr>
        <w:t>；为朝阳地区培养一批农村实用人才。</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开展</w:t>
      </w:r>
      <w:r>
        <w:rPr>
          <w:rFonts w:hint="eastAsia" w:ascii="仿宋_GB2312" w:hAnsi="宋体" w:eastAsia="仿宋_GB2312" w:cs="宋体"/>
          <w:color w:val="000000"/>
          <w:kern w:val="0"/>
          <w:sz w:val="32"/>
          <w:szCs w:val="32"/>
        </w:rPr>
        <w:t>增</w:t>
      </w:r>
      <w:r>
        <w:rPr>
          <w:rFonts w:hint="eastAsia" w:ascii="仿宋_GB2312" w:hAnsi="宋体" w:eastAsia="仿宋_GB2312" w:cs="宋体"/>
          <w:color w:val="000000"/>
          <w:kern w:val="0"/>
          <w:sz w:val="32"/>
          <w:szCs w:val="32"/>
          <w:lang w:eastAsia="zh-CN"/>
        </w:rPr>
        <w:t>殖</w:t>
      </w:r>
      <w:r>
        <w:rPr>
          <w:rFonts w:hint="eastAsia" w:ascii="仿宋_GB2312" w:hAnsi="宋体" w:eastAsia="仿宋_GB2312" w:cs="宋体"/>
          <w:color w:val="000000"/>
          <w:kern w:val="0"/>
          <w:sz w:val="32"/>
          <w:szCs w:val="32"/>
        </w:rPr>
        <w:t>放流</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改善水质环境；植物保护推动生态环境、绿色农业的可持续发展；农药包装物回收及控制农业面源污染，保护生产环境。</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开展</w:t>
      </w:r>
      <w:r>
        <w:rPr>
          <w:rFonts w:hint="eastAsia" w:ascii="仿宋_GB2312" w:hAnsi="宋体" w:eastAsia="仿宋_GB2312" w:cs="宋体"/>
          <w:color w:val="000000"/>
          <w:kern w:val="0"/>
          <w:sz w:val="32"/>
          <w:szCs w:val="32"/>
        </w:rPr>
        <w:t>增</w:t>
      </w:r>
      <w:r>
        <w:rPr>
          <w:rFonts w:hint="eastAsia" w:ascii="仿宋_GB2312" w:hAnsi="宋体" w:eastAsia="仿宋_GB2312" w:cs="宋体"/>
          <w:color w:val="000000"/>
          <w:kern w:val="0"/>
          <w:sz w:val="32"/>
          <w:szCs w:val="32"/>
          <w:lang w:eastAsia="zh-CN"/>
        </w:rPr>
        <w:t>殖</w:t>
      </w:r>
      <w:r>
        <w:rPr>
          <w:rFonts w:hint="eastAsia" w:ascii="仿宋_GB2312" w:hAnsi="宋体" w:eastAsia="仿宋_GB2312" w:cs="宋体"/>
          <w:color w:val="000000"/>
          <w:kern w:val="0"/>
          <w:sz w:val="32"/>
          <w:szCs w:val="32"/>
        </w:rPr>
        <w:t>放流</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改善水质环境；</w:t>
      </w:r>
      <w:r>
        <w:rPr>
          <w:rFonts w:hint="eastAsia" w:ascii="仿宋_GB2312" w:hAnsi="宋体" w:eastAsia="仿宋_GB2312" w:cs="宋体"/>
          <w:color w:val="000000"/>
          <w:kern w:val="0"/>
          <w:sz w:val="32"/>
          <w:szCs w:val="32"/>
          <w:lang w:eastAsia="zh-CN"/>
        </w:rPr>
        <w:t>保障农产品质量安全，防控疫病；改善土壤质量，优化农业生产条件,促进农业生产可持续发展；</w:t>
      </w:r>
      <w:r>
        <w:rPr>
          <w:rFonts w:hint="eastAsia" w:ascii="仿宋_GB2312" w:hAnsi="宋体" w:eastAsia="仿宋_GB2312" w:cs="宋体"/>
          <w:color w:val="000000"/>
          <w:kern w:val="0"/>
          <w:sz w:val="32"/>
          <w:szCs w:val="32"/>
        </w:rPr>
        <w:t>植物保护推动生态环境、绿色农业的可持续发展。</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仿宋_GB2312" w:hAnsi="宋体" w:eastAsia="仿宋_GB2312" w:cs="宋体"/>
          <w:color w:val="000000"/>
          <w:kern w:val="0"/>
          <w:sz w:val="32"/>
          <w:szCs w:val="32"/>
        </w:rPr>
        <w:t>各项目均达到服务对象满意度要求。</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区农服中心在项目管理方面的相关制度有《北京市朝阳区农业农村综合服务中心内部控制制度汇编》，包括“三重一大”决策制度、预决算管理办法、预算绩效管理实施细则、合同管理办法等财务管理制度；基层单位有《北京市朝阳区动植物疫病预防控制中心内部控制制度汇编》，包括机构管理与议事决策、预算管理、收支管理、采购管理、资产管理、项目管理等内容，制度相对健全。</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依据预算支出用途进行资金支出，符合“三重一大”相关程序要求，按照事务需要签订合同。</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结合日常工作要求，完善单位内控制度，修订《预算绩效管理实施细则》，加强会计核算基本工作，保证会计资料准确、完整。预算资金的使用与相关的预算财务管理制度相符，同时，符合国家财经法规和财务管理制度规定。根据财政局关于做好部门预决算公开的相关要求，应将预算信息及时公开，本部门及所属事业单位均及时并完整的向社会公开部门的预决算信息。</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（二）资产管理</w:t>
      </w:r>
    </w:p>
    <w:p>
      <w:pPr>
        <w:spacing w:line="600" w:lineRule="exact"/>
        <w:ind w:firstLine="640" w:firstLineChars="200"/>
        <w:rPr>
          <w:rFonts w:hint="eastAsia" w:ascii="楷体_GB2312" w:eastAsia="楷体_GB2312"/>
          <w:sz w:val="32"/>
          <w:szCs w:val="32"/>
        </w:rPr>
      </w:pPr>
      <w:r>
        <w:rPr>
          <w:rFonts w:hint="eastAsia" w:ascii="仿宋_GB2312" w:hAnsi="宋体" w:eastAsia="仿宋_GB2312" w:cs="宋体"/>
          <w:color w:val="000000"/>
          <w:kern w:val="0"/>
          <w:sz w:val="32"/>
          <w:szCs w:val="32"/>
        </w:rPr>
        <w:t>在资产管理工作中，按时完成部门资产动态系统的年度报告工作，对不能正常使用并达到最高使用年限的资产进行报废处置。国有资产出租出借相关工作，出借合同到期的履行续签手续，有承租需求的单位按照国有资产出租出借相关规定执行。</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firstLine="640" w:firstLineChars="200"/>
        <w:rPr>
          <w:rFonts w:ascii="楷体_GB2312" w:eastAsia="楷体_GB2312"/>
          <w:sz w:val="32"/>
          <w:szCs w:val="32"/>
        </w:rPr>
      </w:pPr>
      <w:r>
        <w:rPr>
          <w:rFonts w:hint="eastAsia" w:ascii="仿宋_GB2312" w:hAnsi="宋体" w:eastAsia="仿宋_GB2312" w:cs="宋体"/>
          <w:color w:val="000000"/>
          <w:kern w:val="0"/>
          <w:sz w:val="32"/>
          <w:szCs w:val="32"/>
        </w:rPr>
        <w:t>在项目管理方面，在项目实施过程中进行定期和不定期检查，规范业务流程，完善内部制度。编制基本预算、项目预算时应填报绩效目标并随预算向区财政局报送，绩效目标设定应指向明确、细化量化、合理可行、相应匹配。对于预算执行差异较大以及绩效较差的预算项目，要分析原因，并将预决算考核结果作为下年度内部预算编审参考依据。</w:t>
      </w:r>
    </w:p>
    <w:p>
      <w:pPr>
        <w:spacing w:line="600" w:lineRule="exact"/>
        <w:ind w:firstLine="640" w:firstLineChars="200"/>
        <w:rPr>
          <w:rFonts w:hint="eastAsia" w:ascii="黑体" w:hAnsi="黑体" w:eastAsia="黑体" w:cs="宋体"/>
          <w:color w:val="000000"/>
          <w:kern w:val="0"/>
          <w:sz w:val="32"/>
          <w:szCs w:val="32"/>
          <w:lang w:eastAsia="zh-CN"/>
        </w:rPr>
      </w:pPr>
      <w:r>
        <w:rPr>
          <w:rFonts w:hint="eastAsia" w:ascii="楷体_GB2312" w:eastAsia="楷体_GB2312"/>
          <w:sz w:val="32"/>
          <w:szCs w:val="32"/>
        </w:rPr>
        <w:t>（四）结转结余率</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年上年结转预算数</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lang w:eastAsia="zh-CN"/>
        </w:rPr>
        <w:t>万元，202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年全年预算数6054.315769万元，其中，基本支出预算数4849.488620万元，项目支出预算数1204.827149万元，其他支出预算数0万元。资金总体支出6</w:t>
      </w:r>
      <w:r>
        <w:rPr>
          <w:rFonts w:hint="eastAsia" w:ascii="仿宋_GB2312" w:hAnsi="宋体" w:eastAsia="仿宋_GB2312" w:cs="宋体"/>
          <w:color w:val="000000"/>
          <w:kern w:val="0"/>
          <w:sz w:val="32"/>
          <w:szCs w:val="32"/>
          <w:lang w:val="en-US" w:eastAsia="zh-CN"/>
        </w:rPr>
        <w:t>054</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315769</w:t>
      </w:r>
      <w:r>
        <w:rPr>
          <w:rFonts w:hint="eastAsia" w:ascii="仿宋_GB2312" w:hAnsi="宋体" w:eastAsia="仿宋_GB2312" w:cs="宋体"/>
          <w:color w:val="000000"/>
          <w:kern w:val="0"/>
          <w:sz w:val="32"/>
          <w:szCs w:val="32"/>
          <w:lang w:eastAsia="zh-CN"/>
        </w:rPr>
        <w:t>万元，其中，基本支出4849</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488620万元，项目支出1204</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827149万元，其他支出0万元。结转结余率为</w:t>
      </w:r>
      <w:r>
        <w:rPr>
          <w:rFonts w:hint="eastAsia" w:ascii="仿宋_GB2312" w:hAnsi="宋体" w:eastAsia="仿宋_GB2312" w:cs="宋体"/>
          <w:color w:val="000000"/>
          <w:kern w:val="0"/>
          <w:sz w:val="32"/>
          <w:szCs w:val="32"/>
          <w:lang w:val="en-US" w:eastAsia="zh-CN"/>
        </w:rPr>
        <w:t>0。</w:t>
      </w:r>
    </w:p>
    <w:p>
      <w:pPr>
        <w:numPr>
          <w:ilvl w:val="0"/>
          <w:numId w:val="2"/>
        </w:numPr>
        <w:spacing w:line="600" w:lineRule="exact"/>
        <w:ind w:left="105" w:leftChars="50" w:firstLine="480" w:firstLineChars="150"/>
        <w:rPr>
          <w:rFonts w:hint="eastAsia" w:ascii="楷体_GB2312" w:eastAsia="楷体_GB2312"/>
          <w:sz w:val="32"/>
          <w:szCs w:val="32"/>
          <w:lang w:eastAsia="zh-CN"/>
        </w:rPr>
      </w:pPr>
      <w:r>
        <w:rPr>
          <w:rFonts w:hint="eastAsia" w:ascii="楷体_GB2312" w:eastAsia="楷体_GB2312"/>
          <w:sz w:val="32"/>
          <w:szCs w:val="32"/>
        </w:rPr>
        <w:t>部门</w:t>
      </w:r>
      <w:r>
        <w:rPr>
          <w:rFonts w:ascii="楷体_GB2312" w:eastAsia="楷体_GB2312"/>
          <w:sz w:val="32"/>
          <w:szCs w:val="32"/>
        </w:rPr>
        <w:t>预决算差异率</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年度上年结转</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lang w:eastAsia="zh-CN"/>
        </w:rPr>
        <w:t>万元，年初预算为5385</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154472万元。收入决算数为6054</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315769万元，支出决算数为6054.315769万元。差异率</w:t>
      </w:r>
      <w:r>
        <w:rPr>
          <w:rFonts w:hint="eastAsia" w:ascii="仿宋_GB2312" w:hAnsi="宋体" w:eastAsia="仿宋_GB2312" w:cs="宋体"/>
          <w:color w:val="000000"/>
          <w:kern w:val="0"/>
          <w:sz w:val="32"/>
          <w:szCs w:val="32"/>
          <w:lang w:val="en-US" w:eastAsia="zh-CN"/>
        </w:rPr>
        <w:t>12.43</w:t>
      </w:r>
      <w:r>
        <w:rPr>
          <w:rFonts w:hint="eastAsia" w:ascii="仿宋_GB2312" w:hAnsi="宋体" w:eastAsia="仿宋_GB2312" w:cs="宋体"/>
          <w:color w:val="000000"/>
          <w:kern w:val="0"/>
          <w:sz w:val="32"/>
          <w:szCs w:val="32"/>
          <w:lang w:eastAsia="zh-CN"/>
        </w:rPr>
        <w:t>%，存在新增项目资金。</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预算编制的准确完整性26</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lang w:eastAsia="zh-CN"/>
        </w:rPr>
        <w:t>分，预算执行的有效性4</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lang w:eastAsia="zh-CN"/>
        </w:rPr>
        <w:t>分，预算编制及执行的规范性10分，财务状况9.5分，合计为9</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lang w:eastAsia="zh-CN"/>
        </w:rPr>
        <w:t>分。</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eastAsia="仿宋_GB2312"/>
          <w:b w:val="0"/>
          <w:bCs/>
          <w:kern w:val="44"/>
          <w:sz w:val="32"/>
          <w:szCs w:val="44"/>
          <w:lang w:val="en-US" w:eastAsia="zh-CN" w:bidi="ar-SA"/>
        </w:rPr>
      </w:pPr>
      <w:r>
        <w:rPr>
          <w:rFonts w:hint="eastAsia" w:eastAsia="仿宋_GB2312"/>
          <w:b w:val="0"/>
          <w:bCs/>
          <w:kern w:val="44"/>
          <w:sz w:val="32"/>
          <w:szCs w:val="44"/>
          <w:lang w:val="en-US" w:eastAsia="zh-CN" w:bidi="ar-SA"/>
        </w:rPr>
        <w:t>立项必要性方面，绩效意识不强，有的项目在设置时缺少时效指标，填写不够科学合理。</w:t>
      </w:r>
    </w:p>
    <w:p>
      <w:pPr>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eastAsia="仿宋_GB2312"/>
          <w:b w:val="0"/>
          <w:bCs/>
          <w:kern w:val="44"/>
          <w:sz w:val="32"/>
          <w:szCs w:val="44"/>
          <w:lang w:val="en-US" w:eastAsia="zh-CN" w:bidi="ar-SA"/>
        </w:rPr>
      </w:pPr>
      <w:r>
        <w:rPr>
          <w:rFonts w:hint="eastAsia" w:eastAsia="仿宋_GB2312"/>
          <w:b w:val="0"/>
          <w:bCs/>
          <w:kern w:val="44"/>
          <w:sz w:val="32"/>
          <w:szCs w:val="44"/>
          <w:lang w:val="en-US" w:eastAsia="zh-CN" w:bidi="ar-SA"/>
        </w:rPr>
        <w:t>项目可行性方面，各项目根据各自的实施方案落实工作，从单位整体的工作安排上全方面考虑欠缺，预算支出完成率低。</w:t>
      </w:r>
    </w:p>
    <w:p>
      <w:pPr>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eastAsia="仿宋_GB2312"/>
          <w:b w:val="0"/>
          <w:bCs/>
          <w:kern w:val="44"/>
          <w:sz w:val="32"/>
          <w:szCs w:val="44"/>
          <w:lang w:val="en-US" w:eastAsia="zh-CN" w:bidi="ar-SA"/>
        </w:rPr>
      </w:pPr>
      <w:r>
        <w:rPr>
          <w:rFonts w:hint="eastAsia" w:eastAsia="仿宋_GB2312"/>
          <w:b w:val="0"/>
          <w:bCs/>
          <w:kern w:val="44"/>
          <w:sz w:val="32"/>
          <w:szCs w:val="44"/>
          <w:lang w:val="en-US" w:eastAsia="zh-CN" w:bidi="ar-SA"/>
        </w:rPr>
        <w:t>项目经济性方面，项目的成本测算不够精确。</w:t>
      </w:r>
    </w:p>
    <w:p>
      <w:pPr>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楷体_GB2312" w:eastAsia="楷体_GB2312"/>
          <w:sz w:val="32"/>
          <w:szCs w:val="32"/>
        </w:rPr>
      </w:pPr>
      <w:r>
        <w:rPr>
          <w:rFonts w:hint="eastAsia" w:eastAsia="仿宋_GB2312"/>
          <w:b w:val="0"/>
          <w:bCs/>
          <w:kern w:val="44"/>
          <w:sz w:val="32"/>
          <w:szCs w:val="44"/>
          <w:lang w:val="en-US" w:eastAsia="zh-CN" w:bidi="ar-SA"/>
        </w:rPr>
        <w:t>（4）项目效率方面，项目申报中各项目实际执行期间不够明确或时效指标未填写，时间效率不清晰。产生此类问题的原因是认为在整个需求阶段完成即可，没有达到精准的标准。</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p>
    <w:p>
      <w:pPr>
        <w:pStyle w:val="2"/>
        <w:rPr>
          <w:rFonts w:hint="eastAsia" w:ascii="Times New Roman" w:hAnsi="Times New Roman" w:eastAsia="仿宋_GB2312" w:cs="Times New Roman"/>
          <w:b w:val="0"/>
          <w:bCs/>
          <w:kern w:val="44"/>
          <w:sz w:val="32"/>
          <w:szCs w:val="44"/>
          <w:lang w:val="en-US" w:eastAsia="zh-CN" w:bidi="ar-SA"/>
        </w:rPr>
      </w:pPr>
      <w:r>
        <w:rPr>
          <w:rFonts w:hint="eastAsia" w:ascii="Times New Roman" w:hAnsi="Times New Roman" w:eastAsia="仿宋_GB2312" w:cs="Times New Roman"/>
          <w:b w:val="0"/>
          <w:bCs/>
          <w:kern w:val="44"/>
          <w:sz w:val="32"/>
          <w:szCs w:val="44"/>
          <w:lang w:val="en-US" w:eastAsia="zh-CN" w:bidi="ar-SA"/>
        </w:rPr>
        <w:t>严格按照相应的业务管理制度，规范各项目经费的开支。下一步由财务资产科牵头，按照预算支出计划督促科室加快支出进度，每月10日公布一次各项目支出进度表，以便于各科室及基层单位及时了解支出情况。对于支出进度缓慢的科室，主动了解原因，统筹安排，及时与各分管领导对接，压实各科室责任，推动各项工作有序开展。</w:t>
      </w:r>
    </w:p>
    <w:p>
      <w:pPr>
        <w:pStyle w:val="2"/>
        <w:rPr>
          <w:rFonts w:hint="eastAsia" w:ascii="Times New Roman" w:hAnsi="Times New Roman" w:eastAsia="仿宋_GB2312" w:cs="Times New Roman"/>
          <w:b w:val="0"/>
          <w:bCs/>
          <w:kern w:val="44"/>
          <w:sz w:val="32"/>
          <w:szCs w:val="44"/>
          <w:lang w:val="en-US" w:eastAsia="zh-CN" w:bidi="ar-SA"/>
        </w:rPr>
      </w:pPr>
    </w:p>
    <w:p>
      <w:pPr>
        <w:pStyle w:val="2"/>
        <w:rPr>
          <w:rFonts w:hint="eastAsia" w:ascii="Times New Roman" w:hAnsi="Times New Roman" w:eastAsia="仿宋_GB2312" w:cs="Times New Roman"/>
          <w:b w:val="0"/>
          <w:bCs/>
          <w:kern w:val="44"/>
          <w:sz w:val="32"/>
          <w:szCs w:val="44"/>
          <w:lang w:val="en-US" w:eastAsia="zh-CN" w:bidi="ar-SA"/>
        </w:rPr>
      </w:pPr>
    </w:p>
    <w:p>
      <w:pPr>
        <w:pStyle w:val="2"/>
        <w:rPr>
          <w:rFonts w:hint="eastAsia" w:eastAsia="仿宋_GB2312" w:cs="Times New Roman"/>
          <w:b w:val="0"/>
          <w:bCs/>
          <w:kern w:val="44"/>
          <w:sz w:val="32"/>
          <w:szCs w:val="44"/>
          <w:lang w:val="en-US" w:eastAsia="zh-CN" w:bidi="ar-SA"/>
        </w:rPr>
      </w:pPr>
      <w:r>
        <w:rPr>
          <w:rFonts w:hint="eastAsia" w:eastAsia="仿宋_GB2312" w:cs="Times New Roman"/>
          <w:b w:val="0"/>
          <w:bCs/>
          <w:kern w:val="44"/>
          <w:sz w:val="32"/>
          <w:szCs w:val="44"/>
          <w:lang w:val="en-US" w:eastAsia="zh-CN" w:bidi="ar-SA"/>
        </w:rPr>
        <w:t xml:space="preserve">                     朝阳区农业农村综合服务中心</w:t>
      </w:r>
    </w:p>
    <w:p>
      <w:pPr>
        <w:pStyle w:val="2"/>
        <w:rPr>
          <w:rFonts w:hint="default" w:eastAsia="仿宋_GB2312" w:cs="Times New Roman"/>
          <w:b w:val="0"/>
          <w:bCs/>
          <w:kern w:val="44"/>
          <w:sz w:val="32"/>
          <w:szCs w:val="44"/>
          <w:lang w:val="en-US" w:eastAsia="zh-CN" w:bidi="ar-SA"/>
        </w:rPr>
      </w:pPr>
      <w:r>
        <w:rPr>
          <w:rFonts w:hint="eastAsia" w:eastAsia="仿宋_GB2312" w:cs="Times New Roman"/>
          <w:b w:val="0"/>
          <w:bCs/>
          <w:kern w:val="44"/>
          <w:sz w:val="32"/>
          <w:szCs w:val="44"/>
          <w:lang w:val="en-US" w:eastAsia="zh-CN" w:bidi="ar-SA"/>
        </w:rPr>
        <w:t xml:space="preserve">                         2025年2月17日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7F84C4"/>
    <w:multiLevelType w:val="singleLevel"/>
    <w:tmpl w:val="C67F84C4"/>
    <w:lvl w:ilvl="0" w:tentative="0">
      <w:start w:val="2"/>
      <w:numFmt w:val="chineseCounting"/>
      <w:suff w:val="nothing"/>
      <w:lvlText w:val="（%1）"/>
      <w:lvlJc w:val="left"/>
      <w:rPr>
        <w:rFonts w:hint="eastAsia"/>
      </w:rPr>
    </w:lvl>
  </w:abstractNum>
  <w:abstractNum w:abstractNumId="1">
    <w:nsid w:val="141BC150"/>
    <w:multiLevelType w:val="singleLevel"/>
    <w:tmpl w:val="141BC150"/>
    <w:lvl w:ilvl="0" w:tentative="0">
      <w:start w:val="5"/>
      <w:numFmt w:val="chineseCounting"/>
      <w:suff w:val="nothing"/>
      <w:lvlText w:val="（%1）"/>
      <w:lvlJc w:val="left"/>
      <w:rPr>
        <w:rFonts w:hint="eastAsia"/>
      </w:rPr>
    </w:lvl>
  </w:abstractNum>
  <w:abstractNum w:abstractNumId="2">
    <w:nsid w:val="64CCA25B"/>
    <w:multiLevelType w:val="singleLevel"/>
    <w:tmpl w:val="64CCA25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D15DB5"/>
    <w:rsid w:val="00E617B2"/>
    <w:rsid w:val="00F42C33"/>
    <w:rsid w:val="0173611A"/>
    <w:rsid w:val="017C5080"/>
    <w:rsid w:val="04C2712A"/>
    <w:rsid w:val="0605127D"/>
    <w:rsid w:val="063A4A45"/>
    <w:rsid w:val="06534BA1"/>
    <w:rsid w:val="067B6C86"/>
    <w:rsid w:val="0A99092D"/>
    <w:rsid w:val="0AF62277"/>
    <w:rsid w:val="0B785CCF"/>
    <w:rsid w:val="0BC575B6"/>
    <w:rsid w:val="11B106F4"/>
    <w:rsid w:val="13566096"/>
    <w:rsid w:val="136A730B"/>
    <w:rsid w:val="138A6B4D"/>
    <w:rsid w:val="152C01BB"/>
    <w:rsid w:val="17E5229C"/>
    <w:rsid w:val="19E85757"/>
    <w:rsid w:val="1A3A7BAD"/>
    <w:rsid w:val="1A927991"/>
    <w:rsid w:val="1CCD74C1"/>
    <w:rsid w:val="1CEC58CA"/>
    <w:rsid w:val="1CFA34F8"/>
    <w:rsid w:val="20276A5F"/>
    <w:rsid w:val="242C0D6E"/>
    <w:rsid w:val="255D778F"/>
    <w:rsid w:val="27BE5DEB"/>
    <w:rsid w:val="28FB1285"/>
    <w:rsid w:val="29251CC8"/>
    <w:rsid w:val="2D410C84"/>
    <w:rsid w:val="2D637717"/>
    <w:rsid w:val="2E7C5538"/>
    <w:rsid w:val="2F321339"/>
    <w:rsid w:val="31751BAF"/>
    <w:rsid w:val="33D401A8"/>
    <w:rsid w:val="33E418A0"/>
    <w:rsid w:val="35D2002F"/>
    <w:rsid w:val="3738020F"/>
    <w:rsid w:val="37920A5A"/>
    <w:rsid w:val="3A0745CE"/>
    <w:rsid w:val="3CB11983"/>
    <w:rsid w:val="3DFA317F"/>
    <w:rsid w:val="3E35213F"/>
    <w:rsid w:val="41717932"/>
    <w:rsid w:val="427F375F"/>
    <w:rsid w:val="44440224"/>
    <w:rsid w:val="446472DA"/>
    <w:rsid w:val="44F83545"/>
    <w:rsid w:val="455F2146"/>
    <w:rsid w:val="468A3566"/>
    <w:rsid w:val="46BD49BD"/>
    <w:rsid w:val="4A6E0EB3"/>
    <w:rsid w:val="4CCB3045"/>
    <w:rsid w:val="4DDE0487"/>
    <w:rsid w:val="4FC32E76"/>
    <w:rsid w:val="4FF4783C"/>
    <w:rsid w:val="50B447A7"/>
    <w:rsid w:val="53AF0B75"/>
    <w:rsid w:val="566836E4"/>
    <w:rsid w:val="58DA380D"/>
    <w:rsid w:val="59326E77"/>
    <w:rsid w:val="5B1D39DF"/>
    <w:rsid w:val="5BE1101C"/>
    <w:rsid w:val="5CA975B2"/>
    <w:rsid w:val="5CAD2654"/>
    <w:rsid w:val="5CD41832"/>
    <w:rsid w:val="5E423AFE"/>
    <w:rsid w:val="5EDD7F5D"/>
    <w:rsid w:val="5FE210BE"/>
    <w:rsid w:val="60885CA7"/>
    <w:rsid w:val="626B6729"/>
    <w:rsid w:val="64D37E39"/>
    <w:rsid w:val="662B5A52"/>
    <w:rsid w:val="667C1E0A"/>
    <w:rsid w:val="679338AF"/>
    <w:rsid w:val="69C91FDD"/>
    <w:rsid w:val="6A5E29AC"/>
    <w:rsid w:val="6A6C7309"/>
    <w:rsid w:val="6AEA37B4"/>
    <w:rsid w:val="6D9A7306"/>
    <w:rsid w:val="6E035DE2"/>
    <w:rsid w:val="7492403D"/>
    <w:rsid w:val="75243D99"/>
    <w:rsid w:val="75F87077"/>
    <w:rsid w:val="76544B51"/>
    <w:rsid w:val="785030F6"/>
    <w:rsid w:val="78CB7931"/>
    <w:rsid w:val="7CDE058E"/>
    <w:rsid w:val="7F941DC1"/>
    <w:rsid w:val="7FB178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8"/>
      <w:szCs w:val="28"/>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3679</Words>
  <Characters>3987</Characters>
  <Lines>3</Lines>
  <Paragraphs>1</Paragraphs>
  <TotalTime>0</TotalTime>
  <ScaleCrop>false</ScaleCrop>
  <LinksUpToDate>false</LinksUpToDate>
  <CharactersWithSpaces>4033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meng</cp:lastModifiedBy>
  <cp:lastPrinted>2025-02-17T06:09:00Z</cp:lastPrinted>
  <dcterms:modified xsi:type="dcterms:W3CDTF">2025-09-12T03:18:32Z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DCA207FA131A42F38AE76DA8DE819B97_12</vt:lpwstr>
  </property>
</Properties>
</file>