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hint="eastAsia" w:eastAsia="宋体"/>
          <w:lang w:val="en-US" w:eastAsia="zh-CN"/>
        </w:rPr>
      </w:pPr>
      <w:r>
        <w:rPr>
          <w:rFonts w:hint="eastAsia"/>
          <w:b/>
          <w:sz w:val="36"/>
          <w:szCs w:val="36"/>
          <w:lang w:eastAsia="zh-CN"/>
        </w:rPr>
        <w:t>202</w:t>
      </w:r>
      <w:r>
        <w:rPr>
          <w:rFonts w:hint="eastAsia"/>
          <w:b/>
          <w:sz w:val="36"/>
          <w:szCs w:val="36"/>
          <w:lang w:val="en-US" w:eastAsia="zh-CN"/>
        </w:rPr>
        <w:t>4</w:t>
      </w:r>
      <w:r>
        <w:rPr>
          <w:rFonts w:hint="eastAsia"/>
          <w:b/>
          <w:sz w:val="36"/>
          <w:szCs w:val="36"/>
          <w:lang w:eastAsia="zh-CN"/>
        </w:rPr>
        <w:t>年</w:t>
      </w:r>
      <w:r>
        <w:rPr>
          <w:rFonts w:hint="eastAsia"/>
          <w:b/>
          <w:sz w:val="36"/>
          <w:szCs w:val="36"/>
          <w:lang w:val="en-US" w:eastAsia="zh-CN"/>
        </w:rPr>
        <w:t>1-2</w:t>
      </w:r>
      <w:r>
        <w:rPr>
          <w:rFonts w:hint="eastAsia"/>
          <w:b/>
          <w:sz w:val="36"/>
          <w:szCs w:val="36"/>
          <w:lang w:eastAsia="zh-CN"/>
        </w:rPr>
        <w:t>季度朝阳区地区生产总值</w:t>
      </w:r>
    </w:p>
    <w:tbl>
      <w:tblPr>
        <w:tblStyle w:val="2"/>
        <w:tblW w:w="899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81"/>
        <w:gridCol w:w="2616"/>
        <w:gridCol w:w="16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781" w:type="dxa"/>
            <w:vAlign w:val="center"/>
          </w:tcPr>
          <w:p>
            <w:pPr>
              <w:spacing w:after="0" w:line="240" w:lineRule="auto"/>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eastAsia="zh-CN"/>
              </w:rPr>
              <w:t>项  目</w:t>
            </w:r>
          </w:p>
        </w:tc>
        <w:tc>
          <w:tcPr>
            <w:tcW w:w="2616" w:type="dxa"/>
            <w:vAlign w:val="center"/>
          </w:tcPr>
          <w:p>
            <w:pPr>
              <w:spacing w:after="0" w:line="240" w:lineRule="auto"/>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增加值（亿元）</w:t>
            </w:r>
          </w:p>
        </w:tc>
        <w:tc>
          <w:tcPr>
            <w:tcW w:w="1602" w:type="dxa"/>
            <w:vAlign w:val="center"/>
          </w:tcPr>
          <w:p>
            <w:pPr>
              <w:spacing w:after="0" w:line="240" w:lineRule="auto"/>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增速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地区生产总值</w:t>
            </w:r>
          </w:p>
        </w:tc>
        <w:tc>
          <w:tcPr>
            <w:tcW w:w="2616"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4108.7</w:t>
            </w:r>
          </w:p>
        </w:tc>
        <w:tc>
          <w:tcPr>
            <w:tcW w:w="1602"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5.3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#按产业分</w:t>
            </w:r>
          </w:p>
        </w:tc>
        <w:tc>
          <w:tcPr>
            <w:tcW w:w="2616" w:type="dxa"/>
            <w:vAlign w:val="center"/>
          </w:tcPr>
          <w:p>
            <w:pPr>
              <w:spacing w:line="240" w:lineRule="auto"/>
              <w:jc w:val="center"/>
              <w:rPr>
                <w:rFonts w:hint="eastAsia" w:ascii="Times New Roman" w:hAnsi="Times New Roman" w:eastAsia="宋体" w:cs="Times New Roman"/>
                <w:sz w:val="28"/>
                <w:szCs w:val="28"/>
                <w:lang w:val="en-US" w:eastAsia="zh-CN"/>
              </w:rPr>
            </w:pPr>
          </w:p>
        </w:tc>
        <w:tc>
          <w:tcPr>
            <w:tcW w:w="1602" w:type="dxa"/>
            <w:vAlign w:val="center"/>
          </w:tcPr>
          <w:p>
            <w:pPr>
              <w:spacing w:line="240" w:lineRule="auto"/>
              <w:jc w:val="center"/>
              <w:rPr>
                <w:rFonts w:hint="eastAsia" w:ascii="Times New Roman" w:hAnsi="Times New Roman" w:eastAsia="宋体" w:cs="Times New Roman"/>
                <w:sz w:val="28"/>
                <w:szCs w:val="2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 xml:space="preserve">  第一产业</w:t>
            </w:r>
          </w:p>
        </w:tc>
        <w:tc>
          <w:tcPr>
            <w:tcW w:w="2616"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1.4</w:t>
            </w:r>
          </w:p>
        </w:tc>
        <w:tc>
          <w:tcPr>
            <w:tcW w:w="1602"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66.9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 xml:space="preserve">  第二产业</w:t>
            </w:r>
          </w:p>
        </w:tc>
        <w:tc>
          <w:tcPr>
            <w:tcW w:w="2616"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226.1</w:t>
            </w:r>
          </w:p>
        </w:tc>
        <w:tc>
          <w:tcPr>
            <w:tcW w:w="1602"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 xml:space="preserve">  第三产业</w:t>
            </w:r>
          </w:p>
        </w:tc>
        <w:tc>
          <w:tcPr>
            <w:tcW w:w="2616"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3881.1</w:t>
            </w:r>
          </w:p>
        </w:tc>
        <w:tc>
          <w:tcPr>
            <w:tcW w:w="1602"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5.8</w:t>
            </w:r>
          </w:p>
        </w:tc>
      </w:tr>
    </w:tbl>
    <w:p>
      <w:pPr>
        <w:rPr>
          <w:rFonts w:hint="eastAsia"/>
          <w:lang w:eastAsia="zh-CN"/>
        </w:rPr>
      </w:pPr>
      <w:r>
        <w:rPr>
          <w:rFonts w:hint="eastAsia"/>
          <w:lang w:eastAsia="zh-CN"/>
        </w:rPr>
        <w:t>注：1.</w:t>
      </w:r>
      <w:r>
        <w:rPr>
          <w:rFonts w:hint="eastAsia"/>
          <w:lang w:val="en-US" w:eastAsia="zh-CN"/>
        </w:rPr>
        <w:t xml:space="preserve"> </w:t>
      </w:r>
      <w:r>
        <w:rPr>
          <w:rFonts w:hint="eastAsia"/>
          <w:lang w:eastAsia="zh-CN"/>
        </w:rPr>
        <w:t>地区生产总值数据由北京市统计局统一核算反馈；增加值绝对额按现价计算，增速按不变价计算。</w:t>
      </w:r>
    </w:p>
    <w:p>
      <w:pPr>
        <w:numPr>
          <w:ilvl w:val="0"/>
          <w:numId w:val="0"/>
        </w:numPr>
        <w:rPr>
          <w:rFonts w:hint="eastAsia"/>
          <w:lang w:eastAsia="zh-CN"/>
        </w:rPr>
      </w:pPr>
      <w:r>
        <w:rPr>
          <w:rFonts w:hint="eastAsia"/>
          <w:lang w:val="en-US" w:eastAsia="zh-CN"/>
        </w:rPr>
        <w:t>2. 三次</w:t>
      </w:r>
      <w:r>
        <w:rPr>
          <w:rFonts w:hint="eastAsia"/>
          <w:lang w:eastAsia="zh-CN"/>
        </w:rPr>
        <w:t>产业分类依据国家统计局2018年修订的《三次产业划分规定》（国统设管函[2018]74号），行业分类采用《国民经济行业分类（GB/T4754-2017）》。</w:t>
      </w:r>
    </w:p>
    <w:p>
      <w:pPr>
        <w:numPr>
          <w:ilvl w:val="0"/>
          <w:numId w:val="0"/>
        </w:numPr>
        <w:rPr>
          <w:rFonts w:hint="eastAsia"/>
          <w:lang w:eastAsia="zh-CN"/>
        </w:rPr>
      </w:pPr>
      <w:bookmarkStart w:id="0" w:name="_GoBack"/>
      <w:bookmarkEnd w:id="0"/>
    </w:p>
    <w:p>
      <w:pPr>
        <w:spacing w:after="312" w:afterLines="100"/>
        <w:jc w:val="center"/>
        <w:rPr>
          <w:rFonts w:hint="eastAsia" w:ascii="宋体" w:hAnsi="宋体"/>
          <w:b/>
          <w:bCs/>
          <w:color w:val="000000"/>
          <w:sz w:val="36"/>
          <w:szCs w:val="36"/>
          <w:lang w:eastAsia="zh-CN"/>
        </w:rPr>
      </w:pPr>
      <w:r>
        <w:rPr>
          <w:rFonts w:hint="eastAsia"/>
          <w:b/>
          <w:sz w:val="36"/>
          <w:szCs w:val="36"/>
          <w:lang w:eastAsia="zh-CN"/>
        </w:rPr>
        <w:t>地区生产总值</w:t>
      </w:r>
      <w:r>
        <w:rPr>
          <w:rFonts w:hint="eastAsia" w:ascii="宋体" w:hAnsi="宋体"/>
          <w:b/>
          <w:bCs/>
          <w:color w:val="000000"/>
          <w:sz w:val="36"/>
          <w:szCs w:val="36"/>
          <w:lang w:eastAsia="zh-CN"/>
        </w:rPr>
        <w:t>统计范围、资料来源及主要指标解释</w:t>
      </w:r>
    </w:p>
    <w:p>
      <w:pPr>
        <w:spacing w:before="156" w:beforeLines="50" w:after="0" w:line="480" w:lineRule="auto"/>
        <w:ind w:firstLine="562" w:firstLineChars="200"/>
        <w:rPr>
          <w:rFonts w:hint="eastAsia" w:ascii="宋体" w:hAnsi="宋体"/>
          <w:b/>
          <w:bCs/>
          <w:color w:val="000000"/>
          <w:sz w:val="28"/>
          <w:szCs w:val="28"/>
          <w:lang w:eastAsia="zh-CN"/>
        </w:rPr>
      </w:pPr>
      <w:r>
        <w:rPr>
          <w:rFonts w:hint="eastAsia" w:ascii="宋体" w:hAnsi="宋体"/>
          <w:b/>
          <w:bCs/>
          <w:color w:val="000000"/>
          <w:sz w:val="28"/>
          <w:szCs w:val="28"/>
          <w:lang w:eastAsia="zh-CN"/>
        </w:rPr>
        <w:t>一、统计范围</w:t>
      </w:r>
    </w:p>
    <w:p>
      <w:pPr>
        <w:spacing w:after="0" w:line="480" w:lineRule="auto"/>
        <w:ind w:firstLine="570"/>
        <w:rPr>
          <w:rFonts w:hint="eastAsia" w:ascii="宋体" w:hAnsi="宋体"/>
          <w:color w:val="000000"/>
          <w:sz w:val="28"/>
          <w:szCs w:val="28"/>
          <w:lang w:eastAsia="zh-CN"/>
        </w:rPr>
      </w:pPr>
      <w:r>
        <w:rPr>
          <w:rFonts w:hint="eastAsia" w:ascii="宋体" w:hAnsi="宋体"/>
          <w:color w:val="000000"/>
          <w:sz w:val="28"/>
          <w:szCs w:val="28"/>
          <w:lang w:eastAsia="zh-CN"/>
        </w:rPr>
        <w:t>所有在我国（地区）经济领土内具有经济利益中心的经济单位都应该纳入地区生产总值（GDP）统计范围，即在我国(地区)经济领土内拥有一定的活动场所，从事一定规模的经济活动，并超过一定时期的经济单位创造的最终产品和服务的价值。包括在中国（地区）的外企，但不包括各国驻华使馆。</w:t>
      </w:r>
    </w:p>
    <w:p>
      <w:pPr>
        <w:spacing w:after="0" w:line="480" w:lineRule="auto"/>
        <w:ind w:firstLine="570"/>
        <w:rPr>
          <w:rFonts w:hint="eastAsia" w:ascii="宋体" w:hAnsi="宋体" w:eastAsia="宋体" w:cs="Times New Roman"/>
          <w:color w:val="000000"/>
          <w:sz w:val="28"/>
          <w:szCs w:val="28"/>
          <w:lang w:eastAsia="zh-CN"/>
        </w:rPr>
      </w:pPr>
      <w:r>
        <w:rPr>
          <w:rFonts w:hint="eastAsia" w:ascii="宋体" w:hAnsi="宋体"/>
          <w:b/>
          <w:bCs/>
          <w:color w:val="000000"/>
          <w:sz w:val="28"/>
          <w:szCs w:val="28"/>
          <w:lang w:eastAsia="zh-CN"/>
        </w:rPr>
        <w:t>二、资料来源</w:t>
      </w:r>
      <w:r>
        <w:rPr>
          <w:rFonts w:hint="eastAsia" w:ascii="宋体" w:hAnsi="宋体"/>
          <w:color w:val="000000"/>
          <w:sz w:val="28"/>
          <w:szCs w:val="28"/>
          <w:lang w:eastAsia="zh-CN"/>
        </w:rPr>
        <w:br w:type="textWrapping"/>
      </w:r>
      <w:r>
        <w:rPr>
          <w:rFonts w:hint="eastAsia" w:ascii="宋体" w:hAnsi="宋体"/>
          <w:color w:val="000000"/>
          <w:sz w:val="28"/>
          <w:szCs w:val="28"/>
          <w:lang w:eastAsia="zh-CN"/>
        </w:rPr>
        <w:t>　</w:t>
      </w:r>
      <w:r>
        <w:rPr>
          <w:rFonts w:hint="eastAsia" w:ascii="宋体" w:hAnsi="宋体"/>
          <w:color w:val="000000"/>
          <w:sz w:val="28"/>
          <w:szCs w:val="28"/>
          <w:lang w:val="en-US" w:eastAsia="zh-CN"/>
        </w:rPr>
        <w:t xml:space="preserve">  </w:t>
      </w:r>
      <w:r>
        <w:rPr>
          <w:rFonts w:hint="eastAsia" w:ascii="宋体" w:hAnsi="宋体" w:eastAsia="宋体" w:cs="Times New Roman"/>
          <w:color w:val="000000"/>
          <w:sz w:val="28"/>
          <w:szCs w:val="28"/>
          <w:lang w:eastAsia="zh-CN"/>
        </w:rPr>
        <w:t>北京市地区生产总值资料来源主要包括两部分：</w:t>
      </w:r>
    </w:p>
    <w:p>
      <w:pPr>
        <w:spacing w:after="0" w:line="480" w:lineRule="auto"/>
        <w:ind w:firstLine="570"/>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一是国家统计调查资料，指由国家统计系统实施的统计调查获得的各种统计资料，如农林牧渔业、工业、建筑业、批发和零售业、住宿和餐饮业、房地产业、规模以上服务业等统计调查资料、人口与劳动工资统计资料、价格统计资料等。</w:t>
      </w:r>
    </w:p>
    <w:p>
      <w:pPr>
        <w:spacing w:after="0" w:line="480" w:lineRule="auto"/>
        <w:ind w:firstLine="570"/>
        <w:rPr>
          <w:rFonts w:hint="eastAsia" w:ascii="宋体" w:hAnsi="宋体"/>
          <w:color w:val="000000"/>
          <w:sz w:val="28"/>
          <w:szCs w:val="28"/>
          <w:lang w:eastAsia="zh-CN"/>
        </w:rPr>
      </w:pPr>
      <w:r>
        <w:rPr>
          <w:rFonts w:hint="eastAsia" w:ascii="宋体" w:hAnsi="宋体"/>
          <w:color w:val="000000"/>
          <w:sz w:val="28"/>
          <w:szCs w:val="28"/>
          <w:lang w:eastAsia="zh-CN"/>
        </w:rPr>
        <w:t>二是行政管理部门的行政记录资料，主要包括：人民银行、银保监会、证监会等行政管理部门的相关数据。</w:t>
      </w:r>
    </w:p>
    <w:p>
      <w:pPr>
        <w:spacing w:after="0" w:line="480" w:lineRule="auto"/>
        <w:ind w:firstLine="570"/>
        <w:rPr>
          <w:rFonts w:hint="eastAsia" w:ascii="宋体" w:hAnsi="宋体"/>
          <w:b/>
          <w:bCs/>
          <w:color w:val="000000"/>
          <w:sz w:val="28"/>
          <w:szCs w:val="28"/>
          <w:lang w:eastAsia="zh-CN"/>
        </w:rPr>
      </w:pPr>
      <w:r>
        <w:rPr>
          <w:rFonts w:hint="eastAsia" w:ascii="宋体" w:hAnsi="宋体"/>
          <w:b/>
          <w:bCs/>
          <w:color w:val="000000"/>
          <w:sz w:val="28"/>
          <w:szCs w:val="28"/>
          <w:lang w:eastAsia="zh-CN"/>
        </w:rPr>
        <w:t>三、主要指标解释</w:t>
      </w:r>
    </w:p>
    <w:p>
      <w:pPr>
        <w:spacing w:after="0" w:line="480" w:lineRule="auto"/>
        <w:ind w:firstLine="570"/>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地区生产总值（GDP）：是一个地区的所有常住单位在一定时期内所生产的全部最终产品和服务的价值总和，是反映经济总体状况重要的指标。</w:t>
      </w:r>
    </w:p>
    <w:p>
      <w:pPr>
        <w:spacing w:after="0" w:line="480" w:lineRule="auto"/>
        <w:ind w:firstLine="570"/>
        <w:rPr>
          <w:rFonts w:hint="eastAsia" w:ascii="宋体" w:hAnsi="宋体" w:eastAsia="宋体" w:cs="Times New Roman"/>
          <w:color w:val="000000"/>
          <w:sz w:val="28"/>
          <w:szCs w:val="28"/>
          <w:lang w:eastAsia="zh-CN"/>
        </w:rPr>
      </w:pPr>
    </w:p>
    <w:p>
      <w:pPr>
        <w:numPr>
          <w:ilvl w:val="0"/>
          <w:numId w:val="0"/>
        </w:numPr>
        <w:spacing w:after="0" w:line="480" w:lineRule="auto"/>
        <w:rPr>
          <w:rFonts w:hint="eastAsia" w:ascii="宋体" w:hAnsi="宋体" w:eastAsia="宋体" w:cs="Times New Roman"/>
          <w:color w:val="000000"/>
          <w:sz w:val="28"/>
          <w:szCs w:val="28"/>
          <w:lang w:val="en-US" w:eastAsia="zh-CN"/>
        </w:rPr>
      </w:pPr>
    </w:p>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223C3"/>
    <w:rsid w:val="0AB40CAD"/>
    <w:rsid w:val="18A0142C"/>
    <w:rsid w:val="21D223C3"/>
    <w:rsid w:val="3A357A33"/>
    <w:rsid w:val="62F026DC"/>
    <w:rsid w:val="74D57EB5"/>
    <w:rsid w:val="7AD33FAA"/>
    <w:rsid w:val="7D5B5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2"/>
      <w:szCs w:val="22"/>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2023-10-23T03:28:00Z</dcterms:created>
  <dc:creator>赵雪岑</dc:creator>
  <cp:lastModifiedBy>Administrator</cp:lastModifiedBy>
  <dcterms:modified xsi:type="dcterms:W3CDTF">2024-07-18T07:47:52Z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