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2023年1-</w:t>
      </w:r>
      <w:r>
        <w:rPr>
          <w:rFonts w:hint="eastAsia" w:asciiTheme="minorEastAsia" w:hAnsiTheme="minorEastAsia" w:eastAsiaTheme="minorEastAsia"/>
          <w:b/>
          <w:bCs/>
          <w:spacing w:val="15"/>
          <w:sz w:val="44"/>
          <w:szCs w:val="44"/>
          <w:lang w:val="en-US" w:eastAsia="zh-CN"/>
        </w:rPr>
        <w:t>12</w:t>
      </w:r>
      <w:r>
        <w:rPr>
          <w:rFonts w:hint="eastAsia" w:asciiTheme="minorEastAsia" w:hAnsiTheme="minorEastAsia" w:eastAsiaTheme="minorEastAsia"/>
          <w:b/>
          <w:bCs/>
          <w:spacing w:val="15"/>
          <w:sz w:val="44"/>
          <w:szCs w:val="44"/>
        </w:rPr>
        <w:t>月朝阳区固定资产投资</w:t>
      </w:r>
    </w:p>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（不含农户）同比增长</w:t>
      </w:r>
      <w:r>
        <w:rPr>
          <w:rFonts w:hint="eastAsia" w:asciiTheme="minorEastAsia" w:hAnsiTheme="minorEastAsia" w:eastAsiaTheme="minorEastAsia"/>
          <w:b/>
          <w:bCs/>
          <w:spacing w:val="15"/>
          <w:sz w:val="44"/>
          <w:szCs w:val="44"/>
          <w:lang w:val="en-US" w:eastAsia="zh-CN"/>
        </w:rPr>
        <w:t>7.3</w:t>
      </w:r>
      <w:r>
        <w:rPr>
          <w:rFonts w:hint="eastAsia" w:asciiTheme="minorEastAsia" w:hAnsiTheme="minorEastAsia" w:eastAsiaTheme="minorEastAsia"/>
          <w:b/>
          <w:bCs/>
          <w:spacing w:val="15"/>
          <w:sz w:val="44"/>
          <w:szCs w:val="44"/>
        </w:rPr>
        <w:t>%</w:t>
      </w:r>
    </w:p>
    <w:p>
      <w:pPr>
        <w:widowControl/>
        <w:spacing w:line="480" w:lineRule="auto"/>
        <w:ind w:firstLine="620" w:firstLineChars="200"/>
        <w:rPr>
          <w:rFonts w:asciiTheme="minorEastAsia" w:hAnsiTheme="minorEastAsia" w:eastAsiaTheme="minorEastAsia"/>
          <w:bCs/>
          <w:spacing w:val="15"/>
          <w:sz w:val="28"/>
          <w:szCs w:val="28"/>
        </w:rPr>
      </w:pP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2023年1-</w:t>
      </w:r>
      <w:r>
        <w:rPr>
          <w:rFonts w:hint="eastAsia" w:cs="宋体" w:asciiTheme="minorEastAsia" w:hAnsiTheme="minorEastAsia" w:eastAsiaTheme="minorEastAsia"/>
          <w:kern w:val="0"/>
          <w:sz w:val="28"/>
          <w:szCs w:val="28"/>
          <w:highlight w:val="none"/>
          <w:lang w:val="en-US" w:eastAsia="zh-CN"/>
        </w:rPr>
        <w:t>12</w:t>
      </w:r>
      <w:r>
        <w:rPr>
          <w:rFonts w:hint="eastAsia" w:cs="宋体" w:asciiTheme="minorEastAsia" w:hAnsiTheme="minorEastAsia" w:eastAsiaTheme="minorEastAsia"/>
          <w:kern w:val="0"/>
          <w:sz w:val="28"/>
          <w:szCs w:val="28"/>
          <w:highlight w:val="none"/>
        </w:rPr>
        <w:t>月，朝阳区固定资产投资（不含农户）同比增长</w:t>
      </w:r>
      <w:r>
        <w:rPr>
          <w:rFonts w:hint="eastAsia" w:cs="宋体" w:asciiTheme="minorEastAsia" w:hAnsiTheme="minorEastAsia" w:eastAsiaTheme="minorEastAsia"/>
          <w:kern w:val="0"/>
          <w:sz w:val="28"/>
          <w:szCs w:val="28"/>
          <w:highlight w:val="none"/>
          <w:lang w:val="en-US" w:eastAsia="zh-CN"/>
        </w:rPr>
        <w:t>7.3</w:t>
      </w:r>
      <w:r>
        <w:rPr>
          <w:rFonts w:hint="eastAsia" w:cs="宋体" w:asciiTheme="minorEastAsia" w:hAnsiTheme="minorEastAsia" w:eastAsiaTheme="minorEastAsia"/>
          <w:kern w:val="0"/>
          <w:sz w:val="28"/>
          <w:szCs w:val="28"/>
          <w:highlight w:val="none"/>
        </w:rPr>
        <w:t>%,其中，房地产开发投资同比增长</w:t>
      </w:r>
      <w:r>
        <w:rPr>
          <w:rFonts w:hint="eastAsia" w:cs="宋体" w:asciiTheme="minorEastAsia" w:hAnsiTheme="minorEastAsia" w:eastAsiaTheme="minorEastAsia"/>
          <w:kern w:val="0"/>
          <w:sz w:val="28"/>
          <w:szCs w:val="28"/>
          <w:highlight w:val="none"/>
          <w:lang w:val="en-US" w:eastAsia="zh-CN"/>
        </w:rPr>
        <w:t>20.9</w:t>
      </w:r>
      <w:r>
        <w:rPr>
          <w:rFonts w:hint="eastAsia" w:cs="宋体" w:asciiTheme="minorEastAsia" w:hAnsiTheme="minorEastAsia" w:eastAsiaTheme="minorEastAsia"/>
          <w:kern w:val="0"/>
          <w:sz w:val="28"/>
          <w:szCs w:val="28"/>
          <w:highlight w:val="none"/>
        </w:rPr>
        <w:t>%。</w:t>
      </w: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12</w:t>
      </w:r>
      <w:r>
        <w:rPr>
          <w:rFonts w:hint="eastAsia" w:cs="宋体" w:asciiTheme="minorEastAsia" w:hAnsiTheme="minorEastAsia" w:eastAsiaTheme="minorEastAsia"/>
          <w:kern w:val="0"/>
          <w:sz w:val="28"/>
          <w:szCs w:val="28"/>
          <w:highlight w:val="none"/>
        </w:rPr>
        <w:t>月，朝阳区建安投资同比增长</w:t>
      </w:r>
      <w:r>
        <w:rPr>
          <w:rFonts w:hint="eastAsia" w:cs="宋体" w:asciiTheme="minorEastAsia" w:hAnsiTheme="minorEastAsia" w:eastAsiaTheme="minorEastAsia"/>
          <w:kern w:val="0"/>
          <w:sz w:val="28"/>
          <w:szCs w:val="28"/>
          <w:highlight w:val="none"/>
          <w:lang w:val="en-US" w:eastAsia="zh-CN"/>
        </w:rPr>
        <w:t>1.1</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11</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val="en-US" w:eastAsia="zh-CN"/>
        </w:rPr>
        <w:t>回落3.5</w:t>
      </w:r>
      <w:r>
        <w:rPr>
          <w:rFonts w:hint="eastAsia" w:cs="宋体" w:asciiTheme="minorEastAsia" w:hAnsiTheme="minorEastAsia" w:eastAsiaTheme="minorEastAsia"/>
          <w:kern w:val="0"/>
          <w:sz w:val="28"/>
          <w:szCs w:val="28"/>
          <w:highlight w:val="none"/>
        </w:rPr>
        <w:t>个百分点。</w:t>
      </w:r>
    </w:p>
    <w:p>
      <w:pPr>
        <w:widowControl/>
        <w:spacing w:line="480" w:lineRule="auto"/>
        <w:ind w:firstLine="560" w:firstLineChars="200"/>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12</w:t>
      </w:r>
      <w:r>
        <w:rPr>
          <w:rFonts w:hint="eastAsia" w:cs="宋体" w:asciiTheme="minorEastAsia" w:hAnsiTheme="minorEastAsia" w:eastAsiaTheme="minorEastAsia"/>
          <w:kern w:val="0"/>
          <w:sz w:val="28"/>
          <w:szCs w:val="28"/>
          <w:highlight w:val="none"/>
        </w:rPr>
        <w:t>月，朝阳区民间固定资产投资同比</w:t>
      </w:r>
      <w:r>
        <w:rPr>
          <w:rFonts w:hint="eastAsia" w:cs="宋体" w:asciiTheme="minorEastAsia" w:hAnsiTheme="minorEastAsia" w:eastAsiaTheme="minorEastAsia"/>
          <w:kern w:val="0"/>
          <w:sz w:val="28"/>
          <w:szCs w:val="28"/>
          <w:highlight w:val="none"/>
          <w:lang w:val="en-US" w:eastAsia="zh-CN"/>
        </w:rPr>
        <w:t>下降2.2</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11</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val="en-US" w:eastAsia="zh-CN"/>
        </w:rPr>
        <w:t>提升1.3</w:t>
      </w:r>
      <w:r>
        <w:rPr>
          <w:rFonts w:hint="eastAsia" w:cs="宋体" w:asciiTheme="minorEastAsia" w:hAnsiTheme="minorEastAsia" w:eastAsiaTheme="minorEastAsia"/>
          <w:kern w:val="0"/>
          <w:sz w:val="28"/>
          <w:szCs w:val="28"/>
          <w:highlight w:val="none"/>
        </w:rPr>
        <w:t>个百分点。</w:t>
      </w:r>
      <w:bookmarkStart w:id="0" w:name="_GoBack"/>
      <w:bookmarkEnd w:id="0"/>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图　2022年1-</w:t>
      </w:r>
      <w:r>
        <w:rPr>
          <w:rFonts w:hint="eastAsia" w:ascii="宋体" w:hAnsi="宋体" w:cs="宋体"/>
          <w:b/>
          <w:bCs/>
          <w:kern w:val="0"/>
          <w:sz w:val="28"/>
          <w:szCs w:val="28"/>
          <w:lang w:val="en-US" w:eastAsia="zh-CN"/>
        </w:rPr>
        <w:t>2</w:t>
      </w:r>
      <w:r>
        <w:rPr>
          <w:rFonts w:hint="eastAsia" w:ascii="宋体" w:hAnsi="宋体" w:cs="宋体"/>
          <w:b/>
          <w:bCs/>
          <w:kern w:val="0"/>
          <w:sz w:val="28"/>
          <w:szCs w:val="28"/>
        </w:rPr>
        <w:t>月至2023年1-</w:t>
      </w:r>
      <w:r>
        <w:rPr>
          <w:rFonts w:hint="eastAsia" w:ascii="宋体" w:hAnsi="宋体" w:cs="宋体"/>
          <w:b/>
          <w:bCs/>
          <w:kern w:val="0"/>
          <w:sz w:val="28"/>
          <w:szCs w:val="28"/>
          <w:lang w:val="en-US" w:eastAsia="zh-CN"/>
        </w:rPr>
        <w:t>12</w:t>
      </w:r>
      <w:r>
        <w:rPr>
          <w:rFonts w:hint="eastAsia" w:ascii="宋体" w:hAnsi="宋体" w:cs="宋体"/>
          <w:b/>
          <w:bCs/>
          <w:kern w:val="0"/>
          <w:sz w:val="28"/>
          <w:szCs w:val="28"/>
        </w:rPr>
        <w:t>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pPr>
      <w:r>
        <w:drawing>
          <wp:inline distT="0" distB="0" distL="114300" distR="114300">
            <wp:extent cx="5271770" cy="2892425"/>
            <wp:effectExtent l="0" t="0" r="11430" b="317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480" w:lineRule="auto"/>
      </w:pPr>
    </w:p>
    <w:p>
      <w:pPr>
        <w:spacing w:line="480" w:lineRule="auto"/>
      </w:pPr>
    </w:p>
    <w:p>
      <w:pPr>
        <w:spacing w:line="480" w:lineRule="auto"/>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6E50FC7"/>
    <w:rsid w:val="06EE088C"/>
    <w:rsid w:val="076B0C07"/>
    <w:rsid w:val="091E0411"/>
    <w:rsid w:val="09B856A2"/>
    <w:rsid w:val="0CCD4FB2"/>
    <w:rsid w:val="0F371CB7"/>
    <w:rsid w:val="0FD365D4"/>
    <w:rsid w:val="10673459"/>
    <w:rsid w:val="178D2071"/>
    <w:rsid w:val="1ACF7F10"/>
    <w:rsid w:val="1C70425F"/>
    <w:rsid w:val="1C763C9D"/>
    <w:rsid w:val="1DB46787"/>
    <w:rsid w:val="1EA71EC4"/>
    <w:rsid w:val="20874380"/>
    <w:rsid w:val="212B16CD"/>
    <w:rsid w:val="22AC1615"/>
    <w:rsid w:val="234852A8"/>
    <w:rsid w:val="26390EFC"/>
    <w:rsid w:val="26F45322"/>
    <w:rsid w:val="276D7C49"/>
    <w:rsid w:val="27814AA5"/>
    <w:rsid w:val="27A32BF1"/>
    <w:rsid w:val="2A2B16AF"/>
    <w:rsid w:val="2B3204C7"/>
    <w:rsid w:val="2B360A92"/>
    <w:rsid w:val="2CE27C2F"/>
    <w:rsid w:val="2E703BCB"/>
    <w:rsid w:val="2F010E0A"/>
    <w:rsid w:val="31F0151C"/>
    <w:rsid w:val="335743B8"/>
    <w:rsid w:val="37C76774"/>
    <w:rsid w:val="3C0C2124"/>
    <w:rsid w:val="3D0633AF"/>
    <w:rsid w:val="3D5309E9"/>
    <w:rsid w:val="3EA60348"/>
    <w:rsid w:val="40F20FA9"/>
    <w:rsid w:val="40FD0042"/>
    <w:rsid w:val="448775FA"/>
    <w:rsid w:val="44AE0841"/>
    <w:rsid w:val="450768A0"/>
    <w:rsid w:val="45A44DB2"/>
    <w:rsid w:val="461F3F8F"/>
    <w:rsid w:val="463067D1"/>
    <w:rsid w:val="471D1B55"/>
    <w:rsid w:val="4A476575"/>
    <w:rsid w:val="56197D41"/>
    <w:rsid w:val="57784D4C"/>
    <w:rsid w:val="57B14369"/>
    <w:rsid w:val="5ADE6C53"/>
    <w:rsid w:val="5F2806A9"/>
    <w:rsid w:val="611B659E"/>
    <w:rsid w:val="61797581"/>
    <w:rsid w:val="656B1C33"/>
    <w:rsid w:val="659A02DC"/>
    <w:rsid w:val="659D6111"/>
    <w:rsid w:val="661B1450"/>
    <w:rsid w:val="6D556999"/>
    <w:rsid w:val="6DFE0A82"/>
    <w:rsid w:val="71AA3994"/>
    <w:rsid w:val="71C139DD"/>
    <w:rsid w:val="72181971"/>
    <w:rsid w:val="72FA7A51"/>
    <w:rsid w:val="732B026E"/>
    <w:rsid w:val="738A3D86"/>
    <w:rsid w:val="786C59A3"/>
    <w:rsid w:val="792E2702"/>
    <w:rsid w:val="7B387F52"/>
    <w:rsid w:val="7DBF69FB"/>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4"/>
    <w:qFormat/>
    <w:uiPriority w:val="99"/>
    <w:rPr>
      <w:kern w:val="2"/>
      <w:sz w:val="18"/>
      <w:szCs w:val="18"/>
    </w:rPr>
  </w:style>
  <w:style w:type="character" w:customStyle="1" w:styleId="10">
    <w:name w:val="页脚 字符"/>
    <w:link w:val="3"/>
    <w:qFormat/>
    <w:uiPriority w:val="99"/>
    <w:rPr>
      <w:kern w:val="2"/>
      <w:sz w:val="18"/>
      <w:szCs w:val="18"/>
    </w:r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2463;&#27982;&#31185;\Desktop\1.22&#20132;\&#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24837011216142"/>
          <c:y val="0.0259745026298674"/>
          <c:w val="0.923019628461269"/>
          <c:h val="0.829524680073126"/>
        </c:manualLayout>
      </c:layout>
      <c:lineChart>
        <c:grouping val="standard"/>
        <c:varyColors val="0"/>
        <c:ser>
          <c:idx val="0"/>
          <c:order val="0"/>
          <c:dPt>
            <c:idx val="0"/>
            <c:bubble3D val="0"/>
            <c:spPr>
              <a:ln w="28575" cap="rnd" cmpd="sng" algn="ctr">
                <a:solidFill>
                  <a:schemeClr val="accent1"/>
                </a:solidFill>
                <a:prstDash val="solid"/>
                <a:round/>
              </a:ln>
            </c:spPr>
          </c:dPt>
          <c:dPt>
            <c:idx val="1"/>
            <c:bubble3D val="0"/>
            <c:spPr>
              <a:ln w="28575" cap="rnd" cmpd="sng" algn="ctr">
                <a:solidFill>
                  <a:schemeClr val="accent1"/>
                </a:solidFill>
                <a:prstDash val="solid"/>
                <a:round/>
              </a:ln>
            </c:spPr>
          </c:dPt>
          <c:dPt>
            <c:idx val="2"/>
            <c:bubble3D val="0"/>
            <c:spPr>
              <a:ln w="28575" cap="rnd" cmpd="sng" algn="ctr">
                <a:solidFill>
                  <a:schemeClr val="accent1">
                    <a:shade val="95000"/>
                    <a:satMod val="105000"/>
                  </a:schemeClr>
                </a:solidFill>
                <a:prstDash val="solid"/>
                <a:round/>
              </a:ln>
              <a:sp3d contourW="28575"/>
            </c:spPr>
          </c:dPt>
          <c:dPt>
            <c:idx val="3"/>
            <c:bubble3D val="0"/>
            <c:spPr>
              <a:ln w="28575" cap="rnd" cmpd="sng" algn="ctr">
                <a:solidFill>
                  <a:schemeClr val="accent1"/>
                </a:solidFill>
                <a:prstDash val="solid"/>
                <a:round/>
              </a:ln>
            </c:spPr>
          </c:dPt>
          <c:dPt>
            <c:idx val="4"/>
            <c:bubble3D val="0"/>
            <c:spPr>
              <a:ln w="28575" cap="rnd" cmpd="sng" algn="ctr">
                <a:solidFill>
                  <a:schemeClr val="accent1"/>
                </a:solidFill>
                <a:prstDash val="solid"/>
                <a:round/>
              </a:ln>
            </c:spPr>
          </c:dPt>
          <c:dPt>
            <c:idx val="5"/>
            <c:bubble3D val="0"/>
            <c:spPr>
              <a:ln w="28575" cap="rnd" cmpd="sng" algn="ctr">
                <a:solidFill>
                  <a:schemeClr val="accent1"/>
                </a:solidFill>
                <a:prstDash val="solid"/>
                <a:round/>
              </a:ln>
            </c:spPr>
          </c:dPt>
          <c:dPt>
            <c:idx val="6"/>
            <c:bubble3D val="0"/>
            <c:spPr>
              <a:ln w="28575" cap="rnd" cmpd="sng" algn="ctr">
                <a:solidFill>
                  <a:schemeClr val="accent1"/>
                </a:solidFill>
                <a:prstDash val="solid"/>
                <a:round/>
              </a:ln>
            </c:spPr>
          </c:dPt>
          <c:dPt>
            <c:idx val="7"/>
            <c:bubble3D val="0"/>
            <c:spPr>
              <a:ln w="28575" cap="rnd" cmpd="sng" algn="ctr">
                <a:solidFill>
                  <a:schemeClr val="accent1">
                    <a:shade val="95000"/>
                    <a:satMod val="105000"/>
                  </a:schemeClr>
                </a:solidFill>
                <a:prstDash val="solid"/>
                <a:round/>
              </a:ln>
            </c:spPr>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dPt>
          <c:dPt>
            <c:idx val="9"/>
            <c:bubble3D val="0"/>
            <c:spPr>
              <a:ln w="28575" cap="rnd" cmpd="sng" algn="ctr">
                <a:solidFill>
                  <a:schemeClr val="accent1"/>
                </a:solidFill>
                <a:prstDash val="solid"/>
                <a:round/>
              </a:ln>
              <a:sp3d contourW="28575"/>
            </c:spPr>
          </c:dPt>
          <c:dPt>
            <c:idx val="10"/>
            <c:bubble3D val="0"/>
            <c:spPr>
              <a:ln w="28575" cap="rnd" cmpd="sng" algn="ctr">
                <a:solidFill>
                  <a:schemeClr val="accent1">
                    <a:shade val="95000"/>
                    <a:satMod val="105000"/>
                  </a:schemeClr>
                </a:solidFill>
                <a:prstDash val="solid"/>
                <a:round/>
              </a:ln>
              <a:sp3d contourW="28575"/>
            </c:spPr>
          </c:dPt>
          <c:dPt>
            <c:idx val="11"/>
            <c:bubble3D val="0"/>
            <c:spPr>
              <a:ln w="28575" cap="rnd" cmpd="sng" algn="ctr">
                <a:solidFill>
                  <a:schemeClr val="accent1">
                    <a:shade val="95000"/>
                    <a:satMod val="105000"/>
                  </a:schemeClr>
                </a:solidFill>
                <a:prstDash val="solid"/>
                <a:round/>
              </a:ln>
              <a:sp3d contourW="28575"/>
            </c:spPr>
          </c:dPt>
          <c:dLbls>
            <c:dLbl>
              <c:idx val="13"/>
              <c:layout>
                <c:manualLayout>
                  <c:x val="-0.0829920501084076"/>
                  <c:y val="-0.034028540065861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4541074439894"/>
                  <c:y val="0.053567508232711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321609250782944"/>
                  <c:y val="-0.043907793633369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227655986509275"/>
                  <c:y val="-0.041492864983534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0161406889906047"/>
                  <c:y val="-0.024368825466520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0"/>
              <c:layout>
                <c:manualLayout>
                  <c:x val="-0.0709467598169116"/>
                  <c:y val="0.01207464324917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[图表1.xlsx]全社会固定资产投资!$B$73:$C$94</c:f>
              <c:multiLvlStrCache>
                <c:ptCount val="22"/>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pt idx="20">
                    <c:v>1-11月</c:v>
                  </c:pt>
                  <c:pt idx="21">
                    <c:v>1-12月</c:v>
                  </c:pt>
                </c:lvl>
                <c:lvl>
                  <c:pt idx="0">
                    <c:v>2022年</c:v>
                  </c:pt>
                  <c:pt idx="11">
                    <c:v>2023年</c:v>
                  </c:pt>
                </c:lvl>
              </c:multiLvlStrCache>
            </c:multiLvlStrRef>
          </c:cat>
          <c:val>
            <c:numRef>
              <c:f>[图表1.xlsx]全社会固定资产投资!$D$73:$D$94</c:f>
              <c:numCache>
                <c:formatCode>0.0_ </c:formatCode>
                <c:ptCount val="22"/>
                <c:pt idx="0">
                  <c:v>8.9</c:v>
                </c:pt>
                <c:pt idx="1">
                  <c:v>12.8</c:v>
                </c:pt>
                <c:pt idx="2">
                  <c:v>11.3</c:v>
                </c:pt>
                <c:pt idx="3">
                  <c:v>7.5</c:v>
                </c:pt>
                <c:pt idx="4">
                  <c:v>10.1</c:v>
                </c:pt>
                <c:pt idx="5">
                  <c:v>11.4</c:v>
                </c:pt>
                <c:pt idx="6">
                  <c:v>14.1</c:v>
                </c:pt>
                <c:pt idx="7" c:formatCode="General">
                  <c:v>18.4</c:v>
                </c:pt>
                <c:pt idx="8">
                  <c:v>14.1</c:v>
                </c:pt>
                <c:pt idx="9">
                  <c:v>16.7</c:v>
                </c:pt>
                <c:pt idx="10">
                  <c:v>13</c:v>
                </c:pt>
                <c:pt idx="11">
                  <c:v>1.4</c:v>
                </c:pt>
                <c:pt idx="12">
                  <c:v>11.7657364819452</c:v>
                </c:pt>
                <c:pt idx="13">
                  <c:v>16.8</c:v>
                </c:pt>
                <c:pt idx="14">
                  <c:v>28.3</c:v>
                </c:pt>
                <c:pt idx="15">
                  <c:v>15.0760967780876</c:v>
                </c:pt>
                <c:pt idx="16">
                  <c:v>15.1711987008508</c:v>
                </c:pt>
                <c:pt idx="17">
                  <c:v>13.8113710412996</c:v>
                </c:pt>
                <c:pt idx="18">
                  <c:v>12.6</c:v>
                </c:pt>
                <c:pt idx="19">
                  <c:v>11.9</c:v>
                </c:pt>
                <c:pt idx="20">
                  <c:v>7</c:v>
                </c:pt>
                <c:pt idx="21">
                  <c:v>7.3</c:v>
                </c:pt>
              </c:numCache>
            </c:numRef>
          </c:val>
          <c:smooth val="0"/>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TotalTime>0</TotalTime>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闫菲</cp:lastModifiedBy>
  <cp:lastPrinted>2022-06-16T06:30:00Z</cp:lastPrinted>
  <dcterms:modified xsi:type="dcterms:W3CDTF">2024-01-23T02:02:22Z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