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r>
        <w:rPr>
          <w:rFonts w:hint="eastAsia" w:ascii="黑体" w:hAnsi="黑体" w:eastAsia="黑体"/>
          <w:sz w:val="32"/>
          <w:szCs w:val="32"/>
        </w:rPr>
        <w:t>附件2</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ind w:firstLine="640" w:firstLineChars="200"/>
        <w:rPr>
          <w:rFonts w:ascii="仿宋" w:hAnsi="仿宋" w:eastAsia="仿宋"/>
          <w:bCs/>
          <w:sz w:val="32"/>
          <w:szCs w:val="32"/>
        </w:rPr>
      </w:pPr>
      <w:r>
        <w:rPr>
          <w:rFonts w:hint="eastAsia" w:ascii="仿宋" w:hAnsi="仿宋" w:eastAsia="仿宋"/>
          <w:bCs/>
          <w:sz w:val="32"/>
          <w:szCs w:val="32"/>
        </w:rPr>
        <w:t>左家庄街道党工委、办事处设置下列6个内设机构，分别为综合办公室、党群工作办公室、平安建设办公室(司法所)、城市管理办公室、社区建设办公室、民生保障办公室，所属二级单位3个，分别为左家庄街道便民服务中心、左家庄街道市民活动中心和左家庄街道市民诉求处置中心。执法机构为街道综合行政执法队。</w:t>
      </w:r>
    </w:p>
    <w:p>
      <w:pPr>
        <w:ind w:firstLine="640" w:firstLineChars="200"/>
        <w:rPr>
          <w:rFonts w:ascii="仿宋" w:hAnsi="仿宋" w:eastAsia="仿宋"/>
          <w:bCs/>
          <w:sz w:val="32"/>
          <w:szCs w:val="32"/>
        </w:rPr>
      </w:pPr>
      <w:r>
        <w:rPr>
          <w:rFonts w:hint="eastAsia" w:ascii="仿宋" w:hAnsi="仿宋" w:eastAsia="仿宋"/>
          <w:bCs/>
          <w:sz w:val="32"/>
          <w:szCs w:val="32"/>
        </w:rPr>
        <w:t>左家庄街道机关行政编制100名，实际</w:t>
      </w:r>
      <w:r>
        <w:rPr>
          <w:rFonts w:hint="eastAsia" w:ascii="仿宋" w:hAnsi="仿宋" w:eastAsia="仿宋"/>
          <w:bCs/>
          <w:sz w:val="32"/>
          <w:szCs w:val="32"/>
          <w:lang w:val="en-US" w:eastAsia="zh-CN"/>
        </w:rPr>
        <w:t>88</w:t>
      </w:r>
      <w:r>
        <w:rPr>
          <w:rFonts w:hint="eastAsia" w:ascii="仿宋" w:hAnsi="仿宋" w:eastAsia="仿宋"/>
          <w:bCs/>
          <w:sz w:val="32"/>
          <w:szCs w:val="32"/>
        </w:rPr>
        <w:t>人；事业编制49人，实际</w:t>
      </w:r>
      <w:r>
        <w:rPr>
          <w:rFonts w:hint="eastAsia" w:ascii="仿宋" w:hAnsi="仿宋" w:eastAsia="仿宋"/>
          <w:bCs/>
          <w:sz w:val="32"/>
          <w:szCs w:val="32"/>
          <w:lang w:val="en-US" w:eastAsia="zh-CN"/>
        </w:rPr>
        <w:t>43</w:t>
      </w:r>
      <w:r>
        <w:rPr>
          <w:rFonts w:hint="eastAsia" w:ascii="仿宋" w:hAnsi="仿宋" w:eastAsia="仿宋"/>
          <w:bCs/>
          <w:sz w:val="32"/>
          <w:szCs w:val="32"/>
        </w:rPr>
        <w:t>人。</w:t>
      </w:r>
    </w:p>
    <w:p>
      <w:pPr>
        <w:ind w:firstLine="640" w:firstLineChars="200"/>
        <w:rPr>
          <w:rFonts w:ascii="仿宋" w:hAnsi="仿宋" w:eastAsia="仿宋"/>
          <w:bCs/>
          <w:sz w:val="32"/>
          <w:szCs w:val="32"/>
        </w:rPr>
      </w:pPr>
      <w:r>
        <w:rPr>
          <w:rFonts w:hint="eastAsia" w:ascii="仿宋" w:hAnsi="仿宋" w:eastAsia="仿宋"/>
          <w:bCs/>
          <w:sz w:val="32"/>
          <w:szCs w:val="32"/>
        </w:rPr>
        <w:t>离退休人员108人，其中：离休0人，退休108人。</w:t>
      </w:r>
    </w:p>
    <w:p>
      <w:pPr>
        <w:spacing w:line="600" w:lineRule="exact"/>
        <w:ind w:firstLine="640" w:firstLineChars="200"/>
        <w:rPr>
          <w:rFonts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根据部门单位职能以及有关中长期发展规划，制定部门单位中长期绩效目标。在此基础上，按照年度重点工作任务和预算资金安排情况，明确部门单位年度绩效目标。同时经过部门单位的核心职能和年度目标任务应反复研究，横向和纵向对比，分析中长期绩效目标和年度绩效目标的可行性，整体绩效目标合理性较高。</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ind w:firstLine="640" w:firstLineChars="200"/>
        <w:rPr>
          <w:rFonts w:ascii="仿宋" w:hAnsi="仿宋" w:eastAsia="仿宋"/>
          <w:bCs/>
          <w:sz w:val="32"/>
          <w:szCs w:val="32"/>
        </w:rPr>
      </w:pPr>
      <w:r>
        <w:rPr>
          <w:rFonts w:hint="eastAsia" w:ascii="仿宋" w:hAnsi="仿宋" w:eastAsia="仿宋"/>
          <w:bCs/>
          <w:sz w:val="32"/>
          <w:szCs w:val="32"/>
        </w:rPr>
        <w:t>202</w:t>
      </w:r>
      <w:r>
        <w:rPr>
          <w:rFonts w:hint="eastAsia" w:ascii="仿宋" w:hAnsi="仿宋" w:eastAsia="仿宋"/>
          <w:bCs/>
          <w:sz w:val="32"/>
          <w:szCs w:val="32"/>
          <w:lang w:val="en-US" w:eastAsia="zh-CN"/>
        </w:rPr>
        <w:t>3</w:t>
      </w:r>
      <w:r>
        <w:rPr>
          <w:rFonts w:hint="eastAsia" w:ascii="仿宋" w:hAnsi="仿宋" w:eastAsia="仿宋"/>
          <w:bCs/>
          <w:sz w:val="32"/>
          <w:szCs w:val="32"/>
        </w:rPr>
        <w:t>年左家庄街道</w:t>
      </w:r>
      <w:r>
        <w:rPr>
          <w:rFonts w:hint="eastAsia" w:ascii="仿宋" w:hAnsi="仿宋" w:eastAsia="仿宋"/>
          <w:bCs/>
          <w:sz w:val="32"/>
          <w:szCs w:val="32"/>
          <w:lang w:eastAsia="zh-CN"/>
        </w:rPr>
        <w:t>办事处</w:t>
      </w:r>
      <w:r>
        <w:rPr>
          <w:rFonts w:hint="eastAsia" w:ascii="仿宋" w:hAnsi="仿宋" w:eastAsia="仿宋"/>
          <w:bCs/>
          <w:sz w:val="32"/>
          <w:szCs w:val="32"/>
        </w:rPr>
        <w:t>全年预算数</w:t>
      </w:r>
      <w:r>
        <w:rPr>
          <w:rFonts w:hint="eastAsia" w:ascii="仿宋" w:hAnsi="仿宋" w:eastAsia="仿宋"/>
          <w:bCs/>
          <w:sz w:val="32"/>
          <w:szCs w:val="32"/>
          <w:lang w:val="en-US" w:eastAsia="zh-CN"/>
        </w:rPr>
        <w:t>18345.81</w:t>
      </w:r>
      <w:r>
        <w:rPr>
          <w:rFonts w:hint="eastAsia" w:ascii="仿宋" w:hAnsi="仿宋" w:eastAsia="仿宋"/>
          <w:bCs/>
          <w:sz w:val="32"/>
          <w:szCs w:val="32"/>
        </w:rPr>
        <w:t>万元，其中基本支出预算数</w:t>
      </w:r>
      <w:r>
        <w:rPr>
          <w:rFonts w:hint="eastAsia" w:ascii="仿宋" w:hAnsi="仿宋" w:eastAsia="仿宋"/>
          <w:bCs/>
          <w:sz w:val="32"/>
          <w:szCs w:val="32"/>
          <w:lang w:val="en-US" w:eastAsia="zh-CN"/>
        </w:rPr>
        <w:t>4779.74</w:t>
      </w:r>
      <w:r>
        <w:rPr>
          <w:rFonts w:hint="eastAsia" w:ascii="仿宋" w:hAnsi="仿宋" w:eastAsia="仿宋"/>
          <w:bCs/>
          <w:sz w:val="32"/>
          <w:szCs w:val="32"/>
        </w:rPr>
        <w:t>万元，项目支出预算数</w:t>
      </w:r>
      <w:r>
        <w:rPr>
          <w:rFonts w:hint="eastAsia" w:ascii="仿宋" w:hAnsi="仿宋" w:eastAsia="仿宋"/>
          <w:bCs/>
          <w:sz w:val="32"/>
          <w:szCs w:val="32"/>
          <w:lang w:val="en-US" w:eastAsia="zh-CN"/>
        </w:rPr>
        <w:t>13566.06</w:t>
      </w:r>
      <w:r>
        <w:rPr>
          <w:rFonts w:hint="eastAsia" w:ascii="仿宋" w:hAnsi="仿宋" w:eastAsia="仿宋"/>
          <w:bCs/>
          <w:sz w:val="32"/>
          <w:szCs w:val="32"/>
        </w:rPr>
        <w:t>万元</w:t>
      </w:r>
      <w:r>
        <w:rPr>
          <w:rFonts w:hint="eastAsia" w:ascii="仿宋" w:hAnsi="仿宋" w:eastAsia="仿宋"/>
          <w:bCs/>
          <w:sz w:val="32"/>
          <w:szCs w:val="32"/>
          <w:lang w:eastAsia="zh-CN"/>
        </w:rPr>
        <w:t>，其中，项目支出年初预算数为</w:t>
      </w:r>
      <w:r>
        <w:rPr>
          <w:rFonts w:hint="eastAsia" w:ascii="仿宋" w:hAnsi="仿宋" w:eastAsia="仿宋"/>
          <w:bCs/>
          <w:sz w:val="32"/>
          <w:szCs w:val="32"/>
          <w:lang w:val="en-US" w:eastAsia="zh-CN"/>
        </w:rPr>
        <w:t>7406.94万元</w:t>
      </w:r>
      <w:r>
        <w:rPr>
          <w:rFonts w:hint="eastAsia" w:ascii="仿宋" w:hAnsi="仿宋" w:eastAsia="仿宋"/>
          <w:bCs/>
          <w:sz w:val="32"/>
          <w:szCs w:val="32"/>
          <w:lang w:eastAsia="zh-CN"/>
        </w:rPr>
        <w:t>，年中追加项目支出预算数为</w:t>
      </w:r>
      <w:r>
        <w:rPr>
          <w:rFonts w:hint="eastAsia" w:ascii="仿宋" w:hAnsi="仿宋" w:eastAsia="仿宋"/>
          <w:bCs/>
          <w:sz w:val="32"/>
          <w:szCs w:val="32"/>
          <w:lang w:val="en-US" w:eastAsia="zh-CN"/>
        </w:rPr>
        <w:t>6159.13</w:t>
      </w:r>
      <w:r>
        <w:rPr>
          <w:rFonts w:hint="eastAsia" w:ascii="仿宋" w:hAnsi="仿宋" w:eastAsia="仿宋"/>
          <w:bCs/>
          <w:sz w:val="32"/>
          <w:szCs w:val="32"/>
          <w:lang w:eastAsia="zh-CN"/>
        </w:rPr>
        <w:t>万元。</w:t>
      </w:r>
      <w:r>
        <w:rPr>
          <w:rFonts w:hint="eastAsia" w:ascii="仿宋" w:hAnsi="仿宋" w:eastAsia="仿宋"/>
          <w:bCs/>
          <w:sz w:val="32"/>
          <w:szCs w:val="32"/>
        </w:rPr>
        <w:t>截止202</w:t>
      </w:r>
      <w:r>
        <w:rPr>
          <w:rFonts w:hint="eastAsia" w:ascii="仿宋" w:hAnsi="仿宋" w:eastAsia="仿宋"/>
          <w:bCs/>
          <w:sz w:val="32"/>
          <w:szCs w:val="32"/>
          <w:lang w:val="en-US" w:eastAsia="zh-CN"/>
        </w:rPr>
        <w:t>3</w:t>
      </w:r>
      <w:r>
        <w:rPr>
          <w:rFonts w:hint="eastAsia" w:ascii="仿宋" w:hAnsi="仿宋" w:eastAsia="仿宋"/>
          <w:bCs/>
          <w:sz w:val="32"/>
          <w:szCs w:val="32"/>
        </w:rPr>
        <w:t>年12月底，预算执行率100%。</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ind w:firstLine="640" w:firstLineChars="200"/>
        <w:rPr>
          <w:rFonts w:ascii="仿宋" w:hAnsi="仿宋" w:eastAsia="仿宋"/>
          <w:bCs/>
          <w:sz w:val="32"/>
          <w:szCs w:val="32"/>
        </w:rPr>
      </w:pPr>
      <w:r>
        <w:rPr>
          <w:rFonts w:hint="eastAsia" w:ascii="仿宋" w:hAnsi="仿宋" w:eastAsia="仿宋"/>
          <w:bCs/>
          <w:sz w:val="32"/>
          <w:szCs w:val="32"/>
        </w:rPr>
        <w:t>左家庄街道办事处的部门绩效目标是：1、疏解整治促提升专项行动工作。拆除违法建设、整治占道经营点、取缔无证无照餐饮单位、完成劳动保障监察。2、保障地区绿化保洁，创建城市优美环境。3、推进背街小巷环境整治提升工程。以管理建立长效机制，以优美大街、环境提升工程打造街区景观，以全要素小区形成社区品牌，以点带面，全面提升街区综合功能和环境品质。</w:t>
      </w:r>
    </w:p>
    <w:p>
      <w:pPr>
        <w:pStyle w:val="9"/>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产出数量</w:t>
      </w:r>
    </w:p>
    <w:p>
      <w:pPr>
        <w:ind w:firstLine="640" w:firstLineChars="200"/>
        <w:rPr>
          <w:rFonts w:ascii="仿宋" w:hAnsi="仿宋" w:eastAsia="仿宋"/>
          <w:bCs/>
          <w:sz w:val="32"/>
          <w:szCs w:val="32"/>
        </w:rPr>
      </w:pPr>
      <w:r>
        <w:rPr>
          <w:rFonts w:hint="eastAsia" w:ascii="仿宋" w:hAnsi="仿宋" w:eastAsia="仿宋"/>
          <w:bCs/>
          <w:sz w:val="32"/>
          <w:szCs w:val="32"/>
        </w:rPr>
        <w:t>以公益事业经费为例，保障辖区11个社区工作人员工资、公用支出，用于社区各方面的公益事业支出，保持社区机构年度内正常运转，吸引和带动社区居民参与各类公益活动和社区建设，提升群众幸福感。</w:t>
      </w:r>
    </w:p>
    <w:p>
      <w:pPr>
        <w:pStyle w:val="9"/>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质量</w:t>
      </w:r>
    </w:p>
    <w:p>
      <w:pPr>
        <w:ind w:firstLine="640" w:firstLineChars="200"/>
        <w:rPr>
          <w:rFonts w:ascii="仿宋" w:hAnsi="仿宋" w:eastAsia="仿宋"/>
          <w:bCs/>
          <w:sz w:val="32"/>
          <w:szCs w:val="32"/>
        </w:rPr>
      </w:pPr>
      <w:r>
        <w:rPr>
          <w:rFonts w:hint="eastAsia" w:ascii="仿宋" w:hAnsi="仿宋" w:eastAsia="仿宋"/>
          <w:bCs/>
          <w:sz w:val="32"/>
          <w:szCs w:val="32"/>
        </w:rPr>
        <w:t>以和谐促进员工作经费为例，整合和优化社区各类资源，保障和谐促进员的工作开展，调动群众参与社区各项建设。项目质量同时也保证对建设社会主义和谐社区、和谐街道，为社区等各方面的事务提供支持。</w:t>
      </w:r>
    </w:p>
    <w:p>
      <w:pPr>
        <w:pStyle w:val="9"/>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进度</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以社区工作者工会经费为例，支持</w:t>
      </w:r>
      <w:r>
        <w:rPr>
          <w:rFonts w:hint="eastAsia" w:ascii="仿宋" w:hAnsi="仿宋" w:eastAsia="仿宋"/>
          <w:bCs/>
          <w:sz w:val="32"/>
          <w:szCs w:val="32"/>
        </w:rPr>
        <w:tab/>
      </w:r>
      <w:r>
        <w:rPr>
          <w:rFonts w:hint="eastAsia" w:ascii="仿宋" w:hAnsi="仿宋" w:eastAsia="仿宋"/>
          <w:bCs/>
          <w:sz w:val="32"/>
          <w:szCs w:val="32"/>
        </w:rPr>
        <w:t>社区工作者活动和事业方面、工会建设方面和工会行政工作方面，覆盖202</w:t>
      </w:r>
      <w:r>
        <w:rPr>
          <w:rFonts w:hint="eastAsia" w:ascii="仿宋" w:hAnsi="仿宋" w:eastAsia="仿宋"/>
          <w:bCs/>
          <w:sz w:val="32"/>
          <w:szCs w:val="32"/>
          <w:lang w:val="en-US" w:eastAsia="zh-CN"/>
        </w:rPr>
        <w:t>3</w:t>
      </w:r>
      <w:r>
        <w:rPr>
          <w:rFonts w:hint="eastAsia" w:ascii="仿宋" w:hAnsi="仿宋" w:eastAsia="仿宋"/>
          <w:bCs/>
          <w:sz w:val="32"/>
          <w:szCs w:val="32"/>
        </w:rPr>
        <w:t>年全年，能够保证相关人员办公的即时需要。</w:t>
      </w:r>
    </w:p>
    <w:p>
      <w:pPr>
        <w:pStyle w:val="9"/>
        <w:numPr>
          <w:ilvl w:val="0"/>
          <w:numId w:val="1"/>
        </w:numPr>
        <w:spacing w:line="600" w:lineRule="exact"/>
        <w:ind w:firstLineChars="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firstLine="640" w:firstLineChars="200"/>
        <w:rPr>
          <w:rFonts w:ascii="仿宋" w:hAnsi="仿宋" w:eastAsia="仿宋"/>
          <w:bCs/>
          <w:sz w:val="32"/>
          <w:szCs w:val="32"/>
        </w:rPr>
      </w:pPr>
      <w:r>
        <w:rPr>
          <w:rFonts w:hint="eastAsia" w:ascii="仿宋" w:hAnsi="仿宋" w:eastAsia="仿宋"/>
          <w:bCs/>
          <w:sz w:val="32"/>
          <w:szCs w:val="32"/>
        </w:rPr>
        <w:t>各项项目产出成本，均按照项目预算金额进行执行，严格按照项目资金管理办法规定，实行专款专用。</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widowControl/>
        <w:spacing w:line="360" w:lineRule="auto"/>
        <w:ind w:firstLine="640" w:firstLineChars="200"/>
        <w:rPr>
          <w:rFonts w:ascii="仿宋" w:hAnsi="仿宋" w:eastAsia="仿宋"/>
          <w:bCs/>
          <w:sz w:val="32"/>
          <w:szCs w:val="32"/>
        </w:rPr>
      </w:pPr>
      <w:r>
        <w:rPr>
          <w:rFonts w:hint="eastAsia" w:ascii="仿宋" w:hAnsi="仿宋" w:eastAsia="仿宋"/>
          <w:bCs/>
          <w:sz w:val="32"/>
          <w:szCs w:val="32"/>
        </w:rPr>
        <w:t>各项目的</w:t>
      </w:r>
      <w:r>
        <w:rPr>
          <w:rFonts w:ascii="仿宋" w:hAnsi="仿宋" w:eastAsia="仿宋"/>
          <w:bCs/>
          <w:sz w:val="32"/>
          <w:szCs w:val="32"/>
        </w:rPr>
        <w:t>经济效益</w:t>
      </w:r>
      <w:r>
        <w:rPr>
          <w:rFonts w:hint="eastAsia" w:ascii="仿宋" w:hAnsi="仿宋" w:eastAsia="仿宋"/>
          <w:bCs/>
          <w:sz w:val="32"/>
          <w:szCs w:val="32"/>
        </w:rPr>
        <w:t>主要是</w:t>
      </w:r>
      <w:r>
        <w:rPr>
          <w:rFonts w:ascii="仿宋" w:hAnsi="仿宋" w:eastAsia="仿宋"/>
          <w:bCs/>
          <w:sz w:val="32"/>
          <w:szCs w:val="32"/>
        </w:rPr>
        <w:t>促进地方经济发展、促进社会进步</w:t>
      </w:r>
      <w:r>
        <w:rPr>
          <w:rFonts w:hint="eastAsia" w:ascii="仿宋" w:hAnsi="仿宋" w:eastAsia="仿宋"/>
          <w:bCs/>
          <w:sz w:val="32"/>
          <w:szCs w:val="32"/>
        </w:rPr>
        <w:t>。如民生家园项目，主要开展环境卫生管理；营造干净、整洁、有序的卫生环境；做好12345、网格案件及环境提升等应急保障，</w:t>
      </w:r>
      <w:r>
        <w:rPr>
          <w:rFonts w:ascii="仿宋" w:hAnsi="仿宋" w:eastAsia="仿宋"/>
          <w:bCs/>
          <w:sz w:val="32"/>
          <w:szCs w:val="32"/>
        </w:rPr>
        <w:t>对</w:t>
      </w:r>
      <w:r>
        <w:rPr>
          <w:rFonts w:hint="eastAsia" w:ascii="仿宋" w:hAnsi="仿宋" w:eastAsia="仿宋"/>
          <w:bCs/>
          <w:sz w:val="32"/>
          <w:szCs w:val="32"/>
        </w:rPr>
        <w:t>辖区发展起到了</w:t>
      </w:r>
      <w:r>
        <w:rPr>
          <w:rFonts w:ascii="仿宋" w:hAnsi="仿宋" w:eastAsia="仿宋"/>
          <w:bCs/>
          <w:sz w:val="32"/>
          <w:szCs w:val="32"/>
        </w:rPr>
        <w:t>带动作用、对同行业的引导、就业等方面</w:t>
      </w:r>
      <w:r>
        <w:rPr>
          <w:rFonts w:hint="eastAsia" w:ascii="仿宋" w:hAnsi="仿宋" w:eastAsia="仿宋"/>
          <w:bCs/>
          <w:sz w:val="32"/>
          <w:szCs w:val="32"/>
        </w:rPr>
        <w:t>也有进一步提升</w:t>
      </w:r>
      <w:r>
        <w:rPr>
          <w:rFonts w:ascii="仿宋" w:hAnsi="仿宋" w:eastAsia="仿宋"/>
          <w:bCs/>
          <w:sz w:val="32"/>
          <w:szCs w:val="32"/>
        </w:rPr>
        <w:t>。</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各项目的完成在</w:t>
      </w:r>
      <w:r>
        <w:rPr>
          <w:rFonts w:ascii="仿宋" w:hAnsi="仿宋" w:eastAsia="仿宋"/>
          <w:bCs/>
          <w:sz w:val="32"/>
          <w:szCs w:val="32"/>
        </w:rPr>
        <w:t>社会效益</w:t>
      </w:r>
      <w:r>
        <w:rPr>
          <w:rFonts w:hint="eastAsia" w:ascii="仿宋" w:hAnsi="仿宋" w:eastAsia="仿宋"/>
          <w:bCs/>
          <w:sz w:val="32"/>
          <w:szCs w:val="32"/>
        </w:rPr>
        <w:t>方面，力求实现辖区的平稳安全，提高了人民生活水平。例如个人违规电动三、四轮车清理工作经费项目，</w:t>
      </w:r>
      <w:r>
        <w:rPr>
          <w:rFonts w:hint="eastAsia" w:ascii="仿宋" w:hAnsi="仿宋" w:eastAsia="仿宋"/>
          <w:bCs/>
          <w:sz w:val="32"/>
          <w:szCs w:val="32"/>
          <w:lang w:eastAsia="zh-CN"/>
        </w:rPr>
        <w:t>用于现存清理电动三、四轮车，优化小区、道路环境，规范道路秩序，提升道路安全</w:t>
      </w:r>
      <w:r>
        <w:rPr>
          <w:rFonts w:hint="eastAsia" w:ascii="仿宋" w:hAnsi="仿宋" w:eastAsia="仿宋"/>
          <w:bCs/>
          <w:sz w:val="32"/>
          <w:szCs w:val="32"/>
        </w:rPr>
        <w:t>，减少</w:t>
      </w:r>
      <w:r>
        <w:rPr>
          <w:rFonts w:hint="eastAsia" w:ascii="仿宋" w:hAnsi="仿宋" w:eastAsia="仿宋"/>
          <w:bCs/>
          <w:sz w:val="32"/>
          <w:szCs w:val="32"/>
          <w:lang w:eastAsia="zh-CN"/>
        </w:rPr>
        <w:t>交通</w:t>
      </w:r>
      <w:r>
        <w:rPr>
          <w:rFonts w:hint="eastAsia" w:ascii="仿宋" w:hAnsi="仿宋" w:eastAsia="仿宋"/>
          <w:bCs/>
          <w:sz w:val="32"/>
          <w:szCs w:val="32"/>
        </w:rPr>
        <w:t>问题</w:t>
      </w:r>
      <w:r>
        <w:rPr>
          <w:rFonts w:hint="eastAsia" w:ascii="仿宋" w:hAnsi="仿宋" w:eastAsia="仿宋"/>
          <w:bCs/>
          <w:sz w:val="32"/>
          <w:szCs w:val="32"/>
          <w:lang w:eastAsia="zh-CN"/>
        </w:rPr>
        <w:t>发生</w:t>
      </w:r>
      <w:r>
        <w:rPr>
          <w:rFonts w:hint="eastAsia" w:ascii="仿宋" w:hAnsi="仿宋" w:eastAsia="仿宋"/>
          <w:bCs/>
          <w:sz w:val="32"/>
          <w:szCs w:val="32"/>
        </w:rPr>
        <w:t>，整体社会效应明显。</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部分项目的完成在环境</w:t>
      </w:r>
      <w:r>
        <w:rPr>
          <w:rFonts w:ascii="仿宋" w:hAnsi="仿宋" w:eastAsia="仿宋"/>
          <w:bCs/>
          <w:sz w:val="32"/>
          <w:szCs w:val="32"/>
        </w:rPr>
        <w:t>效益</w:t>
      </w:r>
      <w:r>
        <w:rPr>
          <w:rFonts w:hint="eastAsia" w:ascii="仿宋" w:hAnsi="仿宋" w:eastAsia="仿宋"/>
          <w:bCs/>
          <w:sz w:val="32"/>
          <w:szCs w:val="32"/>
        </w:rPr>
        <w:t>方面，效果较为明显</w:t>
      </w:r>
      <w:r>
        <w:rPr>
          <w:rFonts w:ascii="仿宋" w:hAnsi="仿宋" w:eastAsia="仿宋"/>
          <w:bCs/>
          <w:sz w:val="32"/>
          <w:szCs w:val="32"/>
        </w:rPr>
        <w:t>。</w:t>
      </w:r>
      <w:r>
        <w:rPr>
          <w:rFonts w:hint="eastAsia" w:ascii="仿宋" w:hAnsi="仿宋" w:eastAsia="仿宋"/>
          <w:bCs/>
          <w:sz w:val="32"/>
          <w:szCs w:val="32"/>
        </w:rPr>
        <w:t>例如基本事业费，项目内容主要是进行日常保洁管理，绿化养护，保持辖区整体绿化、环境整洁，优化了辖区生活环境，而且稳步提升了辖区人民生活质量。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各项目的执行，都是以自然的、社会的、生态的、经济的为原则，确保环境质量和状态稳定、减少项目对环境产生的压力、全程衡量环境政策的实施状态，确保可持续发展。</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各项目的执行，主要是要求代表最广大人民群众的根本利益，为经济、社会发展服务。深入了解民意，贴近群众感受，真正做到项目为民所用、利益为民所谋。</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ind w:firstLine="640" w:firstLineChars="200"/>
      </w:pPr>
      <w:r>
        <w:rPr>
          <w:rFonts w:hint="eastAsia" w:ascii="仿宋_GB2312" w:hAnsi="仿宋" w:eastAsia="仿宋_GB2312" w:cs="Times New Roman"/>
          <w:kern w:val="2"/>
          <w:sz w:val="32"/>
          <w:szCs w:val="32"/>
          <w:highlight w:val="none"/>
          <w:u w:val="none"/>
          <w:lang w:val="en-US" w:eastAsia="zh-CN" w:bidi="ar-SA"/>
        </w:rPr>
        <w:t>办事处根据自身工作开展情况制定了预决算管理、预算绩效管理、收支管理、票据管理、专项资金管理、货币资金管理、公务卡管理、采购管理、政府购买服务管理、资产管理、合同管理等方面制度，各项制度相对健全，部门内部财务管理制度及会计核算制度基本完整、合规。</w:t>
      </w:r>
    </w:p>
    <w:p>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pPr>
        <w:ind w:firstLine="640" w:firstLineChars="200"/>
        <w:rPr>
          <w:rFonts w:hint="eastAsia" w:ascii="仿宋_GB2312" w:hAnsi="仿宋" w:eastAsia="仿宋_GB2312" w:cs="Times New Roman"/>
          <w:kern w:val="2"/>
          <w:sz w:val="32"/>
          <w:szCs w:val="32"/>
          <w:highlight w:val="none"/>
          <w:u w:val="none"/>
          <w:lang w:val="en-US" w:eastAsia="zh-CN" w:bidi="ar-SA"/>
        </w:rPr>
      </w:pPr>
      <w:r>
        <w:rPr>
          <w:rFonts w:hint="eastAsia" w:ascii="仿宋_GB2312" w:hAnsi="仿宋" w:eastAsia="仿宋_GB2312" w:cs="Times New Roman"/>
          <w:kern w:val="2"/>
          <w:sz w:val="32"/>
          <w:szCs w:val="32"/>
          <w:highlight w:val="none"/>
          <w:u w:val="none"/>
          <w:lang w:val="en-US" w:eastAsia="zh-CN" w:bidi="ar-SA"/>
        </w:rPr>
        <w:t>办事处各项资金使用严格按照国家财经法规和街道财务管理制度、收支管理办法规定以及有关专项资金管理办法的规定执行。</w:t>
      </w:r>
    </w:p>
    <w:p>
      <w:pPr>
        <w:pStyle w:val="2"/>
        <w:ind w:firstLine="560"/>
      </w:pPr>
      <w:r>
        <w:rPr>
          <w:rFonts w:hint="eastAsia" w:ascii="仿宋_GB2312" w:hAnsi="仿宋" w:eastAsia="仿宋_GB2312" w:cs="仿宋"/>
          <w:bCs/>
          <w:kern w:val="2"/>
          <w:sz w:val="32"/>
          <w:szCs w:val="32"/>
          <w:lang w:val="en-US" w:eastAsia="zh-CN" w:bidi="ar-SA"/>
        </w:rPr>
        <w:t>在2023年部门预算管理中，项目能够将厉行节约与部门预算管理相结合，从严从紧编制预算，严格控制“三公经费”等一般性支出，通过加大执行环节控制，提高预算资金使用的合规性和安全性，采取的方式方法有：一是严格按照部门预算批复执行，坚持统筹兼顾、指标控制、从严考核的原则，紧紧围绕部门发展需要确定基本支出和项目支出预算，严格执行专项资金管理制度，不挪用和挤占项目资金，确保资金使用安全。二是对属于政府采购项目的支出，严格履行政府采购程序，确保资金使用的安全性和合规性。</w:t>
      </w:r>
    </w:p>
    <w:p>
      <w:pPr>
        <w:numPr>
          <w:ilvl w:val="0"/>
          <w:numId w:val="2"/>
        </w:num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pStyle w:val="2"/>
        <w:numPr>
          <w:ilvl w:val="0"/>
          <w:numId w:val="0"/>
        </w:numPr>
        <w:ind w:firstLine="640" w:firstLineChars="200"/>
      </w:pPr>
      <w:r>
        <w:rPr>
          <w:rFonts w:hint="eastAsia" w:ascii="仿宋_GB2312" w:hAnsi="仿宋" w:eastAsia="仿宋_GB2312" w:cs="仿宋"/>
          <w:bCs/>
          <w:kern w:val="2"/>
          <w:sz w:val="32"/>
          <w:szCs w:val="32"/>
          <w:lang w:val="en-US" w:eastAsia="zh-CN" w:bidi="ar-SA"/>
        </w:rPr>
        <w:t>在内控制度建设的基础上，结合预算执行中发现的问题，能够进一步完善财务管理制度。同时，加强会计核算基本工作，保证会计资料准确、完整，部门基础信息管理较好。预算资金的使用与相关的预算财务管理制度相符，同时，符合国家财经法规和财务管理制度规定，以及有关专项资金管理办法的规定。</w:t>
      </w:r>
    </w:p>
    <w:p>
      <w:pPr>
        <w:numPr>
          <w:ilvl w:val="0"/>
          <w:numId w:val="3"/>
        </w:num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资产管理</w:t>
      </w:r>
    </w:p>
    <w:p>
      <w:pPr>
        <w:pStyle w:val="2"/>
        <w:numPr>
          <w:ilvl w:val="0"/>
          <w:numId w:val="0"/>
        </w:numPr>
        <w:ind w:firstLine="640" w:firstLineChars="200"/>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在资产管理工作中，按时完成部门资产动态系统的年度报告工作，严格按照资产配置标准配置资产，对不能正常使用并达到最高使用年限的资产进行报废处置。</w:t>
      </w:r>
    </w:p>
    <w:p>
      <w:pPr>
        <w:numPr>
          <w:ilvl w:val="0"/>
          <w:numId w:val="0"/>
        </w:numPr>
        <w:spacing w:line="240" w:lineRule="auto"/>
        <w:ind w:leftChars="0" w:firstLine="640" w:firstLineChars="200"/>
      </w:pPr>
      <w:r>
        <w:rPr>
          <w:rFonts w:hint="eastAsia" w:ascii="楷体_GB2312" w:eastAsia="楷体_GB2312"/>
          <w:sz w:val="32"/>
          <w:szCs w:val="32"/>
          <w:lang w:eastAsia="zh-CN"/>
        </w:rPr>
        <w:t>（三）</w:t>
      </w:r>
      <w:r>
        <w:rPr>
          <w:rFonts w:hint="eastAsia" w:ascii="楷体_GB2312" w:eastAsia="楷体_GB2312"/>
          <w:sz w:val="32"/>
          <w:szCs w:val="32"/>
        </w:rPr>
        <w:t>绩效</w:t>
      </w:r>
      <w:r>
        <w:rPr>
          <w:rFonts w:ascii="楷体_GB2312" w:eastAsia="楷体_GB2312"/>
          <w:sz w:val="32"/>
          <w:szCs w:val="32"/>
        </w:rPr>
        <w:t>管理</w:t>
      </w:r>
    </w:p>
    <w:p>
      <w:pPr>
        <w:numPr>
          <w:ilvl w:val="0"/>
          <w:numId w:val="0"/>
        </w:numPr>
        <w:spacing w:line="600" w:lineRule="exact"/>
        <w:ind w:firstLine="640" w:firstLineChars="200"/>
      </w:pPr>
      <w:r>
        <w:rPr>
          <w:rFonts w:hint="eastAsia" w:ascii="仿宋_GB2312" w:hAnsi="仿宋" w:eastAsia="仿宋_GB2312" w:cs="仿宋"/>
          <w:bCs/>
          <w:kern w:val="2"/>
          <w:sz w:val="32"/>
          <w:szCs w:val="32"/>
          <w:lang w:val="en-US" w:eastAsia="zh-CN" w:bidi="ar-SA"/>
        </w:rPr>
        <w:t>在项目管理方面，在项目实施过程中进行定期和不定期检查，对存在不规范的项目及时跟进处理，做到事前控制、事中监督、事后评价，通过规范业务流程，构筑内部监督管理体系。更加重视科学决策，进一步细化项目预算内容和规划目标，针对重点工作内容制定相关专项方案，加强项目可研、中长期计划对部门决策的引领和指导，为合理设定部门整体绩效目标、产出指标、精准编制预算提供可靠依据，服务对象对目前的政策补贴及保障措施等各个方面满意程度较高，满意度均超过了90%。</w:t>
      </w:r>
    </w:p>
    <w:p>
      <w:pPr>
        <w:numPr>
          <w:ilvl w:val="0"/>
          <w:numId w:val="0"/>
        </w:numPr>
        <w:spacing w:line="600" w:lineRule="exact"/>
        <w:ind w:leftChars="200" w:firstLine="320" w:firstLineChars="100"/>
        <w:rPr>
          <w:rFonts w:hint="eastAsia" w:ascii="楷体_GB2312" w:eastAsia="楷体_GB2312"/>
          <w:sz w:val="32"/>
          <w:szCs w:val="32"/>
        </w:rPr>
      </w:pPr>
      <w:r>
        <w:rPr>
          <w:rFonts w:hint="eastAsia" w:ascii="楷体_GB2312" w:eastAsia="楷体_GB2312"/>
          <w:sz w:val="32"/>
          <w:szCs w:val="32"/>
          <w:lang w:eastAsia="zh-CN"/>
        </w:rPr>
        <w:t>（四）</w:t>
      </w:r>
      <w:r>
        <w:rPr>
          <w:rFonts w:hint="eastAsia" w:ascii="楷体_GB2312" w:eastAsia="楷体_GB2312"/>
          <w:sz w:val="32"/>
          <w:szCs w:val="32"/>
        </w:rPr>
        <w:t>结转结余率</w:t>
      </w:r>
    </w:p>
    <w:p>
      <w:pPr>
        <w:pStyle w:val="2"/>
        <w:numPr>
          <w:ilvl w:val="0"/>
          <w:numId w:val="0"/>
        </w:numPr>
        <w:ind w:firstLine="640" w:firstLineChars="200"/>
        <w:jc w:val="left"/>
        <w:rPr>
          <w:rFonts w:hint="eastAsia" w:ascii="仿宋_GB2312" w:hAnsi="仿宋" w:eastAsia="仿宋_GB2312" w:cs="仿宋"/>
          <w:bCs/>
          <w:kern w:val="2"/>
          <w:sz w:val="32"/>
          <w:szCs w:val="32"/>
          <w:lang w:val="en-US" w:eastAsia="zh-CN" w:bidi="ar-SA"/>
        </w:rPr>
      </w:pPr>
      <w:r>
        <w:rPr>
          <w:rFonts w:hint="eastAsia" w:ascii="仿宋_GB2312" w:hAnsi="仿宋" w:eastAsia="仿宋_GB2312" w:cs="仿宋"/>
          <w:bCs/>
          <w:kern w:val="2"/>
          <w:sz w:val="32"/>
          <w:szCs w:val="32"/>
          <w:lang w:val="en-US" w:eastAsia="zh-CN" w:bidi="ar-SA"/>
        </w:rPr>
        <w:t>2023年我单位财政拨款年末结转结余为0元，</w:t>
      </w:r>
      <w:r>
        <w:rPr>
          <w:rFonts w:hint="eastAsia" w:ascii="楷体_GB2312" w:eastAsia="楷体_GB2312"/>
          <w:sz w:val="32"/>
          <w:szCs w:val="32"/>
        </w:rPr>
        <w:t>结转结余率</w:t>
      </w:r>
      <w:r>
        <w:rPr>
          <w:rFonts w:hint="eastAsia" w:ascii="楷体_GB2312" w:eastAsia="楷体_GB2312"/>
          <w:sz w:val="32"/>
          <w:szCs w:val="32"/>
          <w:lang w:eastAsia="zh-CN"/>
        </w:rPr>
        <w:t>为</w:t>
      </w:r>
      <w:r>
        <w:rPr>
          <w:rFonts w:hint="eastAsia" w:ascii="楷体_GB2312" w:eastAsia="楷体_GB2312"/>
          <w:sz w:val="32"/>
          <w:szCs w:val="32"/>
          <w:lang w:val="en-US" w:eastAsia="zh-CN"/>
        </w:rPr>
        <w:t>0%。</w:t>
      </w:r>
    </w:p>
    <w:p>
      <w:pPr>
        <w:numPr>
          <w:ilvl w:val="0"/>
          <w:numId w:val="0"/>
        </w:numPr>
        <w:spacing w:line="600" w:lineRule="exact"/>
        <w:ind w:leftChars="200" w:firstLine="320" w:firstLineChars="100"/>
        <w:rPr>
          <w:rFonts w:ascii="楷体_GB2312" w:eastAsia="楷体_GB2312"/>
          <w:sz w:val="32"/>
          <w:szCs w:val="32"/>
        </w:rPr>
      </w:pPr>
      <w:r>
        <w:rPr>
          <w:rFonts w:hint="eastAsia" w:ascii="楷体_GB2312" w:eastAsia="楷体_GB2312"/>
          <w:sz w:val="32"/>
          <w:szCs w:val="32"/>
          <w:lang w:eastAsia="zh-CN"/>
        </w:rPr>
        <w:t>（五）</w:t>
      </w:r>
      <w:r>
        <w:rPr>
          <w:rFonts w:hint="eastAsia" w:ascii="楷体_GB2312" w:eastAsia="楷体_GB2312"/>
          <w:sz w:val="32"/>
          <w:szCs w:val="32"/>
        </w:rPr>
        <w:t>部门</w:t>
      </w:r>
      <w:r>
        <w:rPr>
          <w:rFonts w:ascii="楷体_GB2312" w:eastAsia="楷体_GB2312"/>
          <w:sz w:val="32"/>
          <w:szCs w:val="32"/>
        </w:rPr>
        <w:t>预决算差异率</w:t>
      </w:r>
    </w:p>
    <w:p>
      <w:pPr>
        <w:ind w:firstLine="640" w:firstLineChars="200"/>
        <w:rPr>
          <w:rFonts w:hint="eastAsia" w:ascii="仿宋" w:hAnsi="仿宋" w:eastAsia="仿宋"/>
          <w:bCs/>
          <w:sz w:val="32"/>
          <w:szCs w:val="32"/>
        </w:rPr>
      </w:pPr>
      <w:r>
        <w:rPr>
          <w:rFonts w:hint="eastAsia" w:ascii="仿宋_GB2312" w:hAnsi="仿宋" w:eastAsia="仿宋_GB2312" w:cs="仿宋"/>
          <w:bCs/>
          <w:kern w:val="2"/>
          <w:sz w:val="32"/>
          <w:szCs w:val="32"/>
          <w:lang w:val="en-US" w:eastAsia="zh-CN" w:bidi="ar-SA"/>
        </w:rPr>
        <w:t>2023年全年预算数为18413.00万元，决算支出数为18413.00万元，差额为0.00万元, 部门预决算差异率0%。</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Start w:id="0" w:name="_GoBack"/>
      <w:bookmarkEnd w:id="0"/>
    </w:p>
    <w:p>
      <w:pPr>
        <w:spacing w:line="600" w:lineRule="exact"/>
        <w:ind w:left="105" w:leftChars="50" w:firstLine="480" w:firstLineChars="150"/>
        <w:rPr>
          <w:rFonts w:ascii="仿宋" w:hAnsi="仿宋" w:eastAsia="仿宋"/>
          <w:bCs/>
          <w:sz w:val="32"/>
          <w:szCs w:val="32"/>
        </w:rPr>
      </w:pPr>
      <w:r>
        <w:rPr>
          <w:rFonts w:hint="eastAsia" w:ascii="仿宋" w:hAnsi="仿宋" w:eastAsia="仿宋"/>
          <w:bCs/>
          <w:sz w:val="32"/>
          <w:szCs w:val="32"/>
        </w:rPr>
        <w:t>本次绩效自评总体来说，大多数项目均按照计划进行实施，执行率为100%，得分均为100分。部分项目</w:t>
      </w:r>
      <w:r>
        <w:rPr>
          <w:rFonts w:hint="eastAsia" w:ascii="仿宋" w:hAnsi="仿宋" w:eastAsia="仿宋"/>
          <w:bCs/>
          <w:sz w:val="32"/>
          <w:szCs w:val="32"/>
          <w:lang w:eastAsia="zh-CN"/>
        </w:rPr>
        <w:t>因财政年中有收回部分资金，导致成本指标与实际发生值不一致，实际支出率均为</w:t>
      </w:r>
      <w:r>
        <w:rPr>
          <w:rFonts w:hint="eastAsia" w:ascii="仿宋" w:hAnsi="仿宋" w:eastAsia="仿宋"/>
          <w:bCs/>
          <w:sz w:val="32"/>
          <w:szCs w:val="32"/>
        </w:rPr>
        <w:t>100%。</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ind w:firstLine="640" w:firstLineChars="200"/>
        <w:rPr>
          <w:rFonts w:ascii="仿宋" w:hAnsi="仿宋" w:eastAsia="仿宋"/>
          <w:bCs/>
          <w:sz w:val="32"/>
          <w:szCs w:val="32"/>
        </w:rPr>
      </w:pPr>
      <w:r>
        <w:rPr>
          <w:rFonts w:hint="eastAsia" w:ascii="仿宋" w:hAnsi="仿宋" w:eastAsia="仿宋"/>
          <w:bCs/>
          <w:sz w:val="32"/>
          <w:szCs w:val="32"/>
        </w:rPr>
        <w:t>从本次绩效跟踪评价的总体分析来看，大多数项目运行正常或基本正常，表明多数项目投入环节操作规范、依据明确，过程环节管理严密有效，产出环节能够按时完成计划，但部分项目运行过程中仍存在一些问题。部分项目的预算执行准确性不高。究其原因，部分项目由于审批程序复杂，等待时间较长，进而影响了项目进度执行。部分项目的过程管理需进一步优化，工作实施方案不够细致，需要编制更为详细的实施方案以及加强合同管理方面的具体实施细则。</w:t>
      </w:r>
    </w:p>
    <w:p>
      <w:pPr>
        <w:spacing w:line="600" w:lineRule="exact"/>
        <w:ind w:firstLine="640" w:firstLineChars="20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ind w:firstLine="640" w:firstLineChars="200"/>
        <w:rPr>
          <w:rFonts w:ascii="仿宋" w:hAnsi="仿宋" w:eastAsia="仿宋"/>
          <w:bCs/>
          <w:sz w:val="32"/>
          <w:szCs w:val="32"/>
        </w:rPr>
      </w:pPr>
      <w:r>
        <w:rPr>
          <w:rFonts w:hint="eastAsia" w:ascii="仿宋" w:hAnsi="仿宋" w:eastAsia="仿宋"/>
          <w:bCs/>
          <w:sz w:val="32"/>
          <w:szCs w:val="32"/>
        </w:rPr>
        <w:t>1、加强项目的投入管理，部分项目的过程管理需进一步优化，需要编制更为详细的实施方案以及加强合同管理方面的具体实施细则。</w:t>
      </w:r>
    </w:p>
    <w:p>
      <w:pPr>
        <w:ind w:firstLine="640" w:firstLineChars="200"/>
        <w:rPr>
          <w:rFonts w:ascii="仿宋" w:hAnsi="仿宋" w:eastAsia="仿宋"/>
          <w:bCs/>
          <w:sz w:val="32"/>
          <w:szCs w:val="32"/>
        </w:rPr>
      </w:pPr>
      <w:r>
        <w:rPr>
          <w:rFonts w:hint="eastAsia" w:ascii="仿宋" w:hAnsi="仿宋" w:eastAsia="仿宋"/>
          <w:bCs/>
          <w:sz w:val="32"/>
          <w:szCs w:val="32"/>
        </w:rPr>
        <w:t>2、提高项目的预算执行准确性。</w:t>
      </w:r>
    </w:p>
    <w:p>
      <w:pPr>
        <w:ind w:firstLine="640" w:firstLineChars="200"/>
        <w:rPr>
          <w:rFonts w:ascii="仿宋" w:hAnsi="仿宋" w:eastAsia="仿宋"/>
          <w:bCs/>
          <w:sz w:val="32"/>
          <w:szCs w:val="32"/>
        </w:rPr>
      </w:pPr>
      <w:r>
        <w:rPr>
          <w:rFonts w:hint="eastAsia" w:ascii="仿宋" w:hAnsi="仿宋" w:eastAsia="仿宋"/>
          <w:bCs/>
          <w:sz w:val="32"/>
          <w:szCs w:val="32"/>
        </w:rPr>
        <w:t>3、注重提升项目的产出绩效。</w:t>
      </w:r>
    </w:p>
    <w:p>
      <w:pPr>
        <w:spacing w:line="600" w:lineRule="exact"/>
        <w:ind w:firstLine="640" w:firstLineChars="200"/>
        <w:rPr>
          <w:rFonts w:ascii="仿宋_GB2312" w:hAnsi="宋体" w:eastAsia="仿宋_GB2312" w:cs="宋体"/>
          <w:color w:val="000000"/>
          <w:kern w:val="0"/>
          <w:sz w:val="32"/>
          <w:szCs w:val="32"/>
        </w:rPr>
      </w:pPr>
    </w:p>
    <w:p>
      <w:pPr>
        <w:ind w:firstLine="640" w:firstLineChars="200"/>
        <w:jc w:val="right"/>
        <w:rPr>
          <w:rFonts w:ascii="仿宋" w:hAnsi="仿宋" w:eastAsia="仿宋"/>
          <w:bCs/>
          <w:sz w:val="32"/>
          <w:szCs w:val="32"/>
        </w:rPr>
      </w:pPr>
      <w:r>
        <w:rPr>
          <w:rFonts w:hint="eastAsia" w:ascii="仿宋" w:hAnsi="仿宋" w:eastAsia="仿宋"/>
          <w:bCs/>
          <w:sz w:val="32"/>
          <w:szCs w:val="32"/>
        </w:rPr>
        <w:t xml:space="preserve">北京市朝阳区人民政府左家庄街道办事处 </w:t>
      </w:r>
    </w:p>
    <w:p>
      <w:pPr>
        <w:ind w:firstLine="640" w:firstLineChars="200"/>
        <w:rPr>
          <w:rFonts w:ascii="仿宋" w:hAnsi="仿宋" w:eastAsia="仿宋"/>
          <w:bCs/>
          <w:sz w:val="32"/>
          <w:szCs w:val="32"/>
        </w:rPr>
      </w:pPr>
      <w:r>
        <w:rPr>
          <w:rFonts w:hint="eastAsia" w:ascii="仿宋" w:hAnsi="仿宋" w:eastAsia="仿宋"/>
          <w:bCs/>
          <w:sz w:val="32"/>
          <w:szCs w:val="32"/>
        </w:rPr>
        <w:t xml:space="preserve">                         202</w:t>
      </w:r>
      <w:r>
        <w:rPr>
          <w:rFonts w:hint="eastAsia" w:ascii="仿宋" w:hAnsi="仿宋" w:eastAsia="仿宋"/>
          <w:bCs/>
          <w:sz w:val="32"/>
          <w:szCs w:val="32"/>
          <w:lang w:val="en-US" w:eastAsia="zh-CN"/>
        </w:rPr>
        <w:t>4</w:t>
      </w:r>
      <w:r>
        <w:rPr>
          <w:rFonts w:hint="eastAsia" w:ascii="仿宋" w:hAnsi="仿宋" w:eastAsia="仿宋"/>
          <w:bCs/>
          <w:sz w:val="32"/>
          <w:szCs w:val="32"/>
        </w:rPr>
        <w:t>年</w:t>
      </w:r>
      <w:r>
        <w:rPr>
          <w:rFonts w:hint="eastAsia" w:ascii="仿宋" w:hAnsi="仿宋" w:eastAsia="仿宋"/>
          <w:bCs/>
          <w:sz w:val="32"/>
          <w:szCs w:val="32"/>
          <w:lang w:val="en-US" w:eastAsia="zh-CN"/>
        </w:rPr>
        <w:t>3</w:t>
      </w:r>
      <w:r>
        <w:rPr>
          <w:rFonts w:hint="eastAsia" w:ascii="仿宋" w:hAnsi="仿宋" w:eastAsia="仿宋"/>
          <w:bCs/>
          <w:sz w:val="32"/>
          <w:szCs w:val="32"/>
        </w:rPr>
        <w:t>月</w:t>
      </w:r>
      <w:r>
        <w:rPr>
          <w:rFonts w:hint="eastAsia" w:ascii="仿宋" w:hAnsi="仿宋" w:eastAsia="仿宋"/>
          <w:bCs/>
          <w:sz w:val="32"/>
          <w:szCs w:val="32"/>
          <w:lang w:val="en-US" w:eastAsia="zh-CN"/>
        </w:rPr>
        <w:t>14</w:t>
      </w:r>
      <w:r>
        <w:rPr>
          <w:rFonts w:hint="eastAsia" w:ascii="仿宋" w:hAnsi="仿宋" w:eastAsia="仿宋"/>
          <w:bCs/>
          <w:sz w:val="32"/>
          <w:szCs w:val="32"/>
        </w:rPr>
        <w:t>日</w:t>
      </w:r>
    </w:p>
    <w:p>
      <w:pPr>
        <w:ind w:firstLine="640" w:firstLineChars="200"/>
        <w:rPr>
          <w:rFonts w:ascii="仿宋" w:hAnsi="仿宋" w:eastAsia="仿宋"/>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decorative"/>
    <w:pitch w:val="default"/>
    <w:sig w:usb0="00000000" w:usb1="00000000" w:usb2="00000000" w:usb3="00000000" w:csb0="00040000" w:csb1="00000000"/>
  </w:font>
  <w:font w:name="楷体_GB2312">
    <w:altName w:val="楷体"/>
    <w:panose1 w:val="00000000000000000000"/>
    <w:charset w:val="86"/>
    <w:family w:val="decorative"/>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方正书宋_GBK">
    <w:altName w:val="微软雅黑"/>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方正仿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9C67CC"/>
    <w:multiLevelType w:val="multilevel"/>
    <w:tmpl w:val="5D9C67CC"/>
    <w:lvl w:ilvl="0" w:tentative="0">
      <w:start w:val="1"/>
      <w:numFmt w:val="decimal"/>
      <w:lvlText w:val="%1."/>
      <w:lvlJc w:val="left"/>
      <w:pPr>
        <w:ind w:left="945" w:hanging="360"/>
      </w:pPr>
      <w:rPr>
        <w:rFonts w:hint="default"/>
      </w:rPr>
    </w:lvl>
    <w:lvl w:ilvl="1" w:tentative="0">
      <w:start w:val="1"/>
      <w:numFmt w:val="lowerLetter"/>
      <w:lvlText w:val="%2)"/>
      <w:lvlJc w:val="left"/>
      <w:pPr>
        <w:ind w:left="1425" w:hanging="420"/>
      </w:pPr>
    </w:lvl>
    <w:lvl w:ilvl="2" w:tentative="0">
      <w:start w:val="1"/>
      <w:numFmt w:val="lowerRoman"/>
      <w:lvlText w:val="%3."/>
      <w:lvlJc w:val="right"/>
      <w:pPr>
        <w:ind w:left="1845" w:hanging="420"/>
      </w:pPr>
    </w:lvl>
    <w:lvl w:ilvl="3" w:tentative="0">
      <w:start w:val="1"/>
      <w:numFmt w:val="decimal"/>
      <w:lvlText w:val="%4."/>
      <w:lvlJc w:val="left"/>
      <w:pPr>
        <w:ind w:left="2265" w:hanging="420"/>
      </w:pPr>
    </w:lvl>
    <w:lvl w:ilvl="4" w:tentative="0">
      <w:start w:val="1"/>
      <w:numFmt w:val="lowerLetter"/>
      <w:lvlText w:val="%5)"/>
      <w:lvlJc w:val="left"/>
      <w:pPr>
        <w:ind w:left="2685" w:hanging="420"/>
      </w:pPr>
    </w:lvl>
    <w:lvl w:ilvl="5" w:tentative="0">
      <w:start w:val="1"/>
      <w:numFmt w:val="lowerRoman"/>
      <w:lvlText w:val="%6."/>
      <w:lvlJc w:val="right"/>
      <w:pPr>
        <w:ind w:left="3105" w:hanging="420"/>
      </w:pPr>
    </w:lvl>
    <w:lvl w:ilvl="6" w:tentative="0">
      <w:start w:val="1"/>
      <w:numFmt w:val="decimal"/>
      <w:lvlText w:val="%7."/>
      <w:lvlJc w:val="left"/>
      <w:pPr>
        <w:ind w:left="3525" w:hanging="420"/>
      </w:pPr>
    </w:lvl>
    <w:lvl w:ilvl="7" w:tentative="0">
      <w:start w:val="1"/>
      <w:numFmt w:val="lowerLetter"/>
      <w:lvlText w:val="%8)"/>
      <w:lvlJc w:val="left"/>
      <w:pPr>
        <w:ind w:left="3945" w:hanging="420"/>
      </w:pPr>
    </w:lvl>
    <w:lvl w:ilvl="8" w:tentative="0">
      <w:start w:val="1"/>
      <w:numFmt w:val="lowerRoman"/>
      <w:lvlText w:val="%9."/>
      <w:lvlJc w:val="right"/>
      <w:pPr>
        <w:ind w:left="4365" w:hanging="420"/>
      </w:pPr>
    </w:lvl>
  </w:abstractNum>
  <w:abstractNum w:abstractNumId="1">
    <w:nsid w:val="65FBEA4F"/>
    <w:multiLevelType w:val="singleLevel"/>
    <w:tmpl w:val="65FBEA4F"/>
    <w:lvl w:ilvl="0" w:tentative="0">
      <w:start w:val="2"/>
      <w:numFmt w:val="decimal"/>
      <w:suff w:val="nothing"/>
      <w:lvlText w:val="%1."/>
      <w:lvlJc w:val="left"/>
    </w:lvl>
  </w:abstractNum>
  <w:abstractNum w:abstractNumId="2">
    <w:nsid w:val="65FBEB68"/>
    <w:multiLevelType w:val="singleLevel"/>
    <w:tmpl w:val="65FBEB68"/>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9BF12E6"/>
    <w:rsid w:val="00052936"/>
    <w:rsid w:val="00076314"/>
    <w:rsid w:val="00161243"/>
    <w:rsid w:val="001E0EAD"/>
    <w:rsid w:val="00210A2D"/>
    <w:rsid w:val="00244935"/>
    <w:rsid w:val="002A7707"/>
    <w:rsid w:val="00324138"/>
    <w:rsid w:val="004B4819"/>
    <w:rsid w:val="004C6077"/>
    <w:rsid w:val="00502410"/>
    <w:rsid w:val="005070E1"/>
    <w:rsid w:val="00550F47"/>
    <w:rsid w:val="00562EE3"/>
    <w:rsid w:val="00670DC2"/>
    <w:rsid w:val="006F7D46"/>
    <w:rsid w:val="007919CE"/>
    <w:rsid w:val="00792769"/>
    <w:rsid w:val="007A58DA"/>
    <w:rsid w:val="007A7E14"/>
    <w:rsid w:val="008E4D89"/>
    <w:rsid w:val="00977F3F"/>
    <w:rsid w:val="0098369D"/>
    <w:rsid w:val="009B3A16"/>
    <w:rsid w:val="00A32CEE"/>
    <w:rsid w:val="00BB285A"/>
    <w:rsid w:val="00BE5424"/>
    <w:rsid w:val="00E31D70"/>
    <w:rsid w:val="00F91B0A"/>
    <w:rsid w:val="0D4271AA"/>
    <w:rsid w:val="16CD1BE4"/>
    <w:rsid w:val="1CE14262"/>
    <w:rsid w:val="21C53945"/>
    <w:rsid w:val="2359403F"/>
    <w:rsid w:val="23BF571C"/>
    <w:rsid w:val="26767F9B"/>
    <w:rsid w:val="28175F33"/>
    <w:rsid w:val="2BA7729B"/>
    <w:rsid w:val="2CD03251"/>
    <w:rsid w:val="399343A2"/>
    <w:rsid w:val="3F3437CC"/>
    <w:rsid w:val="41255FC2"/>
    <w:rsid w:val="46976C9D"/>
    <w:rsid w:val="477A716C"/>
    <w:rsid w:val="4E756256"/>
    <w:rsid w:val="534335D1"/>
    <w:rsid w:val="542C2040"/>
    <w:rsid w:val="693F1A3F"/>
    <w:rsid w:val="69BF12E6"/>
    <w:rsid w:val="736F7847"/>
    <w:rsid w:val="75B72AE0"/>
    <w:rsid w:val="7C635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uiPriority w:val="0"/>
    <w:pPr>
      <w:ind w:firstLine="200" w:firstLineChars="200"/>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0"/>
    <w:rPr>
      <w:rFonts w:ascii="Times New Roman" w:hAnsi="Times New Roman" w:eastAsia="宋体" w:cs="Times New Roman"/>
      <w:kern w:val="2"/>
      <w:sz w:val="18"/>
      <w:szCs w:val="18"/>
    </w:rPr>
  </w:style>
  <w:style w:type="character" w:customStyle="1" w:styleId="8">
    <w:name w:val="页脚 Char"/>
    <w:basedOn w:val="5"/>
    <w:link w:val="3"/>
    <w:uiPriority w:val="0"/>
    <w:rPr>
      <w:rFonts w:ascii="Times New Roman" w:hAnsi="Times New Roman" w:eastAsia="宋体" w:cs="Times New Roman"/>
      <w:kern w:val="2"/>
      <w:sz w:val="18"/>
      <w:szCs w:val="18"/>
    </w:rPr>
  </w:style>
  <w:style w:type="paragraph" w:customStyle="1"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372</Words>
  <Characters>2125</Characters>
  <Lines>17</Lines>
  <Paragraphs>4</Paragraphs>
  <ScaleCrop>false</ScaleCrop>
  <LinksUpToDate>false</LinksUpToDate>
  <CharactersWithSpaces>2493</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Administrator</cp:lastModifiedBy>
  <dcterms:modified xsi:type="dcterms:W3CDTF">2024-12-18T03:03:28Z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