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jc w:val="center"/>
        <w:rPr>
          <w:rFonts w:ascii="仿宋" w:hAnsi="仿宋" w:eastAsia="仿宋"/>
          <w:b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锦里雅苑共有产权住房项目信息公示</w:t>
      </w:r>
    </w:p>
    <w:p>
      <w:pPr>
        <w:spacing w:line="520" w:lineRule="exact"/>
        <w:rPr>
          <w:rFonts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项目名称</w:t>
      </w:r>
      <w:r>
        <w:rPr>
          <w:rFonts w:hint="eastAsia" w:ascii="仿宋" w:hAnsi="仿宋" w:eastAsia="仿宋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锦里雅苑</w:t>
      </w:r>
    </w:p>
    <w:p>
      <w:pPr>
        <w:spacing w:line="520" w:lineRule="exact"/>
        <w:rPr>
          <w:rFonts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企业名称：</w:t>
      </w:r>
      <w:r>
        <w:rPr>
          <w:rFonts w:hint="eastAsia"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北京共泰房地产开发有限公司</w:t>
      </w:r>
      <w:r>
        <w:rPr>
          <w:rFonts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20" w:lineRule="exact"/>
        <w:rPr>
          <w:rFonts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项目位置：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北京市朝阳区东坝乡驹子房</w:t>
      </w:r>
    </w:p>
    <w:p>
      <w:pPr>
        <w:spacing w:line="520" w:lineRule="exact"/>
        <w:rPr>
          <w:rFonts w:ascii="仿宋" w:hAnsi="仿宋" w:eastAsia="仿宋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项目四至</w:t>
      </w:r>
      <w:r>
        <w:rPr>
          <w:rFonts w:hint="eastAsia" w:ascii="仿宋" w:hAnsi="仿宋" w:eastAsia="仿宋" w:cs="楷体_GB2312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Times New Roman" w:hAnsi="仿宋_GB2312" w:eastAsia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东至规划驹子房东一路，西至驹子房路，南至东坝南一街，北至东坝中街</w:t>
      </w:r>
      <w:r>
        <w:rPr>
          <w:rFonts w:hint="eastAsia" w:ascii="仿宋" w:hAnsi="仿宋" w:eastAsia="仿宋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。</w:t>
      </w:r>
    </w:p>
    <w:p>
      <w:pPr>
        <w:spacing w:line="520" w:lineRule="exact"/>
        <w:rPr>
          <w:rFonts w:ascii="仿宋" w:hAnsi="仿宋" w:eastAsia="仿宋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项目施工进展</w:t>
      </w:r>
      <w:r>
        <w:rPr>
          <w:rFonts w:hint="eastAsia" w:ascii="仿宋" w:hAnsi="仿宋" w:eastAsia="仿宋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：土方施工</w:t>
      </w:r>
    </w:p>
    <w:p>
      <w:pPr>
        <w:autoSpaceDE w:val="0"/>
        <w:autoSpaceDN w:val="0"/>
        <w:adjustRightInd w:val="0"/>
        <w:spacing w:line="520" w:lineRule="exact"/>
        <w:rPr>
          <w:rFonts w:ascii="仿宋" w:hAnsi="仿宋" w:eastAsia="仿宋" w:cs="宋体"/>
          <w:b/>
          <w:bCs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b/>
          <w:bCs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套    数：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656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套</w:t>
      </w:r>
    </w:p>
    <w:p>
      <w:pPr>
        <w:autoSpaceDE w:val="0"/>
        <w:autoSpaceDN w:val="0"/>
        <w:adjustRightInd w:val="0"/>
        <w:spacing w:line="520" w:lineRule="exact"/>
        <w:rPr>
          <w:rFonts w:ascii="仿宋" w:hAnsi="仿宋" w:eastAsia="仿宋" w:cs="宋体"/>
          <w:b/>
          <w:bCs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b/>
          <w:bCs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户型面积：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约88平方米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三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居共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4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6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套、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约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平方米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二居共216套，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约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75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平方米二居共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套，共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656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套。</w:t>
      </w:r>
    </w:p>
    <w:p>
      <w:pPr>
        <w:autoSpaceDE w:val="0"/>
        <w:autoSpaceDN w:val="0"/>
        <w:adjustRightInd w:val="0"/>
        <w:spacing w:line="520" w:lineRule="exact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b/>
          <w:bCs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销售均价：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4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000元/平方米(含全装修费用，根据具体楼层、朝向在±5%的范围内调整销售价格)</w:t>
      </w:r>
    </w:p>
    <w:p>
      <w:pPr>
        <w:widowControl/>
        <w:shd w:val="clear" w:color="auto" w:fill="FFFFFF"/>
        <w:spacing w:before="225" w:after="225" w:line="276" w:lineRule="auto"/>
        <w:jc w:val="left"/>
        <w:rPr>
          <w:rFonts w:ascii="宋体" w:hAnsi="宋体" w:cs="宋体"/>
          <w:color w:val="404040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申购地址：</w:t>
      </w:r>
      <w:r>
        <w:rPr>
          <w:rFonts w:hint="eastAsia" w:ascii="宋体" w:hAnsi="宋体" w:cs="宋体"/>
          <w:color w:val="404040"/>
          <w:kern w:val="0"/>
          <w:sz w:val="32"/>
          <w:szCs w:val="32"/>
          <w:highlight w:val="none"/>
        </w:rPr>
        <w:t>http://gycq.zjw.beijing.gov.cn/</w:t>
      </w:r>
    </w:p>
    <w:p>
      <w:pPr>
        <w:spacing w:line="276" w:lineRule="auto"/>
        <w:rPr>
          <w:rFonts w:ascii="仿宋" w:hAnsi="仿宋" w:eastAsia="仿宋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服务热线：</w:t>
      </w:r>
    </w:p>
    <w:p>
      <w:pPr>
        <w:widowControl/>
        <w:shd w:val="clear" w:color="auto" w:fill="FFFFFF"/>
        <w:spacing w:line="500" w:lineRule="exact"/>
        <w:ind w:left="424" w:leftChars="202"/>
        <w:jc w:val="left"/>
        <w:rPr>
          <w:rFonts w:ascii="仿宋" w:hAnsi="仿宋" w:eastAsia="仿宋" w:cs="Arial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Arial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010-</w:t>
      </w:r>
      <w:r>
        <w:rPr>
          <w:rFonts w:ascii="仿宋" w:hAnsi="仿宋" w:eastAsia="仿宋" w:cs="Arial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59111166</w:t>
      </w:r>
      <w:r>
        <w:rPr>
          <w:rFonts w:hint="eastAsia" w:ascii="仿宋" w:hAnsi="仿宋" w:eastAsia="仿宋" w:cs="Arial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（上午9:00-11:30，下午14:00-17:00）</w:t>
      </w:r>
    </w:p>
    <w:p>
      <w:pPr>
        <w:spacing w:line="520" w:lineRule="exact"/>
        <w:ind w:right="840"/>
        <w:rPr>
          <w:rFonts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项目概述</w:t>
      </w:r>
    </w:p>
    <w:p>
      <w:pPr>
        <w:autoSpaceDE w:val="0"/>
        <w:autoSpaceDN w:val="0"/>
        <w:adjustRightInd w:val="0"/>
        <w:spacing w:line="360" w:lineRule="auto"/>
        <w:ind w:firstLine="640" w:firstLineChars="200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锦里雅苑共有产权住房项目，位于朝阳区东坝乡驹子房，项目四至：</w:t>
      </w:r>
      <w:r>
        <w:rPr>
          <w:rFonts w:hint="eastAsia" w:ascii="Times New Roman" w:hAnsi="仿宋_GB2312" w:eastAsia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东至规划驹子房东一路，西至驹子房路，南至东坝南一街，北至东坝中街</w:t>
      </w:r>
      <w:r>
        <w:rPr>
          <w:rFonts w:hint="eastAsia" w:ascii="仿宋" w:hAnsi="仿宋" w:eastAsia="仿宋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。</w:t>
      </w:r>
    </w:p>
    <w:p>
      <w:pPr>
        <w:autoSpaceDE w:val="0"/>
        <w:autoSpaceDN w:val="0"/>
        <w:adjustRightInd w:val="0"/>
        <w:spacing w:line="360" w:lineRule="auto"/>
        <w:ind w:firstLine="640" w:firstLineChars="200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项目规划总建筑面积为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128946.82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平方米（含1106-721地块面积），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其中共有产权住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房地上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建筑面积约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5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6728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平方米，共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栋楼，项目共有产权住房总套数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656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套，其中建筑面积约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88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平方米三居室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436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套、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建筑面积约8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平方米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两居室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216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套，建筑面积约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75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平方米两居室4套，含全装修费用销售均价4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000元/平方米（根据具体楼层、朝向等在±5%的范围内调整销售价格）</w:t>
      </w:r>
    </w:p>
    <w:p>
      <w:pPr>
        <w:spacing w:line="520" w:lineRule="exact"/>
        <w:jc w:val="left"/>
        <w:rPr>
          <w:rFonts w:ascii="宋体" w:hAnsi="宋体"/>
          <w:b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区位图：</w:t>
      </w:r>
    </w:p>
    <w:p>
      <w:pPr>
        <w:spacing w:line="360" w:lineRule="auto"/>
        <w:jc w:val="left"/>
        <w:rPr>
          <w:rFonts w:ascii="宋体" w:hAnsi="宋体"/>
          <w:b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b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972810" cy="3818890"/>
            <wp:effectExtent l="0" t="0" r="889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1623" cy="382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20" w:lineRule="exact"/>
        <w:jc w:val="left"/>
        <w:rPr>
          <w:rFonts w:ascii="宋体" w:hAnsi="宋体"/>
          <w:b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left"/>
        <w:rPr>
          <w:rFonts w:ascii="宋体" w:hAnsi="宋体"/>
          <w:b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left"/>
        <w:rPr>
          <w:rFonts w:ascii="宋体" w:hAnsi="宋体"/>
          <w:b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left"/>
        <w:rPr>
          <w:rFonts w:ascii="宋体" w:hAnsi="宋体"/>
          <w:b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left"/>
        <w:rPr>
          <w:rFonts w:ascii="宋体" w:hAnsi="宋体"/>
          <w:b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left"/>
        <w:rPr>
          <w:rFonts w:ascii="宋体" w:hAnsi="宋体"/>
          <w:b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left"/>
        <w:rPr>
          <w:rFonts w:ascii="宋体" w:hAnsi="宋体"/>
          <w:b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left"/>
        <w:rPr>
          <w:rFonts w:ascii="宋体" w:hAnsi="宋体"/>
          <w:b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left"/>
        <w:rPr>
          <w:rFonts w:ascii="宋体" w:hAnsi="宋体"/>
          <w:b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p>
      <w:pPr>
        <w:spacing w:line="520" w:lineRule="exact"/>
        <w:jc w:val="left"/>
        <w:rPr>
          <w:rFonts w:ascii="宋体" w:hAnsi="宋体"/>
          <w:b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left"/>
        <w:rPr>
          <w:rFonts w:ascii="宋体" w:hAnsi="宋体"/>
          <w:b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left"/>
        <w:rPr>
          <w:rFonts w:ascii="宋体" w:hAnsi="宋体"/>
          <w:b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left"/>
        <w:rPr>
          <w:rFonts w:ascii="宋体" w:hAnsi="宋体"/>
          <w:b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left"/>
        <w:rPr>
          <w:rFonts w:ascii="宋体" w:hAnsi="宋体"/>
          <w:b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项目立面效果图：</w:t>
      </w:r>
    </w:p>
    <w:p>
      <w:pPr>
        <w:spacing w:line="360" w:lineRule="auto"/>
        <w:jc w:val="left"/>
        <w:rPr>
          <w:rFonts w:ascii="宋体" w:hAnsi="宋体"/>
          <w:color w:val="000000" w:themeColor="text1"/>
          <w:sz w:val="28"/>
          <w:szCs w:val="28"/>
          <w:highlight w:val="none"/>
          <w:shd w:val="pct10" w:color="auto" w:fill="FFFFFF"/>
          <w14:textFill>
            <w14:solidFill>
              <w14:schemeClr w14:val="tx1"/>
            </w14:solidFill>
          </w14:textFill>
        </w:rPr>
      </w:pPr>
      <w:r>
        <w:rPr>
          <w:highlight w:val="none"/>
        </w:rPr>
        <w:drawing>
          <wp:inline distT="0" distB="0" distL="0" distR="0">
            <wp:extent cx="4501515" cy="4509770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94642" cy="460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仿宋" w:hAnsi="仿宋" w:eastAsia="仿宋"/>
          <w:b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（一）交通路网：</w:t>
      </w:r>
    </w:p>
    <w:p>
      <w:pPr>
        <w:spacing w:line="360" w:lineRule="auto"/>
        <w:jc w:val="left"/>
        <w:rPr>
          <w:rFonts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　　（1）交通路线：东五环</w:t>
      </w:r>
      <w:r>
        <w:rPr>
          <w:rFonts w:hint="eastAsia" w:ascii="仿宋" w:hAnsi="仿宋" w:eastAsia="仿宋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机场第二高速、东坝中街、东坝南二街、驹子房路等。</w:t>
      </w:r>
    </w:p>
    <w:p>
      <w:pPr>
        <w:spacing w:line="360" w:lineRule="auto"/>
        <w:jc w:val="left"/>
        <w:rPr>
          <w:rFonts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　　（2）公共交通：轨道</w:t>
      </w:r>
      <w:r>
        <w:rPr>
          <w:rFonts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交通3</w:t>
      </w:r>
      <w:r>
        <w:rPr>
          <w:rFonts w:hint="eastAsia"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号线（在建）</w:t>
      </w:r>
      <w:r>
        <w:rPr>
          <w:rFonts w:hint="eastAsia" w:ascii="仿宋" w:hAnsi="仿宋" w:eastAsia="仿宋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轨道</w:t>
      </w:r>
      <w:r>
        <w:rPr>
          <w:rFonts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交通</w:t>
      </w:r>
      <w:r>
        <w:rPr>
          <w:rFonts w:hint="eastAsia"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12号线（在建）</w:t>
      </w:r>
      <w:r>
        <w:rPr>
          <w:rFonts w:hint="eastAsia" w:ascii="仿宋" w:hAnsi="仿宋" w:eastAsia="仿宋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672</w:t>
      </w:r>
      <w:r>
        <w:rPr>
          <w:rFonts w:hint="eastAsia"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路</w:t>
      </w:r>
      <w:r>
        <w:rPr>
          <w:rFonts w:hint="eastAsia" w:ascii="仿宋" w:hAnsi="仿宋" w:eastAsia="仿宋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专线1</w:t>
      </w:r>
      <w:r>
        <w:rPr>
          <w:rFonts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路、</w:t>
      </w:r>
      <w:r>
        <w:rPr>
          <w:rFonts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350</w:t>
      </w:r>
      <w:r>
        <w:rPr>
          <w:rFonts w:hint="eastAsia"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路、6</w:t>
      </w:r>
      <w:r>
        <w:rPr>
          <w:rFonts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40</w:t>
      </w:r>
      <w:r>
        <w:rPr>
          <w:rFonts w:hint="eastAsia"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路等。</w:t>
      </w:r>
    </w:p>
    <w:p>
      <w:pPr>
        <w:spacing w:line="360" w:lineRule="auto"/>
        <w:jc w:val="left"/>
        <w:rPr>
          <w:rFonts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（二）周边配套：</w:t>
      </w:r>
    </w:p>
    <w:p>
      <w:pPr>
        <w:spacing w:line="360" w:lineRule="auto"/>
        <w:jc w:val="left"/>
        <w:rPr>
          <w:rFonts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（1）医院配套：北京安贞医院、北京市第一中西医结合医院；</w:t>
      </w:r>
    </w:p>
    <w:p>
      <w:pPr>
        <w:spacing w:line="360" w:lineRule="auto"/>
        <w:jc w:val="left"/>
        <w:rPr>
          <w:rFonts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（2）商业配套：金隅嘉品MALL、恒大城市广场；</w:t>
      </w:r>
    </w:p>
    <w:p>
      <w:pPr>
        <w:spacing w:line="360" w:lineRule="auto"/>
        <w:jc w:val="left"/>
        <w:rPr>
          <w:rFonts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（3）教育配套：北京中学明德</w:t>
      </w:r>
      <w:r>
        <w:rPr>
          <w:rFonts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分校</w:t>
      </w:r>
      <w:r>
        <w:rPr>
          <w:rFonts w:hint="eastAsia"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、对外经济贸易大学附属中学；</w:t>
      </w:r>
    </w:p>
    <w:p>
      <w:pPr>
        <w:spacing w:line="360" w:lineRule="auto"/>
        <w:jc w:val="left"/>
        <w:rPr>
          <w:rFonts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（4）环境配套：东坝郊野公园、朝阳体育中心。</w:t>
      </w:r>
    </w:p>
    <w:p>
      <w:pPr>
        <w:spacing w:line="520" w:lineRule="exact"/>
        <w:rPr>
          <w:rFonts w:ascii="仿宋" w:hAnsi="仿宋" w:eastAsia="仿宋" w:cs="宋体"/>
          <w:b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b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（三）基础数据：</w:t>
      </w:r>
    </w:p>
    <w:p>
      <w:pPr>
        <w:spacing w:line="360" w:lineRule="auto"/>
        <w:ind w:firstLine="640" w:firstLineChars="200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锦里雅苑共有产权地上建筑面积约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56728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平方米，容积率约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（1106-720地块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总体核算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），绿地率约30%，建筑密度约30%。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640" w:firstLineChars="200"/>
        <w:jc w:val="both"/>
        <w:textAlignment w:val="auto"/>
        <w:outlineLvl w:val="9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共有产权住房由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栋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26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-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28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层高层住宅楼和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地下车库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组成，楼号为1号楼、2号楼、3号楼、4号楼、1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#地下车库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覆土层下地下2层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。建筑风格现代典雅，包括约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88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 xml:space="preserve"> m</w:t>
      </w:r>
      <w:r>
        <w:rPr>
          <w:rFonts w:hint="eastAsia" w:ascii="宋体" w:hAnsi="宋体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²</w:t>
      </w:r>
      <w:r>
        <w:rPr>
          <w:rFonts w:hint="eastAsia" w:ascii="仿宋" w:hAnsi="仿宋" w:eastAsia="仿宋" w:cs="仿宋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三室二厅、</w:t>
      </w:r>
      <w:r>
        <w:rPr>
          <w:rFonts w:hint="eastAsia" w:ascii="仿宋" w:hAnsi="仿宋" w:eastAsia="仿宋" w:cs="仿宋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约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m</w:t>
      </w:r>
      <w:r>
        <w:rPr>
          <w:rFonts w:hint="eastAsia" w:ascii="宋体" w:hAnsi="宋体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²</w:t>
      </w:r>
      <w:r>
        <w:rPr>
          <w:rFonts w:hint="eastAsia" w:ascii="仿宋" w:hAnsi="仿宋" w:eastAsia="仿宋" w:cs="仿宋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二室二厅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、约7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 xml:space="preserve"> m</w:t>
      </w:r>
      <w:r>
        <w:rPr>
          <w:rFonts w:hint="eastAsia" w:ascii="宋体" w:hAnsi="宋体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²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二室二厅，共三种户型，共计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656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户；空间设计方正合理，两梯三户，全装修交房，舒适宜居。</w:t>
      </w:r>
    </w:p>
    <w:p>
      <w:pPr>
        <w:spacing w:line="360" w:lineRule="auto"/>
        <w:ind w:firstLine="640" w:firstLineChars="200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1号楼共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:u w:val="single"/>
          <w14:textFill>
            <w14:solidFill>
              <w14:schemeClr w14:val="tx1"/>
            </w14:solidFill>
          </w14:textFill>
        </w:rPr>
        <w:t xml:space="preserve"> 2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个单元，建筑层数为地下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:u w:val="single"/>
          <w14:textFill>
            <w14:solidFill>
              <w14:schemeClr w14:val="tx1"/>
            </w14:solidFill>
          </w14:textFill>
        </w:rPr>
        <w:t xml:space="preserve"> 1 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层（覆土层），地上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:u w:val="single"/>
          <w14:textFill>
            <w14:solidFill>
              <w14:schemeClr w14:val="tx1"/>
            </w14:solidFill>
          </w14:textFill>
        </w:rPr>
        <w:t xml:space="preserve"> 28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层，建筑高度为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:u w:val="single"/>
          <w14:textFill>
            <w14:solidFill>
              <w14:schemeClr w14:val="tx1"/>
            </w14:solidFill>
          </w14:textFill>
        </w:rPr>
        <w:t xml:space="preserve"> 79.9 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米，首层层高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:u w:val="single"/>
          <w14:textFill>
            <w14:solidFill>
              <w14:schemeClr w14:val="tx1"/>
            </w14:solidFill>
          </w14:textFill>
        </w:rPr>
        <w:t xml:space="preserve"> 2.8 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米，地上其他各楼层层高均为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:u w:val="single"/>
          <w14:textFill>
            <w14:solidFill>
              <w14:schemeClr w14:val="tx1"/>
            </w14:solidFill>
          </w14:textFill>
        </w:rPr>
        <w:t xml:space="preserve"> 2.8 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米。首层设有住宅入户大堂、物业服务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用房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、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小型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商服及共有产权住房，二层及以上均为共有产权住房。</w:t>
      </w:r>
    </w:p>
    <w:p>
      <w:pPr>
        <w:spacing w:line="360" w:lineRule="auto"/>
        <w:ind w:firstLine="640" w:firstLineChars="200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2号楼共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:u w:val="single"/>
          <w14:textFill>
            <w14:solidFill>
              <w14:schemeClr w14:val="tx1"/>
            </w14:solidFill>
          </w14:textFill>
        </w:rPr>
        <w:t xml:space="preserve"> 2 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个单元，建筑层数为地下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:u w:val="single"/>
          <w14:textFill>
            <w14:solidFill>
              <w14:schemeClr w14:val="tx1"/>
            </w14:solidFill>
          </w14:textFill>
        </w:rPr>
        <w:t xml:space="preserve"> 1 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层（覆土层），地上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:u w:val="single"/>
          <w14:textFill>
            <w14:solidFill>
              <w14:schemeClr w14:val="tx1"/>
            </w14:solidFill>
          </w14:textFill>
        </w:rPr>
        <w:t>28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层，建筑高度为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:u w:val="single"/>
          <w14:textFill>
            <w14:solidFill>
              <w14:schemeClr w14:val="tx1"/>
            </w14:solidFill>
          </w14:textFill>
        </w:rPr>
        <w:t xml:space="preserve"> 79.9 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米，首层层高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:u w:val="single"/>
          <w14:textFill>
            <w14:solidFill>
              <w14:schemeClr w14:val="tx1"/>
            </w14:solidFill>
          </w14:textFill>
        </w:rPr>
        <w:t xml:space="preserve"> 2.8 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米，地上其他各楼层层高均为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:u w:val="single"/>
          <w14:textFill>
            <w14:solidFill>
              <w14:schemeClr w14:val="tx1"/>
            </w14:solidFill>
          </w14:textFill>
        </w:rPr>
        <w:t xml:space="preserve"> 2.8 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米。首层设有住宅入户大堂及共有产权住房，二层及以上均为共有产权住房。</w:t>
      </w:r>
    </w:p>
    <w:p>
      <w:pPr>
        <w:spacing w:line="360" w:lineRule="auto"/>
        <w:ind w:firstLine="640" w:firstLineChars="200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3号楼共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:u w:val="single"/>
          <w14:textFill>
            <w14:solidFill>
              <w14:schemeClr w14:val="tx1"/>
            </w14:solidFill>
          </w14:textFill>
        </w:rPr>
        <w:t xml:space="preserve"> 2 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个单元，建筑层数为地下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:u w:val="single"/>
          <w14:textFill>
            <w14:solidFill>
              <w14:schemeClr w14:val="tx1"/>
            </w14:solidFill>
          </w14:textFill>
        </w:rPr>
        <w:t xml:space="preserve"> 1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层（覆土层），地上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:u w:val="single"/>
          <w14:textFill>
            <w14:solidFill>
              <w14:schemeClr w14:val="tx1"/>
            </w14:solidFill>
          </w14:textFill>
        </w:rPr>
        <w:t xml:space="preserve">  28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层，建筑高度为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:u w:val="single"/>
          <w14:textFill>
            <w14:solidFill>
              <w14:schemeClr w14:val="tx1"/>
            </w14:solidFill>
          </w14:textFill>
        </w:rPr>
        <w:t xml:space="preserve"> 79.9 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 xml:space="preserve">米，首层层高 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:u w:val="single"/>
          <w14:textFill>
            <w14:solidFill>
              <w14:schemeClr w14:val="tx1"/>
            </w14:solidFill>
          </w14:textFill>
        </w:rPr>
        <w:t>2.8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米，地上其他各楼层层高均为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:u w:val="single"/>
          <w14:textFill>
            <w14:solidFill>
              <w14:schemeClr w14:val="tx1"/>
            </w14:solidFill>
          </w14:textFill>
        </w:rPr>
        <w:t xml:space="preserve"> 2.8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米。首层设有住宅入户大堂、物业服务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用房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、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小型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商服及共有产权住房，二层及以上均为共有产权住房。</w:t>
      </w:r>
    </w:p>
    <w:p>
      <w:pPr>
        <w:spacing w:line="360" w:lineRule="auto"/>
        <w:ind w:firstLine="640" w:firstLineChars="200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4号楼共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:u w:val="single"/>
          <w14:textFill>
            <w14:solidFill>
              <w14:schemeClr w14:val="tx1"/>
            </w14:solidFill>
          </w14:textFill>
        </w:rPr>
        <w:t xml:space="preserve"> 2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个单元，建筑层数为地下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:u w:val="single"/>
          <w14:textFill>
            <w14:solidFill>
              <w14:schemeClr w14:val="tx1"/>
            </w14:solidFill>
          </w14:textFill>
        </w:rPr>
        <w:t xml:space="preserve"> 1 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层（覆土层），地上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:u w:val="single"/>
          <w14:textFill>
            <w14:solidFill>
              <w14:schemeClr w14:val="tx1"/>
            </w14:solidFill>
          </w14:textFill>
        </w:rPr>
        <w:t xml:space="preserve">  26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层，建筑高度为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:u w:val="single"/>
          <w14:textFill>
            <w14:solidFill>
              <w14:schemeClr w14:val="tx1"/>
            </w14:solidFill>
          </w14:textFill>
        </w:rPr>
        <w:t xml:space="preserve"> 74.3 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米，首层层高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:u w:val="single"/>
          <w14:textFill>
            <w14:solidFill>
              <w14:schemeClr w14:val="tx1"/>
            </w14:solidFill>
          </w14:textFill>
        </w:rPr>
        <w:t>2.8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米，地上其他各楼层层高均为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:u w:val="single"/>
          <w14:textFill>
            <w14:solidFill>
              <w14:schemeClr w14:val="tx1"/>
            </w14:solidFill>
          </w14:textFill>
        </w:rPr>
        <w:t xml:space="preserve">  2.8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米。首层设有住宅入户大堂及共有产权住房，二层及以上均为共有产权住房。</w:t>
      </w:r>
    </w:p>
    <w:p>
      <w:pPr>
        <w:spacing w:line="360" w:lineRule="auto"/>
        <w:jc w:val="left"/>
        <w:rPr>
          <w:rFonts w:ascii="仿宋" w:hAnsi="仿宋" w:eastAsia="仿宋" w:cs="宋体"/>
          <w:b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b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户型尺寸：</w:t>
      </w:r>
      <w:r>
        <w:rPr>
          <w:rFonts w:ascii="仿宋" w:hAnsi="仿宋" w:eastAsia="仿宋" w:cs="宋体"/>
          <w:b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ind w:firstLine="640" w:firstLineChars="200"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A、A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’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户型（三居室，A户型与A反户型为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镜像关系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、A’户型与A’反户型为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镜像关系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）：约8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平方米，共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436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套，位于1号楼1单元、2单元1至2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层；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号楼1单元、2单元 1至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28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层；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号楼1单元、2单元1至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28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层；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号楼1单元、2单元1至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26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层。窗户材质为断桥铝合金，客厅带阳台，主卧带飘窗。（单元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排序为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：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从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东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到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西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为一单元、二单元。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 xml:space="preserve">）   </w:t>
      </w:r>
    </w:p>
    <w:p>
      <w:pPr>
        <w:spacing w:line="360" w:lineRule="auto"/>
        <w:ind w:firstLine="640" w:firstLineChars="200"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起居室阳台窗宽约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2.1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米，高约1.6米（空调检修窗宽约0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.6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米，高约1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.6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米）；主卧飘窗窗宽约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1.6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 xml:space="preserve"> 米，高约1.6米（飘窗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侧窗窗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宽约0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.45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米，高约1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.6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米）；次卧1窗宽约1.5米，高约1.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米；次卧2窗宽约1.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米，高约1.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米；厨房窗宽1.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米，高约1.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米；卫生间窗宽约0.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米，高约1.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米。</w:t>
      </w:r>
    </w:p>
    <w:p>
      <w:pPr>
        <w:spacing w:line="360" w:lineRule="auto"/>
        <w:ind w:firstLine="640" w:firstLineChars="200"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A户型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A户型与A反户型为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镜像关系）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卫生间为明卫：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包含1号楼1单元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01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户型，2单元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04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（一层）、0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户型；2号楼1单元0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户型（1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01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除外），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单元0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户型；3号楼1单元01户型，2单元0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户型、0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户型；4号楼1单元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0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户型（1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01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除外），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单元0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户型；</w:t>
      </w:r>
    </w:p>
    <w:p>
      <w:pPr>
        <w:spacing w:line="360" w:lineRule="auto"/>
        <w:ind w:firstLine="640" w:firstLineChars="200"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A’户型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A’户型与A’反户型为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镜像关系）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卫生间为暗卫：包含1号楼1单元0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、0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（一层）户型、2单元0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户型；2号楼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单元0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户型，2单元0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户型(1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01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除外)；3号楼1单元0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、0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户型，2单元0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户型；4号楼1单元0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户型，2单元0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户型（1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01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除外）；</w:t>
      </w:r>
    </w:p>
    <w:p>
      <w:pPr>
        <w:spacing w:line="360" w:lineRule="auto"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A户型户型图（A户型与A反户型为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镜像关系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）：</w:t>
      </w:r>
    </w:p>
    <w:p>
      <w:pPr>
        <w:spacing w:line="360" w:lineRule="auto"/>
        <w:ind w:firstLine="420" w:firstLineChars="200"/>
        <w:jc w:val="left"/>
        <w:rPr>
          <w:highlight w:val="none"/>
        </w:rPr>
      </w:pPr>
    </w:p>
    <w:p>
      <w:pPr>
        <w:spacing w:line="360" w:lineRule="auto"/>
        <w:ind w:firstLine="420" w:firstLineChars="200"/>
        <w:jc w:val="left"/>
        <w:rPr>
          <w:highlight w:val="none"/>
        </w:rPr>
      </w:pPr>
      <w:r>
        <w:rPr>
          <w:highlight w:val="none"/>
        </w:rPr>
        <w:drawing>
          <wp:inline distT="0" distB="0" distL="0" distR="0">
            <wp:extent cx="5704205" cy="6269990"/>
            <wp:effectExtent l="0" t="0" r="0" b="0"/>
            <wp:docPr id="2" name="图片 2" descr="C:\Users\Administrator\Desktop\户型\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户型\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4205" cy="626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highlight w:val="none"/>
        </w:rPr>
      </w:pPr>
    </w:p>
    <w:p>
      <w:pPr>
        <w:spacing w:line="360" w:lineRule="auto"/>
        <w:ind w:firstLine="420" w:firstLineChars="200"/>
        <w:jc w:val="left"/>
        <w:rPr>
          <w:highlight w:val="none"/>
        </w:rPr>
      </w:pPr>
    </w:p>
    <w:p>
      <w:pPr>
        <w:spacing w:line="360" w:lineRule="auto"/>
        <w:ind w:firstLine="420" w:firstLineChars="200"/>
        <w:jc w:val="left"/>
        <w:rPr>
          <w:highlight w:val="none"/>
        </w:rPr>
      </w:pPr>
    </w:p>
    <w:p>
      <w:pPr>
        <w:spacing w:line="360" w:lineRule="auto"/>
        <w:jc w:val="left"/>
        <w:rPr>
          <w:highlight w:val="none"/>
        </w:rPr>
      </w:pPr>
    </w:p>
    <w:p>
      <w:pPr>
        <w:spacing w:line="360" w:lineRule="auto"/>
        <w:jc w:val="left"/>
        <w:rPr>
          <w:highlight w:val="none"/>
        </w:rPr>
      </w:pPr>
    </w:p>
    <w:p>
      <w:pPr>
        <w:spacing w:line="360" w:lineRule="auto"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A’户型户型图（A’户型与A’反户型为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镜像关系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）：</w:t>
      </w:r>
    </w:p>
    <w:p>
      <w:pPr>
        <w:spacing w:line="360" w:lineRule="auto"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20" w:firstLineChars="200"/>
        <w:jc w:val="left"/>
        <w:rPr>
          <w:highlight w:val="none"/>
        </w:rPr>
      </w:pPr>
    </w:p>
    <w:p>
      <w:pPr>
        <w:spacing w:line="360" w:lineRule="auto"/>
        <w:ind w:firstLine="420" w:firstLineChars="200"/>
        <w:jc w:val="left"/>
        <w:rPr>
          <w:highlight w:val="none"/>
        </w:rPr>
      </w:pPr>
      <w:r>
        <w:rPr>
          <w:highlight w:val="none"/>
        </w:rPr>
        <w:drawing>
          <wp:inline distT="0" distB="0" distL="0" distR="0">
            <wp:extent cx="5759450" cy="6381750"/>
            <wp:effectExtent l="0" t="0" r="0" b="0"/>
            <wp:docPr id="22" name="图片 22" descr="C:\Users\Administrator\Desktop\户型\A'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strator\Desktop\户型\A'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6" t="2554" r="15589" b="884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38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highlight w:val="none"/>
        </w:rPr>
      </w:pPr>
    </w:p>
    <w:p>
      <w:pPr>
        <w:spacing w:line="360" w:lineRule="auto"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640" w:firstLineChars="200"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户型（两居室）：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约8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平方米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，共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 xml:space="preserve"> 216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套，位于1号楼1单元、2单元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至2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层；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号楼1单元、2单元 1至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28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层；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号楼1单元、2单元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至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28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层；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号楼1单元、2单元1至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26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层。窗户材质为断桥铝合金，客厅带阳台，主卧带飘窗。（单元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排序为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：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从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东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到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西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为一单元、二单元。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）</w:t>
      </w:r>
    </w:p>
    <w:p>
      <w:pPr>
        <w:spacing w:line="360" w:lineRule="auto"/>
        <w:ind w:firstLine="640" w:firstLineChars="200"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起居室窗阳台窗宽约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2.1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米，高约1.6米；主卧飘窗宽约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1.6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米，高约1.6米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(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飘窗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侧窗窗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宽约0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.45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米，高约1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.6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米)；次卧窗宽约1.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米，高约1.6米；厨房窗宽0.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米，高约1.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米。</w:t>
      </w:r>
    </w:p>
    <w:p>
      <w:pPr>
        <w:spacing w:line="360" w:lineRule="auto"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卫生间均为暗卫；</w:t>
      </w:r>
    </w:p>
    <w:p>
      <w:pPr>
        <w:spacing w:line="360" w:lineRule="auto"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户型户型图：</w:t>
      </w:r>
    </w:p>
    <w:p>
      <w:pPr>
        <w:spacing w:line="360" w:lineRule="auto"/>
        <w:ind w:firstLine="640" w:firstLineChars="200"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181600" cy="4022090"/>
            <wp:effectExtent l="0" t="0" r="0" b="0"/>
            <wp:docPr id="23" name="图片 23" descr="C:\Users\Administrator\Desktop\户型\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strator\Desktop\户型\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8" t="11949" r="13793" b="16038"/>
                    <a:stretch>
                      <a:fillRect/>
                    </a:stretch>
                  </pic:blipFill>
                  <pic:spPr>
                    <a:xfrm>
                      <a:off x="0" y="0"/>
                      <a:ext cx="5182960" cy="402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640" w:firstLineChars="200"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1户型（两居室，含A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1'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户型）：约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75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平方米，共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套，位于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号楼1单元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101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、2单元1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01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号楼1单元1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01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、2单元1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01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。窗户材质为断桥铝合金，客厅带阳台，主卧带飘窗。（单元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排序为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：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从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东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到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西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为一单元、二单元。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）</w:t>
      </w:r>
    </w:p>
    <w:p>
      <w:pPr>
        <w:spacing w:line="360" w:lineRule="auto"/>
        <w:ind w:firstLine="640" w:firstLineChars="200"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起居室阳台窗宽约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2.1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米，高约1.6米（空调检修窗宽约0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.6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米，高约1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.6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米）；主卧飘窗窗宽约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1.6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 xml:space="preserve"> 米，高约1.6米（飘窗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侧窗窗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宽约0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.45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米，高约1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.6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米）；次卧1窗宽约1.5米，高约1.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米；厨房窗宽1.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米，高约1.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米；卫生间窗宽约0.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米，高约1.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米。</w:t>
      </w:r>
    </w:p>
    <w:p>
      <w:pPr>
        <w:spacing w:line="360" w:lineRule="auto"/>
        <w:ind w:firstLine="640" w:firstLineChars="200"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A1户型卫生间为明卫：包含2号楼1单元1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01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；4号楼1单元1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01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；</w:t>
      </w:r>
    </w:p>
    <w:p>
      <w:pPr>
        <w:spacing w:line="360" w:lineRule="auto"/>
        <w:ind w:firstLine="640" w:firstLineChars="200"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A1’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 xml:space="preserve">户型卫生间为暗卫：包含2号楼 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单元1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01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；4号楼2单元1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01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；</w:t>
      </w:r>
    </w:p>
    <w:p>
      <w:pPr>
        <w:spacing w:line="360" w:lineRule="auto"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A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户型户型图：</w:t>
      </w:r>
    </w:p>
    <w:p>
      <w:pPr>
        <w:spacing w:line="360" w:lineRule="auto"/>
        <w:jc w:val="left"/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474970" cy="6886575"/>
            <wp:effectExtent l="0" t="0" r="0" b="0"/>
            <wp:docPr id="3" name="图片 3" descr="C:\Users\Administrator\Desktop\户型\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户型\A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6" t="4934" r="19308" b="5377"/>
                    <a:stretch>
                      <a:fillRect/>
                    </a:stretch>
                  </pic:blipFill>
                  <pic:spPr>
                    <a:xfrm>
                      <a:off x="0" y="0"/>
                      <a:ext cx="5479264" cy="689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left"/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A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’户型户型图：</w:t>
      </w:r>
    </w:p>
    <w:p>
      <w:pPr>
        <w:spacing w:line="360" w:lineRule="auto"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529580" cy="7346950"/>
            <wp:effectExtent l="0" t="0" r="0" b="0"/>
            <wp:docPr id="25" name="图片 25" descr="C:\Users\Administrator\Desktop\户型\A1'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istrator\Desktop\户型\A1'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41" t="4261" r="21579" b="7851"/>
                    <a:stretch>
                      <a:fillRect/>
                    </a:stretch>
                  </pic:blipFill>
                  <pic:spPr>
                    <a:xfrm>
                      <a:off x="0" y="0"/>
                      <a:ext cx="5533243" cy="735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640" w:firstLineChars="200"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640" w:firstLineChars="200"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left"/>
        <w:rPr>
          <w:rFonts w:ascii="仿宋" w:hAnsi="仿宋" w:eastAsia="仿宋" w:cs="宋体"/>
          <w:b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b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注：</w:t>
      </w:r>
    </w:p>
    <w:p>
      <w:pPr>
        <w:pStyle w:val="12"/>
        <w:numPr>
          <w:ilvl w:val="0"/>
          <w:numId w:val="1"/>
        </w:numPr>
        <w:spacing w:line="520" w:lineRule="exact"/>
        <w:ind w:right="640" w:firstLineChars="0"/>
        <w:rPr>
          <w:rFonts w:ascii="仿宋" w:hAnsi="仿宋" w:eastAsia="仿宋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以上数据最终以规划及住建委等相关部门审批结果为准；</w:t>
      </w:r>
    </w:p>
    <w:p>
      <w:pPr>
        <w:pStyle w:val="12"/>
        <w:numPr>
          <w:ilvl w:val="0"/>
          <w:numId w:val="1"/>
        </w:numPr>
        <w:spacing w:line="520" w:lineRule="exact"/>
        <w:ind w:right="640" w:firstLineChars="0"/>
        <w:rPr>
          <w:rFonts w:ascii="仿宋" w:hAnsi="仿宋" w:eastAsia="仿宋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以上所有户型面积均为建筑面积；</w:t>
      </w:r>
    </w:p>
    <w:p>
      <w:pPr>
        <w:pStyle w:val="12"/>
        <w:numPr>
          <w:ilvl w:val="0"/>
          <w:numId w:val="1"/>
        </w:numPr>
        <w:spacing w:line="520" w:lineRule="exact"/>
        <w:ind w:right="640" w:firstLineChars="0"/>
        <w:rPr>
          <w:rFonts w:ascii="仿宋" w:hAnsi="仿宋" w:eastAsia="仿宋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以上所有户型面积均以最终测绘成果为准；</w:t>
      </w:r>
    </w:p>
    <w:p>
      <w:pPr>
        <w:pStyle w:val="12"/>
        <w:numPr>
          <w:ilvl w:val="0"/>
          <w:numId w:val="1"/>
        </w:numPr>
        <w:spacing w:line="520" w:lineRule="exact"/>
        <w:ind w:right="640" w:firstLineChars="0"/>
        <w:rPr>
          <w:rFonts w:ascii="仿宋" w:hAnsi="仿宋" w:eastAsia="仿宋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户型图中家具、家电仅为位置示意</w:t>
      </w:r>
      <w:r>
        <w:rPr>
          <w:rFonts w:hint="eastAsia" w:ascii="仿宋" w:hAnsi="仿宋" w:eastAsia="仿宋"/>
          <w:bCs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pStyle w:val="12"/>
        <w:numPr>
          <w:ilvl w:val="0"/>
          <w:numId w:val="1"/>
        </w:numPr>
        <w:spacing w:line="520" w:lineRule="exact"/>
        <w:ind w:right="640" w:firstLineChars="0"/>
        <w:rPr>
          <w:rFonts w:ascii="仿宋" w:hAnsi="仿宋" w:eastAsia="仿宋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如有变更我司将及时公告。</w:t>
      </w:r>
    </w:p>
    <w:sectPr>
      <w:footerReference r:id="rId3" w:type="default"/>
      <w:pgSz w:w="11906" w:h="16838"/>
      <w:pgMar w:top="1134" w:right="1418" w:bottom="851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932812988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fldChar w:fldCharType="end"/>
        </w:r>
      </w:p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263FE"/>
    <w:multiLevelType w:val="multilevel"/>
    <w:tmpl w:val="08E263F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B84"/>
    <w:rsid w:val="000004F3"/>
    <w:rsid w:val="000141ED"/>
    <w:rsid w:val="0001694A"/>
    <w:rsid w:val="00033D5B"/>
    <w:rsid w:val="00040319"/>
    <w:rsid w:val="00044AD9"/>
    <w:rsid w:val="00054908"/>
    <w:rsid w:val="00055E24"/>
    <w:rsid w:val="00062B61"/>
    <w:rsid w:val="000710B9"/>
    <w:rsid w:val="000721D5"/>
    <w:rsid w:val="000916FD"/>
    <w:rsid w:val="0009489A"/>
    <w:rsid w:val="000D08A8"/>
    <w:rsid w:val="000D32DE"/>
    <w:rsid w:val="000D4150"/>
    <w:rsid w:val="000F56EC"/>
    <w:rsid w:val="000F5D80"/>
    <w:rsid w:val="001006D8"/>
    <w:rsid w:val="00107CED"/>
    <w:rsid w:val="0011115C"/>
    <w:rsid w:val="00117289"/>
    <w:rsid w:val="00124E75"/>
    <w:rsid w:val="0013171E"/>
    <w:rsid w:val="00142E7E"/>
    <w:rsid w:val="00187BC8"/>
    <w:rsid w:val="00195241"/>
    <w:rsid w:val="001C16D4"/>
    <w:rsid w:val="001C3B84"/>
    <w:rsid w:val="001E6D9C"/>
    <w:rsid w:val="001F651B"/>
    <w:rsid w:val="001F71CE"/>
    <w:rsid w:val="00201C5E"/>
    <w:rsid w:val="0021062B"/>
    <w:rsid w:val="00210D60"/>
    <w:rsid w:val="0021275E"/>
    <w:rsid w:val="002203E7"/>
    <w:rsid w:val="00231AF6"/>
    <w:rsid w:val="00235F03"/>
    <w:rsid w:val="0024021A"/>
    <w:rsid w:val="00240D3D"/>
    <w:rsid w:val="002446E9"/>
    <w:rsid w:val="00267B1B"/>
    <w:rsid w:val="002911C1"/>
    <w:rsid w:val="00291C03"/>
    <w:rsid w:val="00292058"/>
    <w:rsid w:val="002B1742"/>
    <w:rsid w:val="002B60D1"/>
    <w:rsid w:val="002C69AF"/>
    <w:rsid w:val="002D79C2"/>
    <w:rsid w:val="00306D19"/>
    <w:rsid w:val="00315F09"/>
    <w:rsid w:val="00361177"/>
    <w:rsid w:val="003655E6"/>
    <w:rsid w:val="00374DB3"/>
    <w:rsid w:val="00374E39"/>
    <w:rsid w:val="003B21B4"/>
    <w:rsid w:val="003B332F"/>
    <w:rsid w:val="003B46CD"/>
    <w:rsid w:val="003B557C"/>
    <w:rsid w:val="003C09DD"/>
    <w:rsid w:val="003C590C"/>
    <w:rsid w:val="003C7560"/>
    <w:rsid w:val="003D4E8E"/>
    <w:rsid w:val="004036BE"/>
    <w:rsid w:val="004123A8"/>
    <w:rsid w:val="004130CE"/>
    <w:rsid w:val="0041406A"/>
    <w:rsid w:val="00423902"/>
    <w:rsid w:val="0042742D"/>
    <w:rsid w:val="004402C3"/>
    <w:rsid w:val="0044730E"/>
    <w:rsid w:val="00451A37"/>
    <w:rsid w:val="004600C9"/>
    <w:rsid w:val="0046465C"/>
    <w:rsid w:val="00472AD1"/>
    <w:rsid w:val="00491FE0"/>
    <w:rsid w:val="0049457D"/>
    <w:rsid w:val="00496D69"/>
    <w:rsid w:val="004B2BC4"/>
    <w:rsid w:val="004B2D0E"/>
    <w:rsid w:val="004C2E27"/>
    <w:rsid w:val="004C3899"/>
    <w:rsid w:val="004D0B34"/>
    <w:rsid w:val="004D4AEF"/>
    <w:rsid w:val="004E1572"/>
    <w:rsid w:val="004E3BD4"/>
    <w:rsid w:val="004E4C2F"/>
    <w:rsid w:val="004E58D7"/>
    <w:rsid w:val="005061FE"/>
    <w:rsid w:val="0050697D"/>
    <w:rsid w:val="00523C30"/>
    <w:rsid w:val="00537CE2"/>
    <w:rsid w:val="00545806"/>
    <w:rsid w:val="00545CD3"/>
    <w:rsid w:val="00552E86"/>
    <w:rsid w:val="0056074C"/>
    <w:rsid w:val="00560877"/>
    <w:rsid w:val="0056320F"/>
    <w:rsid w:val="00565D47"/>
    <w:rsid w:val="00580E10"/>
    <w:rsid w:val="005849EB"/>
    <w:rsid w:val="00593AA8"/>
    <w:rsid w:val="00595C00"/>
    <w:rsid w:val="005B13B2"/>
    <w:rsid w:val="005E4BB1"/>
    <w:rsid w:val="005F2661"/>
    <w:rsid w:val="005F2EFA"/>
    <w:rsid w:val="005F2FD4"/>
    <w:rsid w:val="005F534B"/>
    <w:rsid w:val="00604310"/>
    <w:rsid w:val="006207DF"/>
    <w:rsid w:val="00622772"/>
    <w:rsid w:val="00627B8A"/>
    <w:rsid w:val="006413FE"/>
    <w:rsid w:val="00653A04"/>
    <w:rsid w:val="00662F5D"/>
    <w:rsid w:val="00666320"/>
    <w:rsid w:val="0067478B"/>
    <w:rsid w:val="006851A9"/>
    <w:rsid w:val="00691FA4"/>
    <w:rsid w:val="006A44F0"/>
    <w:rsid w:val="006A7895"/>
    <w:rsid w:val="006A7C9E"/>
    <w:rsid w:val="006C6990"/>
    <w:rsid w:val="006E1262"/>
    <w:rsid w:val="006F4629"/>
    <w:rsid w:val="006F6F7D"/>
    <w:rsid w:val="006F7252"/>
    <w:rsid w:val="006F76D7"/>
    <w:rsid w:val="007304CF"/>
    <w:rsid w:val="0073316A"/>
    <w:rsid w:val="00740476"/>
    <w:rsid w:val="00764113"/>
    <w:rsid w:val="0077449D"/>
    <w:rsid w:val="00781ACD"/>
    <w:rsid w:val="007917A6"/>
    <w:rsid w:val="007B01C2"/>
    <w:rsid w:val="007B0B16"/>
    <w:rsid w:val="007B50B2"/>
    <w:rsid w:val="007B62B2"/>
    <w:rsid w:val="007C1AEE"/>
    <w:rsid w:val="007E2821"/>
    <w:rsid w:val="008004CC"/>
    <w:rsid w:val="00802A2B"/>
    <w:rsid w:val="00806C8A"/>
    <w:rsid w:val="00841DEC"/>
    <w:rsid w:val="00846847"/>
    <w:rsid w:val="00850355"/>
    <w:rsid w:val="00856150"/>
    <w:rsid w:val="008578B4"/>
    <w:rsid w:val="00860E5B"/>
    <w:rsid w:val="00865F47"/>
    <w:rsid w:val="0087617A"/>
    <w:rsid w:val="008815BD"/>
    <w:rsid w:val="008877EA"/>
    <w:rsid w:val="0088785C"/>
    <w:rsid w:val="008A54AD"/>
    <w:rsid w:val="008A59B4"/>
    <w:rsid w:val="008B38D6"/>
    <w:rsid w:val="008B42CE"/>
    <w:rsid w:val="008C771D"/>
    <w:rsid w:val="008D7C89"/>
    <w:rsid w:val="00904343"/>
    <w:rsid w:val="009330B7"/>
    <w:rsid w:val="009343B0"/>
    <w:rsid w:val="00941F2C"/>
    <w:rsid w:val="00942567"/>
    <w:rsid w:val="00944CB5"/>
    <w:rsid w:val="00946454"/>
    <w:rsid w:val="009506B4"/>
    <w:rsid w:val="00955C63"/>
    <w:rsid w:val="00964E67"/>
    <w:rsid w:val="009948CB"/>
    <w:rsid w:val="009A60C6"/>
    <w:rsid w:val="009B1AA3"/>
    <w:rsid w:val="009C1D60"/>
    <w:rsid w:val="009D5FFF"/>
    <w:rsid w:val="00A14B53"/>
    <w:rsid w:val="00A17884"/>
    <w:rsid w:val="00A336DF"/>
    <w:rsid w:val="00A33C33"/>
    <w:rsid w:val="00A417E7"/>
    <w:rsid w:val="00A5085E"/>
    <w:rsid w:val="00AA074F"/>
    <w:rsid w:val="00AA3A28"/>
    <w:rsid w:val="00AC17EB"/>
    <w:rsid w:val="00AD4128"/>
    <w:rsid w:val="00AD6D94"/>
    <w:rsid w:val="00AE0590"/>
    <w:rsid w:val="00AF221D"/>
    <w:rsid w:val="00B01944"/>
    <w:rsid w:val="00B1750B"/>
    <w:rsid w:val="00B30A1D"/>
    <w:rsid w:val="00B31A94"/>
    <w:rsid w:val="00B33742"/>
    <w:rsid w:val="00B34982"/>
    <w:rsid w:val="00B46A04"/>
    <w:rsid w:val="00B47EA1"/>
    <w:rsid w:val="00B57EFA"/>
    <w:rsid w:val="00B608AA"/>
    <w:rsid w:val="00B82B3F"/>
    <w:rsid w:val="00B83FE4"/>
    <w:rsid w:val="00BA2B43"/>
    <w:rsid w:val="00BA458E"/>
    <w:rsid w:val="00BE5A76"/>
    <w:rsid w:val="00BF68FF"/>
    <w:rsid w:val="00C00A41"/>
    <w:rsid w:val="00C07A0E"/>
    <w:rsid w:val="00C17229"/>
    <w:rsid w:val="00C257CE"/>
    <w:rsid w:val="00C47EA5"/>
    <w:rsid w:val="00C5605B"/>
    <w:rsid w:val="00C72236"/>
    <w:rsid w:val="00C823AD"/>
    <w:rsid w:val="00C8374C"/>
    <w:rsid w:val="00CA1B8F"/>
    <w:rsid w:val="00CB1DBD"/>
    <w:rsid w:val="00CB6ED4"/>
    <w:rsid w:val="00CE7135"/>
    <w:rsid w:val="00CF04C7"/>
    <w:rsid w:val="00CF14CD"/>
    <w:rsid w:val="00D04A59"/>
    <w:rsid w:val="00D246F5"/>
    <w:rsid w:val="00D24FD7"/>
    <w:rsid w:val="00D40774"/>
    <w:rsid w:val="00D4450F"/>
    <w:rsid w:val="00D54771"/>
    <w:rsid w:val="00D81CA5"/>
    <w:rsid w:val="00D90FA6"/>
    <w:rsid w:val="00DA5644"/>
    <w:rsid w:val="00DB73FE"/>
    <w:rsid w:val="00DD2A8B"/>
    <w:rsid w:val="00DF120E"/>
    <w:rsid w:val="00DF1DB9"/>
    <w:rsid w:val="00DF7EBA"/>
    <w:rsid w:val="00E06653"/>
    <w:rsid w:val="00E16174"/>
    <w:rsid w:val="00E2055F"/>
    <w:rsid w:val="00E22355"/>
    <w:rsid w:val="00E37C40"/>
    <w:rsid w:val="00E51FA6"/>
    <w:rsid w:val="00E64077"/>
    <w:rsid w:val="00E71FBC"/>
    <w:rsid w:val="00E72A9F"/>
    <w:rsid w:val="00E74293"/>
    <w:rsid w:val="00E84578"/>
    <w:rsid w:val="00EA27B7"/>
    <w:rsid w:val="00EB1648"/>
    <w:rsid w:val="00EC6376"/>
    <w:rsid w:val="00ED1AF8"/>
    <w:rsid w:val="00EF3431"/>
    <w:rsid w:val="00F00907"/>
    <w:rsid w:val="00F074DB"/>
    <w:rsid w:val="00FA7986"/>
    <w:rsid w:val="00FD02A8"/>
    <w:rsid w:val="00FD7D95"/>
    <w:rsid w:val="00FE11CB"/>
    <w:rsid w:val="00FF1182"/>
    <w:rsid w:val="2C3C3B8E"/>
    <w:rsid w:val="39243FED"/>
    <w:rsid w:val="3FB71F0A"/>
    <w:rsid w:val="43A75BAE"/>
    <w:rsid w:val="4A5E1C1F"/>
    <w:rsid w:val="501218B6"/>
    <w:rsid w:val="7AD17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character" w:customStyle="1" w:styleId="9">
    <w:name w:val="页眉 字符"/>
    <w:basedOn w:val="6"/>
    <w:link w:val="4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0">
    <w:name w:val="页脚 字符"/>
    <w:basedOn w:val="6"/>
    <w:link w:val="3"/>
    <w:qFormat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1">
    <w:name w:val="批注框文本 字符"/>
    <w:basedOn w:val="6"/>
    <w:link w:val="2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paragraph" w:customStyle="1" w:styleId="12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DC800ED-3A9A-4484-90B7-CA064D81726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12</Pages>
  <Words>425</Words>
  <Characters>2428</Characters>
  <Lines>20</Lines>
  <Paragraphs>5</Paragraphs>
  <TotalTime>0</TotalTime>
  <ScaleCrop>false</ScaleCrop>
  <LinksUpToDate>false</LinksUpToDate>
  <CharactersWithSpaces>2848</CharactersWithSpaces>
  <Application>WPS Office_10.8.0.6308_F1E327BC-269C-435d-A152-05C5408002CA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2020-12-10T02:38:00Z</dcterms:created>
  <dc:creator>Administrator</dc:creator>
  <cp:lastModifiedBy>MAXHUB</cp:lastModifiedBy>
  <dcterms:modified xsi:type="dcterms:W3CDTF">2020-12-29T02:43:44Z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2052-10.8.0.6308</vt:lpwstr>
  </property>
</Properties>
</file>