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  <w:t>北京市朝阳区安贞街道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2021年政府信息公开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工作年度报告</w:t>
      </w:r>
    </w:p>
    <w:p>
      <w:pPr>
        <w:pStyle w:val="2"/>
        <w:rPr>
          <w:rFonts w:hint="eastAsia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pStyle w:val="2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2021年，安贞街道严格落实《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中华人民共和国政府信息公开条例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》，结合街道机构改革，及时更新机关职能、机构设置、办公地址、办公时间、联系方式、负责人姓名等相关内容；跟据区财政局相关工作要求，按时公示《北京市朝阳区人民政府安贞街道办事处2021年度部门预算》《安贞街道办事处政府购买服务指导性目录》等财政信息；全年共发布工作动态信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条，涉及环境治理、公共服务、公益事业、治安管理、文化建设、民生保障等方面。</w:t>
      </w:r>
    </w:p>
    <w:p>
      <w:pPr>
        <w:widowControl w:val="0"/>
        <w:numPr>
          <w:ilvl w:val="0"/>
          <w:numId w:val="0"/>
        </w:numPr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全年共收到政府信息公开申请3件，申请人均为自然人。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3件信息公开申请均已按照相关要求按时予以答复。</w:t>
      </w:r>
    </w:p>
    <w:p>
      <w:pPr>
        <w:widowControl/>
        <w:spacing w:line="600" w:lineRule="atLeast"/>
        <w:ind w:firstLine="64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全年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针对本街道政府信息公开的行政复议和行政诉讼申请均为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</w:rPr>
        <w:t>0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件。</w:t>
      </w:r>
    </w:p>
    <w:p>
      <w:pPr>
        <w:widowControl w:val="0"/>
        <w:numPr>
          <w:ilvl w:val="0"/>
          <w:numId w:val="0"/>
        </w:numPr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修订完善《安贞街道公共信息网络发布信息保密管理制度》《安贞街道党政公文处理规范》，强化源头属性管理和规范化管理。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按照每月公开政府信息不少于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条的工作要求，每周定期在政府网站发布街道工作动态信息。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将政府信息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和政务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公开工作作为一项重要工作任务列入年度计划和效能监察。</w:t>
      </w:r>
      <w:r>
        <w:rPr>
          <w:rFonts w:hint="eastAsia" w:ascii="仿宋_GB2312" w:eastAsia="仿宋_GB2312"/>
          <w:sz w:val="32"/>
          <w:szCs w:val="32"/>
        </w:rPr>
        <w:t>成立了街道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政府信息和政务公开工作</w:t>
      </w:r>
      <w:r>
        <w:rPr>
          <w:rFonts w:hint="eastAsia" w:ascii="仿宋_GB2312" w:eastAsia="仿宋_GB2312"/>
          <w:sz w:val="32"/>
          <w:szCs w:val="32"/>
        </w:rPr>
        <w:t>领导小组，并指定专人负责信息报送和网站维护工作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建设了</w:t>
      </w:r>
      <w:r>
        <w:rPr>
          <w:rFonts w:hint="eastAsia" w:ascii="仿宋_GB2312" w:eastAsia="仿宋_GB2312"/>
          <w:sz w:val="32"/>
          <w:szCs w:val="32"/>
          <w:lang w:eastAsia="zh-CN"/>
        </w:rPr>
        <w:t>由部门</w:t>
      </w:r>
      <w:r>
        <w:rPr>
          <w:rFonts w:hint="eastAsia" w:ascii="仿宋_GB2312" w:eastAsia="仿宋_GB2312"/>
          <w:sz w:val="32"/>
          <w:szCs w:val="32"/>
        </w:rPr>
        <w:t>内勤、各社区居委会信息员</w:t>
      </w:r>
      <w:r>
        <w:rPr>
          <w:rFonts w:hint="eastAsia" w:ascii="仿宋_GB2312" w:eastAsia="仿宋_GB2312"/>
          <w:sz w:val="32"/>
          <w:szCs w:val="32"/>
          <w:lang w:eastAsia="zh-CN"/>
        </w:rPr>
        <w:t>组成的</w:t>
      </w:r>
      <w:r>
        <w:rPr>
          <w:rFonts w:hint="eastAsia" w:ascii="仿宋_GB2312" w:eastAsia="仿宋_GB2312"/>
          <w:sz w:val="32"/>
          <w:szCs w:val="32"/>
        </w:rPr>
        <w:t>信息员队伍，负责</w:t>
      </w:r>
      <w:r>
        <w:rPr>
          <w:rFonts w:hint="eastAsia" w:ascii="仿宋_GB2312" w:eastAsia="仿宋_GB2312"/>
          <w:sz w:val="32"/>
          <w:szCs w:val="32"/>
          <w:lang w:eastAsia="zh-CN"/>
        </w:rPr>
        <w:t>各部门、各社区的</w:t>
      </w:r>
      <w:r>
        <w:rPr>
          <w:rFonts w:hint="eastAsia" w:ascii="仿宋_GB2312" w:eastAsia="仿宋_GB2312"/>
          <w:sz w:val="32"/>
          <w:szCs w:val="32"/>
        </w:rPr>
        <w:t>政务信息上报。</w:t>
      </w:r>
      <w:r>
        <w:rPr>
          <w:rFonts w:hint="eastAsia" w:ascii="仿宋_GB2312" w:eastAsia="仿宋_GB2312"/>
          <w:sz w:val="32"/>
          <w:szCs w:val="32"/>
          <w:lang w:eastAsia="zh-CN"/>
        </w:rPr>
        <w:t>综合办公室</w:t>
      </w:r>
      <w:r>
        <w:rPr>
          <w:rFonts w:hint="eastAsia" w:ascii="仿宋_GB2312" w:eastAsia="仿宋_GB2312"/>
          <w:sz w:val="32"/>
          <w:szCs w:val="32"/>
        </w:rPr>
        <w:t>专人负责信息汇总、发布工作。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组织街道各部门、各社区具体负责人员及时开展《政府信息公开条例》培训会，明确工作目标任务，讲解具体工作流程和要求，确保信息公开相关工作顺利运行。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tbl>
      <w:tblPr>
        <w:tblStyle w:val="4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010"/>
        <w:gridCol w:w="201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0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0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0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4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780"/>
        <w:gridCol w:w="2753"/>
        <w:gridCol w:w="470"/>
        <w:gridCol w:w="567"/>
        <w:gridCol w:w="568"/>
        <w:gridCol w:w="567"/>
        <w:gridCol w:w="565"/>
        <w:gridCol w:w="572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44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44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1585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4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1585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44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44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44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7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5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4"/>
        <w:tblW w:w="7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32"/>
        <w:gridCol w:w="531"/>
        <w:gridCol w:w="531"/>
        <w:gridCol w:w="531"/>
        <w:gridCol w:w="531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6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3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5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6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信息公开形式需进一步完善。下一步需加强街道各类信息公开平台的利用，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充分发挥政府网站、街道微信公众号、《掌上安贞》等多种宣传媒介的信息发布功能，</w:t>
      </w:r>
      <w:r>
        <w:rPr>
          <w:rFonts w:hint="eastAsia" w:ascii="仿宋_GB2312" w:eastAsia="仿宋_GB2312"/>
          <w:sz w:val="32"/>
          <w:szCs w:val="32"/>
        </w:rPr>
        <w:t>推进信息在辖区居民中的覆盖面。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2.信息公开制度落实有待加强。下一步将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认真落实各项制度，逐级细化操作流程，确保政府信息公开审核、保密审查、依申请办理、意见受理等工作规范运行。加强对政府信息公开重点、难点工作的研究，组织工作人员开展政府信息公开工作培训，不断提高街道政府信息公开工作队伍业务能力和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 w:val="0"/>
        <w:adjustRightInd/>
        <w:snapToGrid/>
        <w:spacing w:line="540" w:lineRule="exact"/>
        <w:ind w:firstLine="67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安贞街道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2021年未有收取信息处理费情况。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68D3A55"/>
    <w:rsid w:val="06950B86"/>
    <w:rsid w:val="085E2E9A"/>
    <w:rsid w:val="0CB54E8C"/>
    <w:rsid w:val="0ECF5035"/>
    <w:rsid w:val="0FA20EFD"/>
    <w:rsid w:val="10E71957"/>
    <w:rsid w:val="130F6946"/>
    <w:rsid w:val="13B508FE"/>
    <w:rsid w:val="14F94D81"/>
    <w:rsid w:val="19962AAF"/>
    <w:rsid w:val="1A0A1B17"/>
    <w:rsid w:val="1B0E7792"/>
    <w:rsid w:val="1D7E7C82"/>
    <w:rsid w:val="1F8D51FC"/>
    <w:rsid w:val="20A32222"/>
    <w:rsid w:val="22C53920"/>
    <w:rsid w:val="22EF4BA9"/>
    <w:rsid w:val="236D3D07"/>
    <w:rsid w:val="25827B7B"/>
    <w:rsid w:val="278034C2"/>
    <w:rsid w:val="2C773ADF"/>
    <w:rsid w:val="2F123DF4"/>
    <w:rsid w:val="2F442044"/>
    <w:rsid w:val="2FD45C24"/>
    <w:rsid w:val="3028788A"/>
    <w:rsid w:val="306E3863"/>
    <w:rsid w:val="327343B2"/>
    <w:rsid w:val="3376555C"/>
    <w:rsid w:val="36322C0A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1477F9"/>
    <w:rsid w:val="4246083E"/>
    <w:rsid w:val="4318224C"/>
    <w:rsid w:val="466316FA"/>
    <w:rsid w:val="47671C94"/>
    <w:rsid w:val="47E26ACE"/>
    <w:rsid w:val="48406600"/>
    <w:rsid w:val="4A414F82"/>
    <w:rsid w:val="4AA356D8"/>
    <w:rsid w:val="4B27074D"/>
    <w:rsid w:val="4D5107ED"/>
    <w:rsid w:val="4DB1750A"/>
    <w:rsid w:val="4DE96893"/>
    <w:rsid w:val="4F291144"/>
    <w:rsid w:val="51AC399F"/>
    <w:rsid w:val="526642CE"/>
    <w:rsid w:val="535B1626"/>
    <w:rsid w:val="57181606"/>
    <w:rsid w:val="5A834FC8"/>
    <w:rsid w:val="5B112153"/>
    <w:rsid w:val="5CDB4056"/>
    <w:rsid w:val="5D0D5D8A"/>
    <w:rsid w:val="5E290DDF"/>
    <w:rsid w:val="5EE61FA5"/>
    <w:rsid w:val="621524C6"/>
    <w:rsid w:val="644E5D99"/>
    <w:rsid w:val="67CE0D03"/>
    <w:rsid w:val="68791EE0"/>
    <w:rsid w:val="70BC1287"/>
    <w:rsid w:val="764634C4"/>
    <w:rsid w:val="792F3871"/>
    <w:rsid w:val="7AB067D2"/>
    <w:rsid w:val="7ACC1EA7"/>
    <w:rsid w:val="7B9F78A9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差不多先生</cp:lastModifiedBy>
  <cp:lastPrinted>2021-12-30T02:18:00Z</cp:lastPrinted>
  <dcterms:modified xsi:type="dcterms:W3CDTF">2022-01-06T08:48:20Z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63565455EC034C6A92A3B4EC4E36682F</vt:lpwstr>
  </property>
</Properties>
</file>