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北京市朝阳区人民政府麦子店街道办事处所属行政单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个，为北京市朝阳区人民政府麦子店街道办事处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，下设“六办一组一队”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；全额拨款事业单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位3个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，包括北京市朝阳区麦子店街道便民服务中心、北京市朝阳区麦子店街道市民活动中心、北京市朝阳区麦子店街道市民诉求处置中心。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bookmarkStart w:id="1" w:name="_GoBack"/>
      <w:bookmarkEnd w:id="1"/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仿宋_GB2312" w:hAnsi="仿宋" w:eastAsia="仿宋_GB2312" w:cs="仿宋"/>
          <w:bCs/>
          <w:sz w:val="32"/>
          <w:szCs w:val="32"/>
        </w:rPr>
        <w:t>按照部门职责及年初工作计划，为提高预算资金管理水平，检验经费支出预期目标实现程度，</w:t>
      </w:r>
      <w:bookmarkStart w:id="0" w:name="_Hlk53567156"/>
      <w:r>
        <w:rPr>
          <w:rFonts w:hint="eastAsia" w:ascii="仿宋_GB2312" w:hAnsi="仿宋" w:eastAsia="仿宋_GB2312" w:cs="仿宋"/>
          <w:bCs/>
          <w:sz w:val="32"/>
          <w:szCs w:val="32"/>
        </w:rPr>
        <w:t>考核经费支出效率和综合效果，</w:t>
      </w:r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根据《北京市项目支出绩效评价管理办法》和《麦子店街道办事处预算绩效管理办法（试行）》，组织相关部门有序开展绩效评价工作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绩效指标涵盖各业务部门职责及工作要点，并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重点关注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形成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的社会效益和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可持续影响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目标与职责任务匹配一致，绩效理念融入预算编制、执行、监督全过程。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年全年预算数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17495.412077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万元，其中，基本支出预算数4705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983938万元，项目支出预算数12789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428139万元。资金总体支出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17495.412077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万元，其中，基本支出4705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983938万元，项目支出12789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428139万元。预算执行率为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1.产出数量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整体服务覆盖全辖区，完成了重点职能工作保障项目，做好城市建设管理监察，开展辖区市容环境卫生、绿化、环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境保护，配合开展经常性社会捐助和慈善工作，妥善解决居民需求等绩效目标完成情况与预期无偏离。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资金拨付标准符合相关法律法规及本单位规章制度。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2.产出质量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持续加强基层党组织建设，全面深化落实社区减负增效，配合做好城乡规划管理，协助开展老旧小区综合整治等工作。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围绕“三化”目标要求，持续提升地区人居环境和居民生活品质，产出质量指标实现良好。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3.产出进度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部门整体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根据预算申报内容执行相关项目，项目专款专用，资金拨付及预算调整均有完整的审批程序。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各项资金使用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按照年初制定工作计划有序推进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，绩效目标实现情况与预期未偏离。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4.产出成本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能够遵守相关政策法规要求，严格财政支出的成本控制。下一步需要继续强化预算项目按计划及时完成年初设定目标，提高产出实际达成情况的可考核性。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1.社会效益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各项目实施发挥了应有的社会效益，基本达到预期设定指标，充分呈现财政资金成效，发挥了应有的社会效益，但个别项目的绩效成果展现不够显著，实施效果的呈现及总结仍需进一步加强。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2.服务对象满意度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辖区企业及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居民满意度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等服务对象满意度绩效目标实现效果与预期未偏离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1.财务管理制度健全性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为做好预算管理工作，规范预算的执行程序，提高项目执行效率，街道编制并严格执行《内部控制手册》，并及时依据相关法律法规修订完善制度体系。在强化内控建设的基础上，结合预算执行中发现的问题，进一步完善财务管理流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通过加大执行环节控制，提高预算资金使用的合规性和安全性，采取的方式方法有：一是严格按照预算批复执行，坚持统筹兼顾、指标控制、从严考核的原则，紧紧围绕发展需要确定预算，严格执行专项资金管理制度，不挪用和挤占项目资金；二是严格履行“三重一大”程序，对属于政府采购项目的支出，严格履行政府采购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加强会计核算基本工作，保证会计资料准确、完整，部门基础信息管理较好。预算资金的使用与相关的预算财务管理制度相符，同时，符合国家财经法规和财务管理制度规定，以及有关专项资金管理办法的规定。根据财政局关于做好部门预决算公开的相关要求，本部门及所属事业单位均及时并完整向社会公开部门的预决算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严格按照资产配置标准配置资产，对不能正常使用并达到最高使用年限的资产进行报废处置。固定资产管理制度较明确，相关部门和岗位的职责权限明确；资产管理人变更及时办理交接手续，落实新的接任人。但还需加强对资产的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jc w:val="both"/>
        <w:textAlignment w:val="auto"/>
        <w:outlineLvl w:val="9"/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年度预算编制要求设定和填报绩效目标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，并按照批复的绩效目标组织预算执行，开展绩效监控、单位自评，做到预算绩效全过程管理。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本单位零余额账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户202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年度结转结余率为0%。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财政拨款收入预决算差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异率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80.12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部门整体绩效实现情况及支出绩效目标完成情况基本相符，与预期完成情况未偏离。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81个项目自评得分均为100分。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480" w:firstLineChars="15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CJODE+MSung-Ligh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hruti">
    <w:panose1 w:val="020B0502040204020203"/>
    <w:charset w:val="01"/>
    <w:family w:val="roman"/>
    <w:pitch w:val="default"/>
    <w:sig w:usb0="00040003" w:usb1="00000000" w:usb2="00000000" w:usb3="00000000" w:csb0="0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57202C"/>
    <w:rsid w:val="005E3946"/>
    <w:rsid w:val="00B03B70"/>
    <w:rsid w:val="00CF07EE"/>
    <w:rsid w:val="00E617B2"/>
    <w:rsid w:val="00F42C33"/>
    <w:rsid w:val="0746190E"/>
    <w:rsid w:val="0AF62277"/>
    <w:rsid w:val="1A3A7BAD"/>
    <w:rsid w:val="1CFA34F8"/>
    <w:rsid w:val="22480BDB"/>
    <w:rsid w:val="255D778F"/>
    <w:rsid w:val="28650662"/>
    <w:rsid w:val="2F321339"/>
    <w:rsid w:val="3DFA317F"/>
    <w:rsid w:val="3E2C40B3"/>
    <w:rsid w:val="3E2E557B"/>
    <w:rsid w:val="5B1D39DF"/>
    <w:rsid w:val="5E423AFE"/>
    <w:rsid w:val="5EAB07E8"/>
    <w:rsid w:val="69C91FDD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ScaleCrop>false</ScaleCrop>
  <LinksUpToDate>false</LinksUpToDate>
  <CharactersWithSpaces>504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pc</cp:lastModifiedBy>
  <cp:lastPrinted>2025-01-16T06:24:00Z</cp:lastPrinted>
  <dcterms:modified xsi:type="dcterms:W3CDTF">2025-08-29T08:13:34Z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