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668" w:rsidRDefault="00C16CBD">
      <w:pPr>
        <w:spacing w:line="480" w:lineRule="exact"/>
        <w:rPr>
          <w:rFonts w:ascii="方正小标宋简体" w:eastAsia="方正小标宋简体"/>
          <w:sz w:val="36"/>
          <w:szCs w:val="36"/>
        </w:rPr>
      </w:pPr>
      <w:r>
        <w:rPr>
          <w:rFonts w:ascii="黑体" w:eastAsia="黑体" w:hAnsi="黑体" w:hint="eastAsia"/>
          <w:sz w:val="32"/>
          <w:szCs w:val="32"/>
        </w:rPr>
        <w:t>附件2</w:t>
      </w:r>
    </w:p>
    <w:p w:rsidR="00D54668" w:rsidRDefault="00C16CB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项目支出绩效评价报告</w:t>
      </w:r>
    </w:p>
    <w:p w:rsidR="00D54668" w:rsidRDefault="00C16CBD">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w:t>
      </w:r>
      <w:r w:rsidR="002C3DBE" w:rsidRPr="002C3DBE">
        <w:rPr>
          <w:rFonts w:ascii="方正小标宋简体" w:eastAsia="方正小标宋简体" w:hint="eastAsia"/>
          <w:sz w:val="36"/>
          <w:szCs w:val="36"/>
        </w:rPr>
        <w:t>风险评估</w:t>
      </w:r>
      <w:r>
        <w:rPr>
          <w:rFonts w:ascii="方正小标宋简体" w:eastAsia="方正小标宋简体" w:hint="eastAsia"/>
          <w:sz w:val="36"/>
          <w:szCs w:val="36"/>
        </w:rPr>
        <w:t>）</w:t>
      </w:r>
    </w:p>
    <w:p w:rsidR="00D54668" w:rsidRDefault="00D54668">
      <w:pPr>
        <w:jc w:val="center"/>
        <w:rPr>
          <w:rFonts w:ascii="仿宋_GB2312" w:eastAsia="仿宋_GB2312"/>
          <w:sz w:val="32"/>
          <w:szCs w:val="32"/>
        </w:rPr>
      </w:pPr>
    </w:p>
    <w:p w:rsidR="002C3DBE" w:rsidRDefault="00C16CBD" w:rsidP="00261C03">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一、基本情况</w:t>
      </w:r>
    </w:p>
    <w:p w:rsidR="002C3DBE" w:rsidRDefault="00C16CBD" w:rsidP="00261C03">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（一）项目概况。</w:t>
      </w:r>
      <w:bookmarkStart w:id="0" w:name="_GoBack"/>
      <w:bookmarkEnd w:id="0"/>
    </w:p>
    <w:p w:rsidR="00D54668" w:rsidRDefault="002C3DBE" w:rsidP="00261C03">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为深化和拓展城市安全风险评估工作，进一步筑牢风险防范基础，朝阳区应急局按照市应急办、市安委办印发的《北京市城市安全风险评估三年工作方案（2022年-2024年）》要求，开展2023年朝阳区城市安全风险评估工作。截至2023年底，市级共下达区级2023年度城市安全风险评估资金173.594万元，区级已安排专项资金0万元，安排项目3个，其中属于市级重点任务中的项目3个。资金均已合理使用。</w:t>
      </w:r>
    </w:p>
    <w:p w:rsidR="002C3DBE" w:rsidRDefault="00C16CBD">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（二）项目绩效目标。</w:t>
      </w:r>
    </w:p>
    <w:p w:rsidR="00D54668" w:rsidRDefault="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2023年，区级城市安全风险评估年度整体绩效目标为（1）新制定标准的行业（领域）的1300家社会单位完成新增风险评估工作；（2）督促已完成风险评估的2100余家社会单位（非小微）完成核查及季度更新工作；完成区级报告、44个街乡、管委会和13个行业报告的编制，报告格式需符合相关指南要求。全年完成市局下达的任务指标，构建企业安全生产管理长效机制。完成1707家社会单位完成新增风险评估工作，督促已完成风险评估的2100余家社会单位（非小微）完成核查及季度更新工作；完成区级报告、44个街乡、</w:t>
      </w:r>
      <w:r w:rsidRPr="002C3DBE">
        <w:rPr>
          <w:rFonts w:ascii="楷体_GB2312" w:eastAsia="楷体_GB2312" w:hAnsi="楷体_GB2312" w:cs="楷体_GB2312" w:hint="eastAsia"/>
          <w:sz w:val="32"/>
          <w:szCs w:val="32"/>
        </w:rPr>
        <w:lastRenderedPageBreak/>
        <w:t>管委会和13个行业报告的编制，报告格式需符合相关指南要求。</w:t>
      </w:r>
    </w:p>
    <w:p w:rsidR="00D54668" w:rsidRDefault="00C16CB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二、绩效评价工作开展情况</w:t>
      </w:r>
    </w:p>
    <w:p w:rsidR="00D54668" w:rsidRDefault="00C16CBD">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（一）绩效评价目的、对象和范围。</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评价目的</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一是加强预算绩效管理，强化支出责任，提高财政资金使用效益；二是进一步总结和分析财政资金支出效果，了解、分析、检验资金使用是否达到预期目标，资金管理是否规范，资金使用是否有效，考核财政支出效率和综合效果；三是通过绩效评价，促进实施部门总结经验、发现问题、改进工作，进一步加强项目管理。</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评价对象</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2023年城市安全风险评估项目</w:t>
      </w:r>
      <w:r>
        <w:rPr>
          <w:rFonts w:ascii="楷体_GB2312" w:eastAsia="楷体_GB2312" w:hAnsi="楷体_GB2312" w:cs="楷体_GB2312" w:hint="eastAsia"/>
          <w:sz w:val="32"/>
          <w:szCs w:val="32"/>
        </w:rPr>
        <w:t>。</w:t>
      </w:r>
    </w:p>
    <w:p w:rsidR="002C3DBE" w:rsidRDefault="002C3DBE" w:rsidP="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评价范围</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以《北京市财政局关于2023年推进全面实施预算绩效管理工作的预通知》文件明确的要求为准，即实施部门开展的、与2023年城市安全风险评估项目目标定位相关的工作。</w:t>
      </w:r>
    </w:p>
    <w:p w:rsidR="00D54668" w:rsidRDefault="00C16CBD">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（二）绩效评价原则、评价指标体系（附表说明）、评价方法、评价标准等。</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1</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评价原则</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一是客观公正原则</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本次绩效评价工作本着实事求是的原则，站在客观、公正的立场发表评价意见</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二是可衡量性原则，本次绩效评价工作具有可衡量性，能够通过具体的量化指标或标准进行评价，确保评价结果具有可对比性和准确性</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三是可操作性原则。本次绩效评价工作具有可操作性，被评价对象能够理解并参与到指标的实现过程</w:t>
      </w:r>
      <w:r w:rsidRPr="002C3DBE">
        <w:rPr>
          <w:rFonts w:ascii="楷体_GB2312" w:eastAsia="楷体_GB2312" w:hAnsi="楷体_GB2312" w:cs="楷体_GB2312" w:hint="eastAsia"/>
          <w:sz w:val="32"/>
          <w:szCs w:val="32"/>
        </w:rPr>
        <w:lastRenderedPageBreak/>
        <w:t>中，有助于促进工作行为和绩效的改进。</w:t>
      </w:r>
    </w:p>
    <w:p w:rsid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2</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评价指标体系</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根据《北京市项目支出绩效评价管理办》（京财绩效〔2020〕2146号）文件，确定了该项目绩效评价指标体系，其中一级指标4个</w:t>
      </w:r>
      <w:r w:rsidR="00BD26F2">
        <w:rPr>
          <w:rFonts w:ascii="楷体_GB2312" w:eastAsia="楷体_GB2312" w:hAnsi="楷体_GB2312" w:cs="楷体_GB2312" w:hint="eastAsia"/>
          <w:sz w:val="32"/>
          <w:szCs w:val="32"/>
        </w:rPr>
        <w:t>为产出指标、成本指标、效益指标和满意度指标</w:t>
      </w:r>
      <w:r w:rsidRPr="002C3DBE">
        <w:rPr>
          <w:rFonts w:ascii="楷体_GB2312" w:eastAsia="楷体_GB2312" w:hAnsi="楷体_GB2312" w:cs="楷体_GB2312" w:hint="eastAsia"/>
          <w:sz w:val="32"/>
          <w:szCs w:val="32"/>
        </w:rPr>
        <w:t>，二级指标6个</w:t>
      </w:r>
      <w:r w:rsidR="00BD26F2">
        <w:rPr>
          <w:rFonts w:ascii="楷体_GB2312" w:eastAsia="楷体_GB2312" w:hAnsi="楷体_GB2312" w:cs="楷体_GB2312" w:hint="eastAsia"/>
          <w:sz w:val="32"/>
          <w:szCs w:val="32"/>
        </w:rPr>
        <w:t>为数量指标、质量指标、时效指标、经济成本指标、社会效益指标和服务对象满意度指标</w:t>
      </w:r>
      <w:r w:rsidRPr="002C3DBE">
        <w:rPr>
          <w:rFonts w:ascii="楷体_GB2312" w:eastAsia="楷体_GB2312" w:hAnsi="楷体_GB2312" w:cs="楷体_GB2312" w:hint="eastAsia"/>
          <w:sz w:val="32"/>
          <w:szCs w:val="32"/>
        </w:rPr>
        <w:t>，三级指标</w:t>
      </w:r>
      <w:r w:rsidR="00BD26F2">
        <w:rPr>
          <w:rFonts w:ascii="楷体_GB2312" w:eastAsia="楷体_GB2312" w:hAnsi="楷体_GB2312" w:cs="楷体_GB2312" w:hint="eastAsia"/>
          <w:sz w:val="32"/>
          <w:szCs w:val="32"/>
        </w:rPr>
        <w:t>6</w:t>
      </w:r>
      <w:r w:rsidRPr="002C3DBE">
        <w:rPr>
          <w:rFonts w:ascii="楷体_GB2312" w:eastAsia="楷体_GB2312" w:hAnsi="楷体_GB2312" w:cs="楷体_GB2312" w:hint="eastAsia"/>
          <w:sz w:val="32"/>
          <w:szCs w:val="32"/>
        </w:rPr>
        <w:t>个</w:t>
      </w:r>
      <w:r w:rsidR="00C67928">
        <w:rPr>
          <w:rFonts w:ascii="楷体_GB2312" w:eastAsia="楷体_GB2312" w:hAnsi="楷体_GB2312" w:cs="楷体_GB2312" w:hint="eastAsia"/>
          <w:sz w:val="32"/>
          <w:szCs w:val="32"/>
        </w:rPr>
        <w:t>包括</w:t>
      </w:r>
      <w:r w:rsidR="00BD26F2">
        <w:rPr>
          <w:rFonts w:ascii="楷体_GB2312" w:eastAsia="楷体_GB2312" w:hAnsi="楷体_GB2312" w:cs="楷体_GB2312" w:hint="eastAsia"/>
          <w:sz w:val="32"/>
          <w:szCs w:val="32"/>
        </w:rPr>
        <w:t>定性指标3个、定量指标3个。</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3</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评价方法</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根据《北京市项目支出绩效评价管理办》（京财绩效〔2020〕2146号）文件规定的绩效评价方法，结合项目实际情况，本次绩效评价工作以专家评价法为主，按照全面评价与重点评价相结合，现场评价与非现场评价相结合的方式组织实施。</w:t>
      </w:r>
    </w:p>
    <w:p w:rsidR="002C3DBE" w:rsidRDefault="002C3DBE" w:rsidP="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4</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评价标准</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根据《北京市项目支出绩效评价管理办》（京财绩效〔2020〕2146号）文件规定的绩效评价标准，结合项目实际情况，本次绩效评价工作采用计划标准，以预先制定的目标、计划、预算作为本次绩效评价的标准</w:t>
      </w:r>
      <w:r>
        <w:rPr>
          <w:rFonts w:ascii="楷体_GB2312" w:eastAsia="楷体_GB2312" w:hAnsi="楷体_GB2312" w:cs="楷体_GB2312" w:hint="eastAsia"/>
          <w:sz w:val="32"/>
          <w:szCs w:val="32"/>
        </w:rPr>
        <w:t>。</w:t>
      </w:r>
    </w:p>
    <w:p w:rsidR="00D54668" w:rsidRDefault="00C16CBD">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（三）绩效评价工作过程。</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为确保绩效评价工作的客观公正，评价工作组严格按照绩效评价工作程序组织该项目的绩效评价工作。</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1、</w:t>
      </w:r>
      <w:r w:rsidRPr="002C3DBE">
        <w:rPr>
          <w:rFonts w:ascii="楷体_GB2312" w:eastAsia="楷体_GB2312" w:hAnsi="楷体_GB2312" w:cs="楷体_GB2312" w:hint="eastAsia"/>
          <w:sz w:val="32"/>
          <w:szCs w:val="32"/>
        </w:rPr>
        <w:t>资金管理制度制定与执行情况</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局内建立了较为健全的财务管理相关制度，包括：三重一大实施办法，财务支出管理制度，内审制度，审计整改制度等。项目开展全过程中，严格按照财务制度的要求执行。预算得到了有效执行，</w:t>
      </w:r>
      <w:r w:rsidRPr="002C3DBE">
        <w:rPr>
          <w:rFonts w:ascii="楷体_GB2312" w:eastAsia="楷体_GB2312" w:hAnsi="楷体_GB2312" w:cs="楷体_GB2312" w:hint="eastAsia"/>
          <w:sz w:val="32"/>
          <w:szCs w:val="32"/>
        </w:rPr>
        <w:lastRenderedPageBreak/>
        <w:t>确保专款专用。</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2、</w:t>
      </w:r>
      <w:r w:rsidRPr="002C3DBE">
        <w:rPr>
          <w:rFonts w:ascii="楷体_GB2312" w:eastAsia="楷体_GB2312" w:hAnsi="楷体_GB2312" w:cs="楷体_GB2312" w:hint="eastAsia"/>
          <w:sz w:val="32"/>
          <w:szCs w:val="32"/>
        </w:rPr>
        <w:t>资金分配决策情况</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城市安全风险评估项目执行过程中，包括项目的立项、比选、支付首付款（合同金额的80%）、支付尾款（合同金额的20%）等过程，我局均严格按照财务制度的要求执行。</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3、</w:t>
      </w:r>
      <w:r w:rsidRPr="002C3DBE">
        <w:rPr>
          <w:rFonts w:ascii="楷体_GB2312" w:eastAsia="楷体_GB2312" w:hAnsi="楷体_GB2312" w:cs="楷体_GB2312" w:hint="eastAsia"/>
          <w:sz w:val="32"/>
          <w:szCs w:val="32"/>
        </w:rPr>
        <w:t>项目立项管理情况</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在“推进城市安全风险评估”项目执行过程中，我局严格按照三重一大实施办法，财务支出等管理制度，对项目进行管理。项目的立项，招标以及经费的支付均按要求上会审议通过后再执行。并填写了朝阳区应急局项目支出验收自评表。</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4、</w:t>
      </w:r>
      <w:r w:rsidRPr="002C3DBE">
        <w:rPr>
          <w:rFonts w:ascii="楷体_GB2312" w:eastAsia="楷体_GB2312" w:hAnsi="楷体_GB2312" w:cs="楷体_GB2312" w:hint="eastAsia"/>
          <w:sz w:val="32"/>
          <w:szCs w:val="32"/>
        </w:rPr>
        <w:t>项目和资金过程执行管理情况</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在项目和资金执行过程中，各区过程监管等情况，如中期运行监控，项目检查验收、合同管理及审计，年度绩效自评，绩效评价等。</w:t>
      </w:r>
    </w:p>
    <w:p w:rsidR="002C3DBE" w:rsidRDefault="002C3DBE" w:rsidP="002C3DBE">
      <w:pPr>
        <w:spacing w:line="60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5、</w:t>
      </w:r>
      <w:r w:rsidRPr="002C3DBE">
        <w:rPr>
          <w:rFonts w:ascii="楷体_GB2312" w:eastAsia="楷体_GB2312" w:hAnsi="楷体_GB2312" w:cs="楷体_GB2312" w:hint="eastAsia"/>
          <w:sz w:val="32"/>
          <w:szCs w:val="32"/>
        </w:rPr>
        <w:t>资金使用成效情况</w:t>
      </w:r>
      <w:r>
        <w:rPr>
          <w:rFonts w:ascii="楷体_GB2312" w:eastAsia="楷体_GB2312" w:hAnsi="楷体_GB2312" w:cs="楷体_GB2312" w:hint="eastAsia"/>
          <w:sz w:val="32"/>
          <w:szCs w:val="32"/>
        </w:rPr>
        <w:t>。</w:t>
      </w:r>
      <w:r w:rsidRPr="002C3DBE">
        <w:rPr>
          <w:rFonts w:ascii="楷体_GB2312" w:eastAsia="楷体_GB2312" w:hAnsi="楷体_GB2312" w:cs="楷体_GB2312" w:hint="eastAsia"/>
          <w:sz w:val="32"/>
          <w:szCs w:val="32"/>
        </w:rPr>
        <w:t>按照《北京市城市安全风险评估三年工作方案（2022年-2024年）》要求，在既有城市安全风险评估工作成果基础上，利用3年时间，持续推进安全风险评估向广度和深度“双拓展”，大力推动行业、地、社会单位城市安全风险评估能力和质量“双提升”。基本建立政府推动、单位主责、行业自律、机构帮扶、科技支撑的风险分级管控机制，形成具有首都特色的风险管理工作模式。</w:t>
      </w:r>
    </w:p>
    <w:p w:rsidR="00D54668" w:rsidRDefault="00C16CBD">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三、综合评价情况及评价结论</w:t>
      </w:r>
    </w:p>
    <w:p w:rsid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该项目绩效评价综合得分100分，其中，项目决策得分10分，项目过程得分20分，项目产出得分40分，项目效益</w:t>
      </w:r>
      <w:r w:rsidRPr="002C3DBE">
        <w:rPr>
          <w:rFonts w:ascii="楷体_GB2312" w:eastAsia="楷体_GB2312" w:hAnsi="楷体_GB2312" w:cs="楷体_GB2312" w:hint="eastAsia"/>
          <w:sz w:val="32"/>
          <w:szCs w:val="32"/>
        </w:rPr>
        <w:lastRenderedPageBreak/>
        <w:t>得分30分，绩效评定级别为“优”。具体情况如下表：</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2790"/>
        <w:gridCol w:w="2891"/>
        <w:gridCol w:w="3250"/>
      </w:tblGrid>
      <w:tr w:rsidR="002C3DBE" w:rsidRPr="00965928" w:rsidTr="005C048D">
        <w:trPr>
          <w:cantSplit/>
          <w:trHeight w:val="454"/>
          <w:tblHeader/>
        </w:trPr>
        <w:tc>
          <w:tcPr>
            <w:tcW w:w="2790" w:type="dxa"/>
            <w:shd w:val="clear" w:color="auto" w:fill="BEBEBE"/>
            <w:vAlign w:val="center"/>
          </w:tcPr>
          <w:p w:rsidR="002C3DBE" w:rsidRPr="00965928" w:rsidRDefault="002C3DBE" w:rsidP="005C048D">
            <w:pPr>
              <w:adjustRightInd w:val="0"/>
              <w:snapToGrid w:val="0"/>
              <w:jc w:val="center"/>
              <w:rPr>
                <w:b/>
              </w:rPr>
            </w:pPr>
            <w:r w:rsidRPr="00965928">
              <w:rPr>
                <w:b/>
              </w:rPr>
              <w:t>评价内容</w:t>
            </w:r>
          </w:p>
        </w:tc>
        <w:tc>
          <w:tcPr>
            <w:tcW w:w="2891" w:type="dxa"/>
            <w:shd w:val="clear" w:color="auto" w:fill="BEBEBE"/>
            <w:vAlign w:val="center"/>
          </w:tcPr>
          <w:p w:rsidR="002C3DBE" w:rsidRPr="00965928" w:rsidRDefault="002C3DBE" w:rsidP="005C048D">
            <w:pPr>
              <w:adjustRightInd w:val="0"/>
              <w:snapToGrid w:val="0"/>
              <w:jc w:val="center"/>
              <w:rPr>
                <w:b/>
              </w:rPr>
            </w:pPr>
            <w:r w:rsidRPr="00965928">
              <w:rPr>
                <w:b/>
              </w:rPr>
              <w:t>分值</w:t>
            </w:r>
          </w:p>
        </w:tc>
        <w:tc>
          <w:tcPr>
            <w:tcW w:w="3250" w:type="dxa"/>
            <w:shd w:val="clear" w:color="auto" w:fill="BEBEBE"/>
            <w:vAlign w:val="center"/>
          </w:tcPr>
          <w:p w:rsidR="002C3DBE" w:rsidRPr="00965928" w:rsidRDefault="002C3DBE" w:rsidP="005C048D">
            <w:pPr>
              <w:adjustRightInd w:val="0"/>
              <w:snapToGrid w:val="0"/>
              <w:jc w:val="center"/>
              <w:rPr>
                <w:b/>
              </w:rPr>
            </w:pPr>
            <w:r w:rsidRPr="00965928">
              <w:rPr>
                <w:b/>
              </w:rPr>
              <w:t>评价得分</w:t>
            </w:r>
          </w:p>
        </w:tc>
      </w:tr>
      <w:tr w:rsidR="002C3DBE" w:rsidRPr="00965928" w:rsidTr="005C048D">
        <w:trPr>
          <w:cantSplit/>
          <w:trHeight w:val="454"/>
        </w:trPr>
        <w:tc>
          <w:tcPr>
            <w:tcW w:w="2790" w:type="dxa"/>
            <w:vAlign w:val="center"/>
          </w:tcPr>
          <w:p w:rsidR="002C3DBE" w:rsidRPr="00965928" w:rsidRDefault="002C3DBE" w:rsidP="005C048D">
            <w:pPr>
              <w:pStyle w:val="a5"/>
              <w:adjustRightInd w:val="0"/>
              <w:snapToGrid w:val="0"/>
              <w:ind w:firstLine="0"/>
              <w:jc w:val="center"/>
              <w:rPr>
                <w:b/>
              </w:rPr>
            </w:pPr>
            <w:r w:rsidRPr="00965928">
              <w:rPr>
                <w:b/>
              </w:rPr>
              <w:t>项目决策</w:t>
            </w:r>
          </w:p>
        </w:tc>
        <w:tc>
          <w:tcPr>
            <w:tcW w:w="2891" w:type="dxa"/>
            <w:vAlign w:val="center"/>
          </w:tcPr>
          <w:p w:rsidR="002C3DBE" w:rsidRPr="00965928" w:rsidRDefault="002C3DBE" w:rsidP="005C048D">
            <w:pPr>
              <w:adjustRightInd w:val="0"/>
              <w:snapToGrid w:val="0"/>
              <w:jc w:val="center"/>
              <w:rPr>
                <w:bCs/>
              </w:rPr>
            </w:pPr>
            <w:r w:rsidRPr="00965928">
              <w:rPr>
                <w:bCs/>
              </w:rPr>
              <w:t>10</w:t>
            </w:r>
          </w:p>
        </w:tc>
        <w:tc>
          <w:tcPr>
            <w:tcW w:w="3250" w:type="dxa"/>
            <w:vAlign w:val="center"/>
          </w:tcPr>
          <w:p w:rsidR="002C3DBE" w:rsidRPr="00965928" w:rsidRDefault="002C3DBE" w:rsidP="005C048D">
            <w:pPr>
              <w:adjustRightInd w:val="0"/>
              <w:snapToGrid w:val="0"/>
              <w:jc w:val="center"/>
              <w:rPr>
                <w:bCs/>
              </w:rPr>
            </w:pPr>
            <w:r>
              <w:rPr>
                <w:rFonts w:hint="eastAsia"/>
                <w:bCs/>
              </w:rPr>
              <w:t>10</w:t>
            </w:r>
          </w:p>
        </w:tc>
      </w:tr>
      <w:tr w:rsidR="002C3DBE" w:rsidRPr="00965928" w:rsidTr="005C048D">
        <w:trPr>
          <w:cantSplit/>
          <w:trHeight w:val="454"/>
        </w:trPr>
        <w:tc>
          <w:tcPr>
            <w:tcW w:w="2790" w:type="dxa"/>
            <w:vAlign w:val="center"/>
          </w:tcPr>
          <w:p w:rsidR="002C3DBE" w:rsidRPr="00965928" w:rsidRDefault="002C3DBE" w:rsidP="005C048D">
            <w:pPr>
              <w:adjustRightInd w:val="0"/>
              <w:snapToGrid w:val="0"/>
              <w:jc w:val="center"/>
              <w:rPr>
                <w:b/>
                <w:szCs w:val="21"/>
              </w:rPr>
            </w:pPr>
            <w:r w:rsidRPr="00965928">
              <w:rPr>
                <w:b/>
                <w:szCs w:val="21"/>
              </w:rPr>
              <w:t>项目过程</w:t>
            </w:r>
          </w:p>
        </w:tc>
        <w:tc>
          <w:tcPr>
            <w:tcW w:w="2891" w:type="dxa"/>
            <w:vAlign w:val="center"/>
          </w:tcPr>
          <w:p w:rsidR="002C3DBE" w:rsidRPr="00965928" w:rsidRDefault="002C3DBE" w:rsidP="005C048D">
            <w:pPr>
              <w:adjustRightInd w:val="0"/>
              <w:snapToGrid w:val="0"/>
              <w:jc w:val="center"/>
              <w:rPr>
                <w:bCs/>
              </w:rPr>
            </w:pPr>
            <w:r w:rsidRPr="00965928">
              <w:rPr>
                <w:bCs/>
              </w:rPr>
              <w:t>20</w:t>
            </w:r>
          </w:p>
        </w:tc>
        <w:tc>
          <w:tcPr>
            <w:tcW w:w="3250" w:type="dxa"/>
            <w:vAlign w:val="center"/>
          </w:tcPr>
          <w:p w:rsidR="002C3DBE" w:rsidRPr="00965928" w:rsidRDefault="002C3DBE" w:rsidP="005C048D">
            <w:pPr>
              <w:adjustRightInd w:val="0"/>
              <w:snapToGrid w:val="0"/>
              <w:jc w:val="center"/>
              <w:rPr>
                <w:bCs/>
              </w:rPr>
            </w:pPr>
            <w:r>
              <w:rPr>
                <w:rFonts w:hint="eastAsia"/>
                <w:bCs/>
              </w:rPr>
              <w:t>20</w:t>
            </w:r>
          </w:p>
        </w:tc>
      </w:tr>
      <w:tr w:rsidR="002C3DBE" w:rsidRPr="00965928" w:rsidTr="005C048D">
        <w:trPr>
          <w:cantSplit/>
          <w:trHeight w:val="454"/>
        </w:trPr>
        <w:tc>
          <w:tcPr>
            <w:tcW w:w="2790" w:type="dxa"/>
            <w:vAlign w:val="center"/>
          </w:tcPr>
          <w:p w:rsidR="002C3DBE" w:rsidRPr="00965928" w:rsidRDefault="002C3DBE" w:rsidP="005C048D">
            <w:pPr>
              <w:adjustRightInd w:val="0"/>
              <w:snapToGrid w:val="0"/>
              <w:jc w:val="center"/>
              <w:rPr>
                <w:b/>
                <w:szCs w:val="21"/>
              </w:rPr>
            </w:pPr>
            <w:r w:rsidRPr="00965928">
              <w:rPr>
                <w:b/>
                <w:szCs w:val="21"/>
              </w:rPr>
              <w:t>项目产出</w:t>
            </w:r>
          </w:p>
        </w:tc>
        <w:tc>
          <w:tcPr>
            <w:tcW w:w="2891" w:type="dxa"/>
            <w:vAlign w:val="center"/>
          </w:tcPr>
          <w:p w:rsidR="002C3DBE" w:rsidRPr="00965928" w:rsidRDefault="00B05D62" w:rsidP="005C048D">
            <w:pPr>
              <w:adjustRightInd w:val="0"/>
              <w:snapToGrid w:val="0"/>
              <w:jc w:val="center"/>
              <w:rPr>
                <w:bCs/>
              </w:rPr>
            </w:pPr>
            <w:r>
              <w:rPr>
                <w:rFonts w:hint="eastAsia"/>
                <w:bCs/>
              </w:rPr>
              <w:t>5</w:t>
            </w:r>
            <w:r w:rsidR="002C3DBE" w:rsidRPr="00965928">
              <w:rPr>
                <w:bCs/>
              </w:rPr>
              <w:t>0</w:t>
            </w:r>
          </w:p>
        </w:tc>
        <w:tc>
          <w:tcPr>
            <w:tcW w:w="3250" w:type="dxa"/>
            <w:vAlign w:val="center"/>
          </w:tcPr>
          <w:p w:rsidR="002C3DBE" w:rsidRPr="00965928" w:rsidRDefault="00B05D62" w:rsidP="005C048D">
            <w:pPr>
              <w:adjustRightInd w:val="0"/>
              <w:snapToGrid w:val="0"/>
              <w:jc w:val="center"/>
              <w:rPr>
                <w:bCs/>
              </w:rPr>
            </w:pPr>
            <w:r>
              <w:rPr>
                <w:rFonts w:hint="eastAsia"/>
                <w:bCs/>
              </w:rPr>
              <w:t>5</w:t>
            </w:r>
            <w:r w:rsidR="002C3DBE">
              <w:rPr>
                <w:rFonts w:hint="eastAsia"/>
                <w:bCs/>
              </w:rPr>
              <w:t>0</w:t>
            </w:r>
          </w:p>
        </w:tc>
      </w:tr>
      <w:tr w:rsidR="002C3DBE" w:rsidRPr="00965928" w:rsidTr="005C048D">
        <w:trPr>
          <w:cantSplit/>
          <w:trHeight w:val="454"/>
        </w:trPr>
        <w:tc>
          <w:tcPr>
            <w:tcW w:w="2790" w:type="dxa"/>
            <w:vAlign w:val="center"/>
          </w:tcPr>
          <w:p w:rsidR="002C3DBE" w:rsidRPr="00965928" w:rsidRDefault="002C3DBE" w:rsidP="005C048D">
            <w:pPr>
              <w:adjustRightInd w:val="0"/>
              <w:snapToGrid w:val="0"/>
              <w:jc w:val="center"/>
              <w:rPr>
                <w:b/>
                <w:szCs w:val="21"/>
              </w:rPr>
            </w:pPr>
            <w:r w:rsidRPr="00965928">
              <w:rPr>
                <w:b/>
                <w:szCs w:val="21"/>
              </w:rPr>
              <w:t>项目效益</w:t>
            </w:r>
          </w:p>
        </w:tc>
        <w:tc>
          <w:tcPr>
            <w:tcW w:w="2891" w:type="dxa"/>
            <w:vAlign w:val="center"/>
          </w:tcPr>
          <w:p w:rsidR="002C3DBE" w:rsidRPr="00965928" w:rsidRDefault="00B05D62" w:rsidP="005C048D">
            <w:pPr>
              <w:adjustRightInd w:val="0"/>
              <w:snapToGrid w:val="0"/>
              <w:jc w:val="center"/>
              <w:rPr>
                <w:bCs/>
              </w:rPr>
            </w:pPr>
            <w:r>
              <w:rPr>
                <w:rFonts w:hint="eastAsia"/>
                <w:bCs/>
              </w:rPr>
              <w:t>2</w:t>
            </w:r>
            <w:r w:rsidR="002C3DBE" w:rsidRPr="00965928">
              <w:rPr>
                <w:bCs/>
              </w:rPr>
              <w:t>0</w:t>
            </w:r>
          </w:p>
        </w:tc>
        <w:tc>
          <w:tcPr>
            <w:tcW w:w="3250" w:type="dxa"/>
            <w:vAlign w:val="center"/>
          </w:tcPr>
          <w:p w:rsidR="002C3DBE" w:rsidRPr="00965928" w:rsidRDefault="00B05D62" w:rsidP="005C048D">
            <w:pPr>
              <w:adjustRightInd w:val="0"/>
              <w:snapToGrid w:val="0"/>
              <w:jc w:val="center"/>
              <w:rPr>
                <w:bCs/>
              </w:rPr>
            </w:pPr>
            <w:r>
              <w:rPr>
                <w:rFonts w:hint="eastAsia"/>
                <w:bCs/>
              </w:rPr>
              <w:t>2</w:t>
            </w:r>
            <w:r w:rsidR="002C3DBE">
              <w:rPr>
                <w:rFonts w:hint="eastAsia"/>
                <w:bCs/>
              </w:rPr>
              <w:t>0</w:t>
            </w:r>
          </w:p>
        </w:tc>
      </w:tr>
      <w:tr w:rsidR="002C3DBE" w:rsidRPr="00965928" w:rsidTr="005C048D">
        <w:trPr>
          <w:cantSplit/>
          <w:trHeight w:val="454"/>
        </w:trPr>
        <w:tc>
          <w:tcPr>
            <w:tcW w:w="2790" w:type="dxa"/>
            <w:vAlign w:val="center"/>
          </w:tcPr>
          <w:p w:rsidR="002C3DBE" w:rsidRPr="00965928" w:rsidRDefault="002C3DBE" w:rsidP="005C048D">
            <w:pPr>
              <w:adjustRightInd w:val="0"/>
              <w:snapToGrid w:val="0"/>
              <w:jc w:val="center"/>
              <w:rPr>
                <w:b/>
              </w:rPr>
            </w:pPr>
            <w:r w:rsidRPr="00965928">
              <w:rPr>
                <w:b/>
              </w:rPr>
              <w:t>综合得分</w:t>
            </w:r>
          </w:p>
        </w:tc>
        <w:tc>
          <w:tcPr>
            <w:tcW w:w="2891" w:type="dxa"/>
            <w:vAlign w:val="center"/>
          </w:tcPr>
          <w:p w:rsidR="002C3DBE" w:rsidRPr="00965928" w:rsidRDefault="002C3DBE" w:rsidP="005C048D">
            <w:pPr>
              <w:adjustRightInd w:val="0"/>
              <w:snapToGrid w:val="0"/>
              <w:jc w:val="center"/>
              <w:rPr>
                <w:b/>
              </w:rPr>
            </w:pPr>
            <w:r w:rsidRPr="00965928">
              <w:rPr>
                <w:b/>
              </w:rPr>
              <w:t>100</w:t>
            </w:r>
          </w:p>
        </w:tc>
        <w:tc>
          <w:tcPr>
            <w:tcW w:w="3250" w:type="dxa"/>
            <w:vAlign w:val="center"/>
          </w:tcPr>
          <w:p w:rsidR="002C3DBE" w:rsidRPr="00965928" w:rsidRDefault="002C3DBE" w:rsidP="005C048D">
            <w:pPr>
              <w:adjustRightInd w:val="0"/>
              <w:snapToGrid w:val="0"/>
              <w:jc w:val="center"/>
              <w:rPr>
                <w:bCs/>
              </w:rPr>
            </w:pPr>
            <w:r>
              <w:rPr>
                <w:rFonts w:hint="eastAsia"/>
                <w:b/>
              </w:rPr>
              <w:t>100</w:t>
            </w:r>
          </w:p>
        </w:tc>
      </w:tr>
      <w:tr w:rsidR="002C3DBE" w:rsidRPr="00965928" w:rsidTr="005C048D">
        <w:trPr>
          <w:cantSplit/>
          <w:trHeight w:val="454"/>
        </w:trPr>
        <w:tc>
          <w:tcPr>
            <w:tcW w:w="2790" w:type="dxa"/>
            <w:vAlign w:val="center"/>
          </w:tcPr>
          <w:p w:rsidR="002C3DBE" w:rsidRPr="00965928" w:rsidRDefault="002C3DBE" w:rsidP="005C048D">
            <w:pPr>
              <w:adjustRightInd w:val="0"/>
              <w:snapToGrid w:val="0"/>
              <w:jc w:val="center"/>
              <w:rPr>
                <w:b/>
              </w:rPr>
            </w:pPr>
            <w:r w:rsidRPr="00965928">
              <w:rPr>
                <w:b/>
              </w:rPr>
              <w:t>绩效评定级别</w:t>
            </w:r>
          </w:p>
        </w:tc>
        <w:tc>
          <w:tcPr>
            <w:tcW w:w="6141" w:type="dxa"/>
            <w:gridSpan w:val="2"/>
            <w:vAlign w:val="center"/>
          </w:tcPr>
          <w:p w:rsidR="002C3DBE" w:rsidRPr="00965928" w:rsidRDefault="002C3DBE" w:rsidP="005C048D">
            <w:pPr>
              <w:adjustRightInd w:val="0"/>
              <w:snapToGrid w:val="0"/>
              <w:jc w:val="center"/>
              <w:rPr>
                <w:b/>
              </w:rPr>
            </w:pPr>
            <w:r>
              <w:rPr>
                <w:rFonts w:hint="eastAsia"/>
                <w:b/>
              </w:rPr>
              <w:t>优</w:t>
            </w:r>
          </w:p>
        </w:tc>
      </w:tr>
    </w:tbl>
    <w:p w:rsidR="00D54668" w:rsidRDefault="00C16CBD" w:rsidP="002C3DBE">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四、绩效评价指标分析</w:t>
      </w:r>
    </w:p>
    <w:p w:rsidR="002C3DBE" w:rsidRDefault="00C16CBD">
      <w:pPr>
        <w:spacing w:line="600" w:lineRule="exact"/>
        <w:ind w:firstLineChars="200" w:firstLine="640"/>
        <w:outlineLvl w:val="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（一）项目决策情况。</w:t>
      </w:r>
    </w:p>
    <w:p w:rsidR="00D54668" w:rsidRDefault="002C3DBE">
      <w:pPr>
        <w:spacing w:line="600" w:lineRule="exact"/>
        <w:ind w:firstLineChars="200" w:firstLine="640"/>
        <w:outlineLvl w:val="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城市安全风险评估项目执行过程中，包括项目的立项、比选、支付首付款（合同金额的80%）、支付尾款（合同金额的20%）等过程，我局均严格按照财务制度的要求执行。在“推进城市安全风险评估”项目执行过程中，我局严格按照三重一大实施办法，财务支出等管理制度，对项目进行管理。项目的立项，招标以及经费的支付均按要求上会审议通过后再执行。并填写了朝阳区应急局项目支出验收自评表。</w:t>
      </w:r>
    </w:p>
    <w:p w:rsidR="00D54668" w:rsidRDefault="00C16CBD">
      <w:pPr>
        <w:spacing w:line="600" w:lineRule="exact"/>
        <w:ind w:firstLineChars="200" w:firstLine="640"/>
        <w:outlineLvl w:val="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（二）项目过程情况。</w:t>
      </w:r>
    </w:p>
    <w:p w:rsidR="002C3DBE" w:rsidRDefault="002C3DBE" w:rsidP="002C3DBE">
      <w:pPr>
        <w:spacing w:line="600" w:lineRule="exact"/>
        <w:ind w:firstLineChars="200" w:firstLine="640"/>
        <w:outlineLvl w:val="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在项目和资金执行过程中，各区过程监管等情况，如中期运行监控，项目检查验收、合同管理及审计，年度绩效自评，绩效评价等。</w:t>
      </w:r>
    </w:p>
    <w:p w:rsidR="00D54668" w:rsidRDefault="00C16CBD">
      <w:pPr>
        <w:spacing w:line="600" w:lineRule="exact"/>
        <w:ind w:firstLineChars="200" w:firstLine="640"/>
        <w:outlineLvl w:val="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（三）项目产出情况。</w:t>
      </w:r>
    </w:p>
    <w:p w:rsidR="002C3DBE" w:rsidRDefault="002C3DBE" w:rsidP="002C3DBE">
      <w:pPr>
        <w:spacing w:line="600" w:lineRule="exact"/>
        <w:ind w:firstLineChars="200" w:firstLine="640"/>
        <w:outlineLvl w:val="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2023年完成1707家社会单位完成新增风险评估工作，督促已完成风险评估的2100余家社会单位（非小微）完成</w:t>
      </w:r>
      <w:r w:rsidRPr="002C3DBE">
        <w:rPr>
          <w:rFonts w:ascii="楷体_GB2312" w:eastAsia="楷体_GB2312" w:hAnsi="楷体_GB2312" w:cs="楷体_GB2312" w:hint="eastAsia"/>
          <w:sz w:val="32"/>
          <w:szCs w:val="32"/>
        </w:rPr>
        <w:lastRenderedPageBreak/>
        <w:t>核查及季度更新工作；完成区级报告、44个街乡、管委会和13个行业报告的编制，报告格式需符合相关指南要求。</w:t>
      </w:r>
    </w:p>
    <w:p w:rsidR="00D54668" w:rsidRDefault="00C16CBD">
      <w:pPr>
        <w:spacing w:line="600" w:lineRule="exact"/>
        <w:ind w:firstLineChars="200" w:firstLine="640"/>
        <w:outlineLvl w:val="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（四）项目效益情况。</w:t>
      </w:r>
    </w:p>
    <w:p w:rsidR="002C3DBE" w:rsidRDefault="002C3DBE" w:rsidP="002C3DBE">
      <w:pPr>
        <w:spacing w:line="600" w:lineRule="exact"/>
        <w:ind w:firstLineChars="200" w:firstLine="640"/>
        <w:outlineLvl w:val="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按照《北京市城市安全风险评估三年工作方案（2022年-2024年）》要求，在既有城市安全风险评估工作成果基础上，利用3年时间，持续推进安全风险评估向广度和深度“双拓展”，大力推动行业、地、社会单位城市安全风险评估能力和质量“双提升”。基本建立政府推动、单位主责、行业自律、机构帮扶、科技支撑的风险分级管控机制，形成具有首都特色的风险管理工作模式。</w:t>
      </w:r>
    </w:p>
    <w:p w:rsidR="00D54668" w:rsidRDefault="00C16CBD">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五、主要经验及做法、存在的问题及原因分析</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（一）主要经验和做法</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实施部门在项目执行过程中，严格按照项目预算上限和内容需求进行采购、实施，严格按照合同约定比例支付合同款，根据项目实际执行情况及时调整预算金额，对照2022年初设定的绩效目标填写《项目支出绩效自评表》，财务人员结合实际经费支出情况，撰写绩效评价报告。全年工作有序平稳进行。</w:t>
      </w:r>
    </w:p>
    <w:p w:rsidR="002C3DBE" w:rsidRPr="002C3DBE" w:rsidRDefault="002C3DBE" w:rsidP="002C3DBE">
      <w:pPr>
        <w:spacing w:line="600" w:lineRule="exact"/>
        <w:ind w:firstLineChars="200" w:firstLine="640"/>
        <w:rPr>
          <w:rFonts w:ascii="楷体_GB2312" w:eastAsia="楷体_GB2312" w:hAnsi="楷体_GB2312" w:cs="楷体_GB2312" w:hint="eastAsia"/>
          <w:sz w:val="32"/>
          <w:szCs w:val="32"/>
        </w:rPr>
      </w:pPr>
      <w:r w:rsidRPr="002C3DBE">
        <w:rPr>
          <w:rFonts w:ascii="楷体_GB2312" w:eastAsia="楷体_GB2312" w:hAnsi="楷体_GB2312" w:cs="楷体_GB2312" w:hint="eastAsia"/>
          <w:sz w:val="32"/>
          <w:szCs w:val="32"/>
        </w:rPr>
        <w:t>（二）存在的问题及原因分析</w:t>
      </w:r>
    </w:p>
    <w:p w:rsidR="002C3DBE" w:rsidRPr="002C3DBE" w:rsidRDefault="002C3DBE" w:rsidP="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绩效自评工作与北京市财政局的要求仍有差距。主要原因是由于市会机关人员编制少，经费少，绩效自评工作完全由市会工作人员根据自身认知水平进行评价和打分。自评指标体系评分表的设置也有一定的局限性和片面性，虽然能够</w:t>
      </w:r>
      <w:r w:rsidRPr="002C3DBE">
        <w:rPr>
          <w:rFonts w:ascii="楷体_GB2312" w:eastAsia="楷体_GB2312" w:hAnsi="楷体_GB2312" w:cs="楷体_GB2312" w:hint="eastAsia"/>
          <w:sz w:val="32"/>
          <w:szCs w:val="32"/>
        </w:rPr>
        <w:lastRenderedPageBreak/>
        <w:t>做到定性与定量相结合的评价，但主观评价仍占据主导地位，不能客观全面的反映科学地绩效评价体系。</w:t>
      </w:r>
    </w:p>
    <w:p w:rsidR="00D54668" w:rsidRDefault="00C16CBD">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六、有关建议</w:t>
      </w:r>
    </w:p>
    <w:p w:rsidR="002C3DBE" w:rsidRPr="002C3DBE" w:rsidRDefault="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无</w:t>
      </w:r>
    </w:p>
    <w:p w:rsidR="00D54668" w:rsidRDefault="00C16CBD">
      <w:p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七、其他需要说明的问题</w:t>
      </w:r>
    </w:p>
    <w:p w:rsidR="002C3DBE" w:rsidRPr="002C3DBE" w:rsidRDefault="002C3DBE">
      <w:pPr>
        <w:spacing w:line="600" w:lineRule="exact"/>
        <w:ind w:firstLineChars="200" w:firstLine="640"/>
        <w:rPr>
          <w:rFonts w:ascii="楷体_GB2312" w:eastAsia="楷体_GB2312" w:hAnsi="楷体_GB2312" w:cs="楷体_GB2312"/>
          <w:sz w:val="32"/>
          <w:szCs w:val="32"/>
        </w:rPr>
      </w:pPr>
      <w:r w:rsidRPr="002C3DBE">
        <w:rPr>
          <w:rFonts w:ascii="楷体_GB2312" w:eastAsia="楷体_GB2312" w:hAnsi="楷体_GB2312" w:cs="楷体_GB2312" w:hint="eastAsia"/>
          <w:sz w:val="32"/>
          <w:szCs w:val="32"/>
        </w:rPr>
        <w:t>无</w:t>
      </w:r>
    </w:p>
    <w:sectPr w:rsidR="002C3DBE" w:rsidRPr="002C3DBE" w:rsidSect="00333D8B">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B96" w:rsidRDefault="00D36B96">
      <w:r>
        <w:separator/>
      </w:r>
    </w:p>
  </w:endnote>
  <w:endnote w:type="continuationSeparator" w:id="0">
    <w:p w:rsidR="00D36B96" w:rsidRDefault="00D36B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668" w:rsidRDefault="00333D8B">
    <w:pPr>
      <w:pStyle w:val="a3"/>
      <w:jc w:val="right"/>
      <w:rPr>
        <w:rFonts w:ascii="宋体" w:hAnsi="宋体"/>
        <w:sz w:val="28"/>
        <w:szCs w:val="28"/>
      </w:rPr>
    </w:pPr>
    <w:r w:rsidRPr="00333D8B">
      <w:rPr>
        <w:noProof/>
        <w:sz w:val="28"/>
      </w:rPr>
      <w:pict>
        <v:shapetype id="_x0000_t202" coordsize="21600,21600" o:spt="202" path="m,l,21600r21600,l21600,xe">
          <v:stroke joinstyle="miter"/>
          <v:path gradientshapeok="t" o:connecttype="rect"/>
        </v:shapetype>
        <v:shape id="文本框 2" o:spid="_x0000_s4097" type="#_x0000_t202" style="position:absolute;left:0;text-align:left;margin-left:196.8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D54668" w:rsidRDefault="00333D8B">
                <w:pPr>
                  <w:pStyle w:val="a3"/>
                  <w:jc w:val="right"/>
                </w:pPr>
                <w:r>
                  <w:rPr>
                    <w:rFonts w:ascii="宋体" w:hAnsi="宋体"/>
                    <w:sz w:val="28"/>
                    <w:szCs w:val="28"/>
                  </w:rPr>
                  <w:fldChar w:fldCharType="begin"/>
                </w:r>
                <w:r w:rsidR="00C16CBD">
                  <w:rPr>
                    <w:rFonts w:ascii="宋体" w:hAnsi="宋体"/>
                    <w:sz w:val="28"/>
                    <w:szCs w:val="28"/>
                  </w:rPr>
                  <w:instrText>PAGE   \* MERGEFORMAT</w:instrText>
                </w:r>
                <w:r>
                  <w:rPr>
                    <w:rFonts w:ascii="宋体" w:hAnsi="宋体"/>
                    <w:sz w:val="28"/>
                    <w:szCs w:val="28"/>
                  </w:rPr>
                  <w:fldChar w:fldCharType="separate"/>
                </w:r>
                <w:r w:rsidR="00C67928" w:rsidRPr="00C67928">
                  <w:rPr>
                    <w:rFonts w:ascii="宋体" w:hAnsi="宋体"/>
                    <w:noProof/>
                    <w:sz w:val="28"/>
                    <w:szCs w:val="28"/>
                    <w:lang w:val="zh-CN"/>
                  </w:rPr>
                  <w:t>-</w:t>
                </w:r>
                <w:r w:rsidR="00C67928">
                  <w:rPr>
                    <w:rFonts w:ascii="宋体" w:hAnsi="宋体"/>
                    <w:noProof/>
                    <w:sz w:val="28"/>
                    <w:szCs w:val="28"/>
                  </w:rPr>
                  <w:t xml:space="preserve"> 1 -</w:t>
                </w:r>
                <w:r>
                  <w:rPr>
                    <w:rFonts w:ascii="宋体" w:hAnsi="宋体"/>
                    <w:sz w:val="28"/>
                    <w:szCs w:val="28"/>
                  </w:rPr>
                  <w:fldChar w:fldCharType="end"/>
                </w:r>
              </w:p>
            </w:txbxContent>
          </v:textbox>
          <w10:wrap anchorx="margin"/>
        </v:shape>
      </w:pict>
    </w:r>
  </w:p>
  <w:p w:rsidR="00D54668" w:rsidRDefault="00D5466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B96" w:rsidRDefault="00D36B96">
      <w:r>
        <w:separator/>
      </w:r>
    </w:p>
  </w:footnote>
  <w:footnote w:type="continuationSeparator" w:id="0">
    <w:p w:rsidR="00D36B96" w:rsidRDefault="00D36B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F77F09F4"/>
    <w:rsid w:val="CEFD3F3D"/>
    <w:rsid w:val="EA3F77F2"/>
    <w:rsid w:val="EEFE5989"/>
    <w:rsid w:val="EFCF3EAE"/>
    <w:rsid w:val="F5B764A2"/>
    <w:rsid w:val="F77F09F4"/>
    <w:rsid w:val="FFD7BFFC"/>
    <w:rsid w:val="FFFA6B0F"/>
    <w:rsid w:val="000A27AF"/>
    <w:rsid w:val="00161C76"/>
    <w:rsid w:val="00261C03"/>
    <w:rsid w:val="002C3DBE"/>
    <w:rsid w:val="00333D8B"/>
    <w:rsid w:val="005678A8"/>
    <w:rsid w:val="00B05D62"/>
    <w:rsid w:val="00B40A65"/>
    <w:rsid w:val="00BB3BDA"/>
    <w:rsid w:val="00BD26F2"/>
    <w:rsid w:val="00C16CBD"/>
    <w:rsid w:val="00C67928"/>
    <w:rsid w:val="00D33560"/>
    <w:rsid w:val="00D36B96"/>
    <w:rsid w:val="00D54668"/>
    <w:rsid w:val="00F84B2A"/>
    <w:rsid w:val="0D2072BE"/>
    <w:rsid w:val="37173543"/>
    <w:rsid w:val="3FF76880"/>
    <w:rsid w:val="43744EF9"/>
    <w:rsid w:val="50290C58"/>
    <w:rsid w:val="5C073259"/>
    <w:rsid w:val="71AE6998"/>
    <w:rsid w:val="73BD6240"/>
    <w:rsid w:val="79A304E1"/>
    <w:rsid w:val="7AB7FF50"/>
    <w:rsid w:val="7BFEB0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3D8B"/>
    <w:pPr>
      <w:widowControl w:val="0"/>
      <w:jc w:val="both"/>
    </w:pPr>
    <w:rPr>
      <w:rFonts w:ascii="Times New Roman" w:hAnsi="Times New Roman"/>
      <w:kern w:val="2"/>
      <w:sz w:val="21"/>
      <w:szCs w:val="24"/>
    </w:rPr>
  </w:style>
  <w:style w:type="paragraph" w:styleId="2">
    <w:name w:val="heading 2"/>
    <w:basedOn w:val="a"/>
    <w:next w:val="a"/>
    <w:qFormat/>
    <w:rsid w:val="00333D8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333D8B"/>
    <w:pPr>
      <w:tabs>
        <w:tab w:val="center" w:pos="4153"/>
        <w:tab w:val="right" w:pos="8306"/>
      </w:tabs>
      <w:snapToGrid w:val="0"/>
      <w:jc w:val="left"/>
    </w:pPr>
    <w:rPr>
      <w:sz w:val="18"/>
      <w:szCs w:val="20"/>
    </w:rPr>
  </w:style>
  <w:style w:type="paragraph" w:styleId="a4">
    <w:name w:val="header"/>
    <w:basedOn w:val="a"/>
    <w:qFormat/>
    <w:rsid w:val="00333D8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出段落1"/>
    <w:basedOn w:val="a"/>
    <w:uiPriority w:val="34"/>
    <w:qFormat/>
    <w:rsid w:val="00333D8B"/>
    <w:pPr>
      <w:ind w:firstLineChars="200" w:firstLine="420"/>
    </w:pPr>
    <w:rPr>
      <w:rFonts w:ascii="Calibri" w:hAnsi="Calibri" w:cs="黑体"/>
      <w:szCs w:val="22"/>
    </w:rPr>
  </w:style>
  <w:style w:type="paragraph" w:styleId="a5">
    <w:name w:val="Normal Indent"/>
    <w:basedOn w:val="a"/>
    <w:qFormat/>
    <w:rsid w:val="002C3DBE"/>
    <w:pPr>
      <w:ind w:firstLine="420"/>
    </w:pPr>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469</Words>
  <Characters>2677</Characters>
  <Application>Microsoft Office Word</Application>
  <DocSecurity>0</DocSecurity>
  <Lines>22</Lines>
  <Paragraphs>6</Paragraphs>
  <ScaleCrop>false</ScaleCrop>
  <Company>P R C</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2024-02-27T08:26:00Z</cp:lastPrinted>
  <dcterms:created xsi:type="dcterms:W3CDTF">2024-03-15T07:26:00Z</dcterms:created>
  <dcterms:modified xsi:type="dcterms:W3CDTF">2024-03-15T07:26:00Z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