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8328C">
      <w:pPr>
        <w:keepNext w:val="0"/>
        <w:keepLines w:val="0"/>
        <w:pageBreakBefore w:val="0"/>
        <w:kinsoku/>
        <w:wordWrap/>
        <w:overflowPunct/>
        <w:topLinePunct w:val="0"/>
        <w:autoSpaceDE/>
        <w:autoSpaceDN/>
        <w:bidi w:val="0"/>
        <w:adjustRightInd w:val="0"/>
        <w:snapToGrid w:val="0"/>
        <w:spacing w:line="360" w:lineRule="auto"/>
        <w:ind w:right="0" w:rightChars="0"/>
        <w:outlineLvl w:val="9"/>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2-1</w:t>
      </w:r>
    </w:p>
    <w:p w14:paraId="6E6161A7">
      <w:pPr>
        <w:keepNext w:val="0"/>
        <w:keepLines w:val="0"/>
        <w:pageBreakBefore w:val="0"/>
        <w:kinsoku/>
        <w:wordWrap/>
        <w:overflowPunct/>
        <w:topLinePunct w:val="0"/>
        <w:autoSpaceDE/>
        <w:autoSpaceDN/>
        <w:bidi w:val="0"/>
        <w:adjustRightInd w:val="0"/>
        <w:snapToGrid w:val="0"/>
        <w:spacing w:line="360" w:lineRule="auto"/>
        <w:ind w:right="0" w:rightChars="0" w:firstLine="880" w:firstLineChars="200"/>
        <w:jc w:val="center"/>
        <w:outlineLvl w:val="9"/>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部门整体绩效</w:t>
      </w:r>
      <w:r>
        <w:rPr>
          <w:rFonts w:hint="default" w:ascii="Times New Roman" w:hAnsi="Times New Roman" w:eastAsia="方正小标宋简体" w:cs="Times New Roman"/>
          <w:sz w:val="44"/>
          <w:szCs w:val="44"/>
          <w:lang w:eastAsia="zh-CN"/>
        </w:rPr>
        <w:t>评价</w:t>
      </w:r>
      <w:r>
        <w:rPr>
          <w:rFonts w:hint="default" w:ascii="Times New Roman" w:hAnsi="Times New Roman" w:eastAsia="方正小标宋简体" w:cs="Times New Roman"/>
          <w:sz w:val="44"/>
          <w:szCs w:val="44"/>
        </w:rPr>
        <w:t>报告</w:t>
      </w:r>
    </w:p>
    <w:p w14:paraId="1FC3901C">
      <w:pPr>
        <w:pStyle w:val="2"/>
        <w:rPr>
          <w:rFonts w:hint="default"/>
        </w:rPr>
      </w:pPr>
    </w:p>
    <w:p w14:paraId="1C3848B5">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b w:val="0"/>
          <w:bCs w:val="0"/>
          <w:color w:val="000000"/>
          <w:kern w:val="0"/>
          <w:sz w:val="28"/>
          <w:szCs w:val="28"/>
        </w:rPr>
      </w:pPr>
      <w:r>
        <w:rPr>
          <w:rFonts w:hint="default" w:ascii="Times New Roman" w:hAnsi="Times New Roman" w:eastAsia="黑体" w:cs="Times New Roman"/>
          <w:b w:val="0"/>
          <w:bCs w:val="0"/>
          <w:color w:val="000000"/>
          <w:kern w:val="0"/>
          <w:sz w:val="32"/>
          <w:szCs w:val="32"/>
        </w:rPr>
        <w:t>一、部门概况</w:t>
      </w:r>
    </w:p>
    <w:p w14:paraId="028CB8EE">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楷体" w:cs="Times New Roman"/>
          <w:sz w:val="32"/>
          <w:szCs w:val="32"/>
        </w:rPr>
      </w:pPr>
      <w:r>
        <w:rPr>
          <w:rFonts w:hint="default" w:ascii="Times New Roman" w:hAnsi="Times New Roman" w:eastAsia="楷体" w:cs="Times New Roman"/>
          <w:b w:val="0"/>
          <w:bCs w:val="0"/>
          <w:sz w:val="32"/>
          <w:szCs w:val="32"/>
        </w:rPr>
        <w:t>（一）机构设置及职责工作任务情况</w:t>
      </w:r>
    </w:p>
    <w:p w14:paraId="0D162E39">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根据中共北京市朝阳区委机构编制委员会文件《关于区融媒体中心改革有关事项的批复》（朝编</w:t>
      </w:r>
      <w:r>
        <w:rPr>
          <w:rFonts w:hint="eastAsia" w:eastAsia="仿宋" w:cs="Times New Roman"/>
          <w:sz w:val="32"/>
          <w:szCs w:val="32"/>
          <w:lang w:eastAsia="zh-CN"/>
        </w:rPr>
        <w:t>〔2021〕22号</w:t>
      </w:r>
      <w:r>
        <w:rPr>
          <w:rFonts w:hint="default" w:ascii="Times New Roman" w:hAnsi="Times New Roman" w:eastAsia="仿宋" w:cs="Times New Roman"/>
          <w:sz w:val="32"/>
          <w:szCs w:val="32"/>
          <w:lang w:eastAsia="zh-CN"/>
        </w:rPr>
        <w:t>）和中共北京市朝阳区委办公室文件《中共北京市朝阳区委办公室北京市朝阳区人民政府办公室关于印发</w:t>
      </w:r>
      <w:r>
        <w:rPr>
          <w:rFonts w:hint="eastAsia" w:eastAsia="仿宋" w:cs="Times New Roman"/>
          <w:sz w:val="32"/>
          <w:szCs w:val="32"/>
          <w:lang w:eastAsia="zh-CN"/>
        </w:rPr>
        <w:t>〈</w:t>
      </w:r>
      <w:r>
        <w:rPr>
          <w:rFonts w:hint="default" w:ascii="Times New Roman" w:hAnsi="Times New Roman" w:eastAsia="仿宋" w:cs="Times New Roman"/>
          <w:sz w:val="32"/>
          <w:szCs w:val="32"/>
          <w:lang w:eastAsia="zh-CN"/>
        </w:rPr>
        <w:t>北京市朝阳区融媒体中心职能配置、内设机构和人员编制规定</w:t>
      </w:r>
      <w:r>
        <w:rPr>
          <w:rFonts w:hint="eastAsia" w:eastAsia="仿宋" w:cs="Times New Roman"/>
          <w:sz w:val="32"/>
          <w:szCs w:val="32"/>
          <w:lang w:eastAsia="zh-CN"/>
        </w:rPr>
        <w:t>〉的通知》</w:t>
      </w:r>
      <w:r>
        <w:rPr>
          <w:rFonts w:hint="default" w:ascii="Times New Roman" w:hAnsi="Times New Roman" w:eastAsia="仿宋" w:cs="Times New Roman"/>
          <w:sz w:val="32"/>
          <w:szCs w:val="32"/>
          <w:lang w:eastAsia="zh-CN"/>
        </w:rPr>
        <w:t>（京朝办发</w:t>
      </w:r>
      <w:r>
        <w:rPr>
          <w:rFonts w:hint="eastAsia" w:eastAsia="仿宋" w:cs="Times New Roman"/>
          <w:sz w:val="32"/>
          <w:szCs w:val="32"/>
          <w:lang w:eastAsia="zh-CN"/>
        </w:rPr>
        <w:t>〔2019〕53号</w:t>
      </w:r>
      <w:r>
        <w:rPr>
          <w:rFonts w:hint="default" w:ascii="Times New Roman" w:hAnsi="Times New Roman" w:eastAsia="仿宋" w:cs="Times New Roman"/>
          <w:sz w:val="32"/>
          <w:szCs w:val="32"/>
          <w:lang w:eastAsia="zh-CN"/>
        </w:rPr>
        <w:t>），北京市朝阳区融媒体中心内设12个机构，具体为：综合办公室、人事科、财务科、总编室、新闻外宣科、舆情数据应急科、平面管理科、视频管理科、新媒体运行管理科、安全播出科、技术保障及设备管理科、媒资档案管理科。</w:t>
      </w:r>
    </w:p>
    <w:p w14:paraId="5B6A9644">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主要职能职责：</w:t>
      </w:r>
    </w:p>
    <w:p w14:paraId="7DDB7280">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（1）围绕区委区政府重点工作，通过融媒体平台，开展新闻统筹策划和宣传报道。</w:t>
      </w:r>
    </w:p>
    <w:p w14:paraId="738EFA08">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（2）围绕区委区政府重点工作，负责全区对中央、市属媒体新闻宣传工作的策划、发布及集中采访工作，负责</w:t>
      </w:r>
      <w:r>
        <w:rPr>
          <w:rFonts w:hint="eastAsia" w:eastAsia="仿宋" w:cs="Times New Roman"/>
          <w:sz w:val="32"/>
          <w:szCs w:val="32"/>
          <w:lang w:eastAsia="zh-CN"/>
        </w:rPr>
        <w:t>与</w:t>
      </w:r>
      <w:r>
        <w:rPr>
          <w:rFonts w:hint="default" w:ascii="Times New Roman" w:hAnsi="Times New Roman" w:eastAsia="仿宋" w:cs="Times New Roman"/>
          <w:sz w:val="32"/>
          <w:szCs w:val="32"/>
          <w:lang w:eastAsia="zh-CN"/>
        </w:rPr>
        <w:t>中央、市属媒体的联络、沟通，并为中央和市属媒体以及主流新型媒体平台提供区融媒体中心的新闻产品。</w:t>
      </w:r>
    </w:p>
    <w:p w14:paraId="5E983A53">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（3）负责全区突发事件新闻应急处置与维稳值守。</w:t>
      </w:r>
    </w:p>
    <w:p w14:paraId="2C9E8990">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（4）负责全区媒体舆情监测、处置及大数据分析。</w:t>
      </w:r>
    </w:p>
    <w:p w14:paraId="54CD406B">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（5）负责区融媒体各平台的发展战略制定、年度报道计划制定以及工作机制建设、安全管理、新闻内容的审核。</w:t>
      </w:r>
    </w:p>
    <w:p w14:paraId="7AC233E0">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（6）负责融媒体平台发展趋势研究及新闻产品研发。</w:t>
      </w:r>
    </w:p>
    <w:p w14:paraId="32F72241">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（7）负责区内融媒体分中心建设的统筹与业务指导。对全区各融媒体分中心新闻通讯员开展培训和指导。</w:t>
      </w:r>
    </w:p>
    <w:p w14:paraId="4A3EF0AD">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（8）负责区内新媒体平台矩阵的统筹、指导和监督。</w:t>
      </w:r>
    </w:p>
    <w:p w14:paraId="162E15BA">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sz w:val="28"/>
          <w:szCs w:val="28"/>
          <w:lang w:eastAsia="zh-CN"/>
        </w:rPr>
      </w:pPr>
      <w:r>
        <w:rPr>
          <w:rFonts w:hint="default" w:ascii="Times New Roman" w:hAnsi="Times New Roman" w:eastAsia="仿宋" w:cs="Times New Roman"/>
          <w:sz w:val="32"/>
          <w:szCs w:val="32"/>
          <w:lang w:eastAsia="zh-CN"/>
        </w:rPr>
        <w:t>（9）完成区委、区政府交办的其他任务。</w:t>
      </w:r>
    </w:p>
    <w:p w14:paraId="1646C952">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b w:val="0"/>
          <w:bCs w:val="0"/>
          <w:sz w:val="28"/>
          <w:szCs w:val="28"/>
        </w:rPr>
      </w:pPr>
      <w:r>
        <w:rPr>
          <w:rFonts w:hint="default" w:ascii="Times New Roman" w:hAnsi="Times New Roman" w:eastAsia="楷体" w:cs="Times New Roman"/>
          <w:b w:val="0"/>
          <w:bCs w:val="0"/>
          <w:sz w:val="32"/>
          <w:szCs w:val="32"/>
        </w:rPr>
        <w:t>（二）部门整体绩效目标设立情况</w:t>
      </w:r>
    </w:p>
    <w:p w14:paraId="6E689F41">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2024年，中心围绕学习贯彻党的二十大精神，聚焦“五宜</w:t>
      </w:r>
      <w:r>
        <w:rPr>
          <w:rFonts w:hint="eastAsia" w:eastAsia="仿宋" w:cs="Times New Roman"/>
          <w:kern w:val="2"/>
          <w:sz w:val="32"/>
          <w:szCs w:val="32"/>
          <w:lang w:val="en-US" w:eastAsia="zh-CN" w:bidi="ar-SA"/>
        </w:rPr>
        <w:t>”</w:t>
      </w:r>
      <w:r>
        <w:rPr>
          <w:rFonts w:hint="eastAsia" w:ascii="Times New Roman" w:hAnsi="Times New Roman" w:eastAsia="仿宋" w:cs="Times New Roman"/>
          <w:kern w:val="2"/>
          <w:sz w:val="32"/>
          <w:szCs w:val="32"/>
          <w:lang w:val="en-US" w:eastAsia="zh-CN" w:bidi="ar-SA"/>
        </w:rPr>
        <w:t>朝阳建设以及</w:t>
      </w:r>
      <w:r>
        <w:rPr>
          <w:rFonts w:hint="eastAsia" w:eastAsia="仿宋" w:cs="Times New Roman"/>
          <w:kern w:val="2"/>
          <w:sz w:val="32"/>
          <w:szCs w:val="32"/>
          <w:lang w:val="en-US" w:eastAsia="zh-CN" w:bidi="ar-SA"/>
        </w:rPr>
        <w:t>新中国成立</w:t>
      </w:r>
      <w:r>
        <w:rPr>
          <w:rFonts w:hint="eastAsia" w:ascii="Times New Roman" w:hAnsi="Times New Roman" w:eastAsia="仿宋" w:cs="Times New Roman"/>
          <w:kern w:val="2"/>
          <w:sz w:val="32"/>
          <w:szCs w:val="32"/>
          <w:lang w:val="en-US" w:eastAsia="zh-CN" w:bidi="ar-SA"/>
        </w:rPr>
        <w:t>75周年等重点宣传工作内容，在宣传方面做到“内容上全方位、形式上多样态、传播上立体化、机制上有抓手”，统筹策划宣传安排、拟定宣传计划、把握宣传节奏，分阶段推进宣传，为经济社会发展营造良好的舆论氛围。结合中心发展实际，继续推进媒体深度融合研究，推进内容生产供给侧结构性改革，围绕引导群众、服务群众，确立用户思维和效果导向，用好网言网语，打造高品质内容生产，加强新闻产品形式创新，适应移动化、社交化、可视化特点，实验多种产品形态，进一步优化采编流程，进一步融深、融通、融透，深化“新闻+政务+服务”等功能，提升快采、快编、快发能力，提升服务群众能力，助力政府</w:t>
      </w:r>
      <w:r>
        <w:rPr>
          <w:rFonts w:hint="eastAsia" w:eastAsia="仿宋" w:cs="Times New Roman"/>
          <w:kern w:val="2"/>
          <w:sz w:val="32"/>
          <w:szCs w:val="32"/>
          <w:lang w:val="en-US" w:eastAsia="zh-CN" w:bidi="ar-SA"/>
        </w:rPr>
        <w:t>治理体系和治理能力现代化</w:t>
      </w:r>
      <w:r>
        <w:rPr>
          <w:rFonts w:hint="eastAsia" w:ascii="Times New Roman" w:hAnsi="Times New Roman" w:eastAsia="仿宋" w:cs="Times New Roman"/>
          <w:kern w:val="2"/>
          <w:sz w:val="32"/>
          <w:szCs w:val="32"/>
          <w:lang w:val="en-US" w:eastAsia="zh-CN" w:bidi="ar-SA"/>
        </w:rPr>
        <w:t>，激发内生动力，打响并持续扩大品牌影响力，不断拓展新业务，做大做强新媒体平台，</w:t>
      </w:r>
      <w:r>
        <w:rPr>
          <w:rFonts w:hint="eastAsia" w:eastAsia="仿宋" w:cs="Times New Roman"/>
          <w:kern w:val="2"/>
          <w:sz w:val="32"/>
          <w:szCs w:val="32"/>
          <w:lang w:val="en-US" w:eastAsia="zh-CN" w:bidi="ar-SA"/>
        </w:rPr>
        <w:t>探索多语种传播，提升国际传播效能</w:t>
      </w:r>
      <w:r>
        <w:rPr>
          <w:rFonts w:hint="eastAsia" w:ascii="Times New Roman" w:hAnsi="Times New Roman" w:eastAsia="仿宋" w:cs="Times New Roman"/>
          <w:kern w:val="2"/>
          <w:sz w:val="32"/>
          <w:szCs w:val="32"/>
          <w:lang w:val="en-US" w:eastAsia="zh-CN" w:bidi="ar-SA"/>
        </w:rPr>
        <w:t>，努力为全区各项事业的顺利发展提供强有力的新闻宣传保障，全面宣传朝阳区经济社会文化生态等各领域发展成果，讲好朝阳故事、传好朝阳声音、树好朝阳形象。</w:t>
      </w:r>
    </w:p>
    <w:p w14:paraId="475234FD">
      <w:pPr>
        <w:keepNext w:val="0"/>
        <w:keepLines w:val="0"/>
        <w:pageBreakBefore w:val="0"/>
        <w:numPr>
          <w:ilvl w:val="0"/>
          <w:numId w:val="1"/>
        </w:numPr>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黑体" w:cs="Times New Roman"/>
          <w:b/>
          <w:bCs/>
          <w:color w:val="000000"/>
          <w:kern w:val="0"/>
          <w:sz w:val="32"/>
          <w:szCs w:val="32"/>
        </w:rPr>
      </w:pPr>
      <w:r>
        <w:rPr>
          <w:rFonts w:hint="default" w:ascii="Times New Roman" w:hAnsi="Times New Roman" w:eastAsia="黑体" w:cs="Times New Roman"/>
          <w:b w:val="0"/>
          <w:bCs w:val="0"/>
          <w:color w:val="000000"/>
          <w:kern w:val="0"/>
          <w:sz w:val="32"/>
          <w:szCs w:val="32"/>
        </w:rPr>
        <w:t>当年预算执行情况</w:t>
      </w:r>
    </w:p>
    <w:p w14:paraId="7B89C1E7">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color w:val="000000"/>
          <w:kern w:val="0"/>
          <w:sz w:val="28"/>
          <w:szCs w:val="28"/>
        </w:rPr>
      </w:pPr>
      <w:r>
        <w:rPr>
          <w:rFonts w:hint="default" w:ascii="Times New Roman" w:hAnsi="Times New Roman" w:eastAsia="仿宋" w:cs="Times New Roman"/>
          <w:color w:val="000000"/>
          <w:kern w:val="0"/>
          <w:sz w:val="32"/>
          <w:szCs w:val="32"/>
        </w:rPr>
        <w:t>202</w:t>
      </w:r>
      <w:r>
        <w:rPr>
          <w:rFonts w:hint="eastAsia" w:eastAsia="仿宋" w:cs="Times New Roman"/>
          <w:color w:val="000000"/>
          <w:kern w:val="0"/>
          <w:sz w:val="32"/>
          <w:szCs w:val="32"/>
          <w:lang w:val="en-US" w:eastAsia="zh-CN"/>
        </w:rPr>
        <w:t>4</w:t>
      </w:r>
      <w:r>
        <w:rPr>
          <w:rFonts w:hint="default" w:ascii="Times New Roman" w:hAnsi="Times New Roman" w:eastAsia="仿宋" w:cs="Times New Roman"/>
          <w:color w:val="000000"/>
          <w:kern w:val="0"/>
          <w:sz w:val="32"/>
          <w:szCs w:val="32"/>
        </w:rPr>
        <w:t>年全年预算数</w:t>
      </w:r>
      <w:r>
        <w:rPr>
          <w:rFonts w:hint="eastAsia" w:eastAsia="仿宋" w:cs="Times New Roman"/>
          <w:color w:val="000000"/>
          <w:kern w:val="0"/>
          <w:sz w:val="32"/>
          <w:szCs w:val="32"/>
          <w:lang w:val="en-US" w:eastAsia="zh-CN"/>
        </w:rPr>
        <w:t>6458.99</w:t>
      </w:r>
      <w:r>
        <w:rPr>
          <w:rFonts w:hint="default" w:ascii="Times New Roman" w:hAnsi="Times New Roman" w:eastAsia="仿宋" w:cs="Times New Roman"/>
          <w:color w:val="000000"/>
          <w:kern w:val="0"/>
          <w:sz w:val="32"/>
          <w:szCs w:val="32"/>
        </w:rPr>
        <w:t>万元，其中，基本支出预算数</w:t>
      </w:r>
      <w:r>
        <w:rPr>
          <w:rFonts w:hint="eastAsia" w:eastAsia="仿宋" w:cs="Times New Roman"/>
          <w:color w:val="000000"/>
          <w:kern w:val="0"/>
          <w:sz w:val="32"/>
          <w:szCs w:val="32"/>
          <w:lang w:val="en-US" w:eastAsia="zh-CN"/>
        </w:rPr>
        <w:t>2240.08</w:t>
      </w:r>
      <w:r>
        <w:rPr>
          <w:rFonts w:hint="default" w:ascii="Times New Roman" w:hAnsi="Times New Roman" w:eastAsia="仿宋" w:cs="Times New Roman"/>
          <w:color w:val="000000"/>
          <w:kern w:val="0"/>
          <w:sz w:val="32"/>
          <w:szCs w:val="32"/>
        </w:rPr>
        <w:t>万元，项目支出预算数</w:t>
      </w:r>
      <w:r>
        <w:rPr>
          <w:rFonts w:hint="eastAsia" w:eastAsia="仿宋" w:cs="Times New Roman"/>
          <w:color w:val="000000"/>
          <w:kern w:val="0"/>
          <w:sz w:val="32"/>
          <w:szCs w:val="32"/>
          <w:lang w:val="en-US" w:eastAsia="zh-CN"/>
        </w:rPr>
        <w:t>4218.91</w:t>
      </w:r>
      <w:r>
        <w:rPr>
          <w:rFonts w:hint="default" w:ascii="Times New Roman" w:hAnsi="Times New Roman" w:eastAsia="仿宋" w:cs="Times New Roman"/>
          <w:color w:val="000000"/>
          <w:kern w:val="0"/>
          <w:sz w:val="32"/>
          <w:szCs w:val="32"/>
        </w:rPr>
        <w:t>万元，其他支出预算数</w:t>
      </w:r>
      <w:r>
        <w:rPr>
          <w:rFonts w:hint="default" w:ascii="Times New Roman" w:hAnsi="Times New Roman" w:eastAsia="仿宋" w:cs="Times New Roman"/>
          <w:color w:val="000000"/>
          <w:kern w:val="0"/>
          <w:sz w:val="32"/>
          <w:szCs w:val="32"/>
          <w:lang w:val="en-US" w:eastAsia="zh-CN"/>
        </w:rPr>
        <w:t>0</w:t>
      </w:r>
      <w:r>
        <w:rPr>
          <w:rFonts w:hint="default" w:ascii="Times New Roman" w:hAnsi="Times New Roman" w:eastAsia="仿宋" w:cs="Times New Roman"/>
          <w:color w:val="000000"/>
          <w:kern w:val="0"/>
          <w:sz w:val="32"/>
          <w:szCs w:val="32"/>
        </w:rPr>
        <w:t>万元。资金总体支出</w:t>
      </w:r>
      <w:r>
        <w:rPr>
          <w:rFonts w:hint="eastAsia" w:eastAsia="仿宋" w:cs="Times New Roman"/>
          <w:color w:val="000000"/>
          <w:kern w:val="0"/>
          <w:sz w:val="32"/>
          <w:szCs w:val="32"/>
          <w:lang w:val="en-US" w:eastAsia="zh-CN"/>
        </w:rPr>
        <w:t>6434.24</w:t>
      </w:r>
      <w:r>
        <w:rPr>
          <w:rFonts w:hint="default" w:ascii="Times New Roman" w:hAnsi="Times New Roman" w:eastAsia="仿宋" w:cs="Times New Roman"/>
          <w:color w:val="000000"/>
          <w:kern w:val="0"/>
          <w:sz w:val="32"/>
          <w:szCs w:val="32"/>
        </w:rPr>
        <w:t>万元，其中，基本支出</w:t>
      </w:r>
      <w:r>
        <w:rPr>
          <w:rFonts w:hint="eastAsia" w:eastAsia="仿宋" w:cs="Times New Roman"/>
          <w:color w:val="000000"/>
          <w:kern w:val="0"/>
          <w:sz w:val="32"/>
          <w:szCs w:val="32"/>
          <w:lang w:val="en-US" w:eastAsia="zh-CN"/>
        </w:rPr>
        <w:t>2240.08</w:t>
      </w:r>
      <w:r>
        <w:rPr>
          <w:rFonts w:hint="default" w:ascii="Times New Roman" w:hAnsi="Times New Roman" w:eastAsia="仿宋" w:cs="Times New Roman"/>
          <w:color w:val="000000"/>
          <w:kern w:val="0"/>
          <w:sz w:val="32"/>
          <w:szCs w:val="32"/>
        </w:rPr>
        <w:t>万元，项目支出</w:t>
      </w:r>
      <w:r>
        <w:rPr>
          <w:rFonts w:hint="eastAsia" w:eastAsia="仿宋" w:cs="Times New Roman"/>
          <w:color w:val="000000"/>
          <w:kern w:val="0"/>
          <w:sz w:val="32"/>
          <w:szCs w:val="32"/>
          <w:lang w:val="en-US" w:eastAsia="zh-CN"/>
        </w:rPr>
        <w:t>4194.16</w:t>
      </w:r>
      <w:r>
        <w:rPr>
          <w:rFonts w:hint="default" w:ascii="Times New Roman" w:hAnsi="Times New Roman" w:eastAsia="仿宋" w:cs="Times New Roman"/>
          <w:color w:val="000000"/>
          <w:kern w:val="0"/>
          <w:sz w:val="32"/>
          <w:szCs w:val="32"/>
        </w:rPr>
        <w:t>万元，其他支出</w:t>
      </w:r>
      <w:r>
        <w:rPr>
          <w:rFonts w:hint="default" w:ascii="Times New Roman" w:hAnsi="Times New Roman" w:eastAsia="仿宋" w:cs="Times New Roman"/>
          <w:color w:val="000000"/>
          <w:kern w:val="0"/>
          <w:sz w:val="32"/>
          <w:szCs w:val="32"/>
          <w:lang w:val="en-US" w:eastAsia="zh-CN"/>
        </w:rPr>
        <w:t>0</w:t>
      </w:r>
      <w:r>
        <w:rPr>
          <w:rFonts w:hint="default" w:ascii="Times New Roman" w:hAnsi="Times New Roman" w:eastAsia="仿宋" w:cs="Times New Roman"/>
          <w:color w:val="000000"/>
          <w:kern w:val="0"/>
          <w:sz w:val="32"/>
          <w:szCs w:val="32"/>
        </w:rPr>
        <w:t>万元。预算执行率为</w:t>
      </w:r>
      <w:r>
        <w:rPr>
          <w:rFonts w:hint="eastAsia" w:eastAsia="仿宋" w:cs="Times New Roman"/>
          <w:color w:val="000000"/>
          <w:kern w:val="0"/>
          <w:sz w:val="32"/>
          <w:szCs w:val="32"/>
          <w:lang w:val="en-US" w:eastAsia="zh-CN"/>
        </w:rPr>
        <w:t>99.59</w:t>
      </w:r>
      <w:r>
        <w:rPr>
          <w:rFonts w:hint="default" w:ascii="Times New Roman" w:hAnsi="Times New Roman" w:eastAsia="仿宋" w:cs="Times New Roman"/>
          <w:color w:val="000000"/>
          <w:kern w:val="0"/>
          <w:sz w:val="32"/>
          <w:szCs w:val="32"/>
          <w:lang w:val="en-US" w:eastAsia="zh-CN"/>
        </w:rPr>
        <w:t>%</w:t>
      </w:r>
      <w:r>
        <w:rPr>
          <w:rFonts w:hint="default" w:ascii="Times New Roman" w:hAnsi="Times New Roman" w:eastAsia="仿宋" w:cs="Times New Roman"/>
          <w:color w:val="000000"/>
          <w:kern w:val="0"/>
          <w:sz w:val="32"/>
          <w:szCs w:val="32"/>
        </w:rPr>
        <w:t>。</w:t>
      </w:r>
    </w:p>
    <w:p w14:paraId="2E5C98BD">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b w:val="0"/>
          <w:bCs w:val="0"/>
          <w:color w:val="000000"/>
          <w:kern w:val="0"/>
          <w:sz w:val="32"/>
          <w:szCs w:val="32"/>
        </w:rPr>
      </w:pPr>
      <w:r>
        <w:rPr>
          <w:rFonts w:hint="default" w:ascii="Times New Roman" w:hAnsi="Times New Roman" w:eastAsia="黑体" w:cs="Times New Roman"/>
          <w:b w:val="0"/>
          <w:bCs w:val="0"/>
          <w:color w:val="000000"/>
          <w:kern w:val="0"/>
          <w:sz w:val="32"/>
          <w:szCs w:val="32"/>
        </w:rPr>
        <w:t>三、整体绩效目标实现情况</w:t>
      </w:r>
    </w:p>
    <w:p w14:paraId="73C316C5">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楷体" w:cs="Times New Roman"/>
          <w:b w:val="0"/>
          <w:bCs w:val="0"/>
          <w:sz w:val="32"/>
          <w:szCs w:val="32"/>
        </w:rPr>
      </w:pPr>
      <w:r>
        <w:rPr>
          <w:rFonts w:hint="default" w:ascii="Times New Roman" w:hAnsi="Times New Roman" w:eastAsia="楷体" w:cs="Times New Roman"/>
          <w:b w:val="0"/>
          <w:bCs w:val="0"/>
          <w:sz w:val="32"/>
          <w:szCs w:val="32"/>
        </w:rPr>
        <w:t>（一）产出完成情况分析</w:t>
      </w:r>
    </w:p>
    <w:p w14:paraId="2A9DCCBD">
      <w:pPr>
        <w:keepNext w:val="0"/>
        <w:keepLines w:val="0"/>
        <w:pageBreakBefore w:val="0"/>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楷体" w:cs="Times New Roman"/>
          <w:color w:val="000000"/>
          <w:kern w:val="0"/>
          <w:sz w:val="32"/>
          <w:szCs w:val="32"/>
        </w:rPr>
      </w:pPr>
      <w:r>
        <w:rPr>
          <w:rFonts w:hint="default" w:ascii="Times New Roman" w:hAnsi="Times New Roman" w:eastAsia="楷体" w:cs="Times New Roman"/>
          <w:color w:val="000000"/>
          <w:kern w:val="0"/>
          <w:sz w:val="32"/>
          <w:szCs w:val="32"/>
        </w:rPr>
        <w:t>1.产出数量</w:t>
      </w:r>
    </w:p>
    <w:p w14:paraId="3B2633ED">
      <w:pPr>
        <w:keepNext w:val="0"/>
        <w:keepLines w:val="0"/>
        <w:pageBreakBefore w:val="0"/>
        <w:shd w:val="clear"/>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eastAsia="zh-CN"/>
        </w:rPr>
        <w:t>中心20</w:t>
      </w:r>
      <w:r>
        <w:rPr>
          <w:rFonts w:hint="eastAsia" w:eastAsia="仿宋" w:cs="Times New Roman"/>
          <w:sz w:val="32"/>
          <w:szCs w:val="32"/>
          <w:lang w:val="en-US" w:eastAsia="zh-CN"/>
        </w:rPr>
        <w:t>24</w:t>
      </w:r>
      <w:r>
        <w:rPr>
          <w:rFonts w:hint="default" w:ascii="Times New Roman" w:hAnsi="Times New Roman" w:eastAsia="仿宋" w:cs="Times New Roman"/>
          <w:sz w:val="32"/>
          <w:szCs w:val="32"/>
          <w:lang w:eastAsia="zh-CN"/>
        </w:rPr>
        <w:t>年度大部分产出达到了年初设立的产出数量，较好完成了产出数量指标。结合重大活动和新闻宣传任务，完成《朝阳报》</w:t>
      </w:r>
      <w:r>
        <w:rPr>
          <w:rFonts w:hint="eastAsia" w:eastAsia="仿宋" w:cs="Times New Roman"/>
          <w:sz w:val="32"/>
          <w:szCs w:val="32"/>
          <w:lang w:eastAsia="zh-CN"/>
        </w:rPr>
        <w:t>全年</w:t>
      </w:r>
      <w:r>
        <w:rPr>
          <w:rFonts w:hint="default" w:ascii="Times New Roman" w:hAnsi="Times New Roman" w:eastAsia="仿宋" w:cs="Times New Roman"/>
          <w:sz w:val="32"/>
          <w:szCs w:val="32"/>
          <w:lang w:eastAsia="zh-CN"/>
        </w:rPr>
        <w:t>宣传报道内容生产、刊发等相关业务；</w:t>
      </w:r>
      <w:r>
        <w:rPr>
          <w:rFonts w:hint="default" w:ascii="Times New Roman" w:hAnsi="Times New Roman" w:eastAsia="仿宋" w:cs="Times New Roman"/>
          <w:sz w:val="32"/>
          <w:szCs w:val="32"/>
          <w:lang w:val="en-US" w:eastAsia="zh-CN"/>
        </w:rPr>
        <w:t>完成朝阳有线等区域电视媒体相关栏目、节目等内容生产等相关业务；购置和引进了</w:t>
      </w:r>
      <w:r>
        <w:rPr>
          <w:rFonts w:hint="default" w:ascii="Times New Roman" w:hAnsi="Times New Roman" w:eastAsia="仿宋" w:cs="Times New Roman"/>
          <w:sz w:val="32"/>
          <w:szCs w:val="32"/>
          <w:lang w:eastAsia="zh-CN"/>
        </w:rPr>
        <w:t>高清电视剧、动</w:t>
      </w:r>
      <w:r>
        <w:rPr>
          <w:rFonts w:hint="default" w:ascii="Times New Roman" w:hAnsi="Times New Roman" w:eastAsia="仿宋" w:cs="Times New Roman"/>
          <w:sz w:val="32"/>
          <w:szCs w:val="32"/>
          <w:lang w:val="en-US" w:eastAsia="zh-CN"/>
        </w:rPr>
        <w:t>画片；完成北京朝阳政务微信公众号、视频号、北京朝阳APP等新媒体平台内容生产、运行维护、功能开发和宣传推广工作；建立与中央、市属等主要媒体的日常沟通机制，围绕</w:t>
      </w:r>
      <w:r>
        <w:rPr>
          <w:rFonts w:hint="eastAsia" w:ascii="仿宋" w:hAnsi="仿宋" w:eastAsia="仿宋" w:cs="仿宋"/>
          <w:kern w:val="2"/>
          <w:sz w:val="32"/>
          <w:szCs w:val="32"/>
          <w:lang w:val="en-US" w:eastAsia="zh-CN"/>
        </w:rPr>
        <w:t>新中国成立75周年、五宜朝阳建设、国际消费中心城市主承载区建设、北京朝阳国际灯光节及社会民生保障等重要内容和</w:t>
      </w:r>
      <w:r>
        <w:rPr>
          <w:rFonts w:hint="default" w:ascii="Times New Roman" w:hAnsi="Times New Roman" w:eastAsia="仿宋" w:cs="Times New Roman"/>
          <w:sz w:val="32"/>
          <w:szCs w:val="32"/>
          <w:lang w:val="en-US" w:eastAsia="zh-CN"/>
        </w:rPr>
        <w:t>重大活动，在人民日报、北京广播电视台、香港经济导报等媒体展示经济社会发展成果，营造良好舆论氛围；</w:t>
      </w:r>
      <w:r>
        <w:rPr>
          <w:rFonts w:hint="eastAsia" w:ascii="仿宋" w:hAnsi="仿宋" w:eastAsia="仿宋" w:cs="仿宋"/>
          <w:kern w:val="2"/>
          <w:sz w:val="32"/>
          <w:szCs w:val="32"/>
          <w:lang w:val="en-US" w:eastAsia="zh-CN"/>
        </w:rPr>
        <w:t>充分利用区融媒传播矩阵资源，扩大宣传覆盖面，</w:t>
      </w:r>
      <w:r>
        <w:rPr>
          <w:rFonts w:hint="default" w:ascii="Times New Roman" w:hAnsi="Times New Roman" w:eastAsia="仿宋" w:cs="Times New Roman"/>
          <w:sz w:val="32"/>
          <w:szCs w:val="32"/>
          <w:lang w:val="en-US" w:eastAsia="zh-CN"/>
        </w:rPr>
        <w:t>完成月度新媒体矩阵分析报告12期，年度新媒体矩阵分析报告1期</w:t>
      </w:r>
      <w:r>
        <w:rPr>
          <w:rFonts w:hint="eastAsia" w:eastAsia="仿宋" w:cs="Times New Roman"/>
          <w:sz w:val="32"/>
          <w:szCs w:val="32"/>
          <w:lang w:val="en-US" w:eastAsia="zh-CN"/>
        </w:rPr>
        <w:t>；</w:t>
      </w:r>
      <w:r>
        <w:rPr>
          <w:rFonts w:hint="default" w:ascii="Times New Roman" w:hAnsi="Times New Roman" w:eastAsia="仿宋" w:cs="Times New Roman"/>
          <w:sz w:val="32"/>
          <w:szCs w:val="32"/>
          <w:lang w:val="en-US" w:eastAsia="zh-CN"/>
        </w:rPr>
        <w:t>定期更新推送品牌话题栏目，完成“朝阳群众这么看”“融评”等品牌栏目文章内容80篇；完成专业机房、演播室、前后期等专用技术设备、网络专线、软件和各平台技术系统的配备、租赁、维修维护与技术保障工作10余项；完成播出系统、网络安全设备及相关配套UPS、发电机供电系统的日常维修维护；完成网络信息安全、播出安全等方面的风险防控、等级保护、测评备案和应急处置等7项，保障了各播出系统、业务系统的稳定性与连续性，确保各项工作顺利开展。</w:t>
      </w:r>
    </w:p>
    <w:p w14:paraId="2BEB0897">
      <w:pPr>
        <w:keepNext w:val="0"/>
        <w:keepLines w:val="0"/>
        <w:pageBreakBefore w:val="0"/>
        <w:numPr>
          <w:ilvl w:val="0"/>
          <w:numId w:val="2"/>
        </w:numPr>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宋体" w:cs="Times New Roman"/>
          <w:color w:val="000000"/>
          <w:kern w:val="0"/>
          <w:sz w:val="28"/>
          <w:szCs w:val="28"/>
        </w:rPr>
      </w:pPr>
      <w:r>
        <w:rPr>
          <w:rFonts w:hint="default" w:ascii="Times New Roman" w:hAnsi="Times New Roman" w:eastAsia="楷体" w:cs="Times New Roman"/>
          <w:color w:val="000000"/>
          <w:kern w:val="0"/>
          <w:sz w:val="32"/>
          <w:szCs w:val="32"/>
        </w:rPr>
        <w:t>产出质量</w:t>
      </w:r>
    </w:p>
    <w:p w14:paraId="762C1EC9">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textAlignment w:val="auto"/>
        <w:outlineLvl w:val="9"/>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sz w:val="32"/>
          <w:szCs w:val="32"/>
        </w:rPr>
        <w:t>中心202</w:t>
      </w:r>
      <w:r>
        <w:rPr>
          <w:rFonts w:hint="eastAsia" w:eastAsia="仿宋" w:cs="Times New Roman"/>
          <w:sz w:val="32"/>
          <w:szCs w:val="32"/>
          <w:lang w:val="en-US" w:eastAsia="zh-CN"/>
        </w:rPr>
        <w:t>4</w:t>
      </w:r>
      <w:r>
        <w:rPr>
          <w:rFonts w:hint="default" w:ascii="Times New Roman" w:hAnsi="Times New Roman" w:eastAsia="仿宋" w:cs="Times New Roman"/>
          <w:sz w:val="32"/>
          <w:szCs w:val="32"/>
        </w:rPr>
        <w:t>年度</w:t>
      </w:r>
      <w:r>
        <w:rPr>
          <w:rFonts w:hint="default" w:ascii="Times New Roman" w:hAnsi="Times New Roman" w:eastAsia="仿宋" w:cs="Times New Roman"/>
          <w:sz w:val="32"/>
          <w:szCs w:val="32"/>
          <w:lang w:eastAsia="zh-CN"/>
        </w:rPr>
        <w:t>产出的</w:t>
      </w:r>
      <w:r>
        <w:rPr>
          <w:rFonts w:hint="default" w:ascii="Times New Roman" w:hAnsi="Times New Roman" w:eastAsia="仿宋" w:cs="Times New Roman"/>
          <w:sz w:val="32"/>
          <w:szCs w:val="32"/>
        </w:rPr>
        <w:t>新闻产品</w:t>
      </w:r>
      <w:r>
        <w:rPr>
          <w:rFonts w:hint="default" w:ascii="Times New Roman" w:hAnsi="Times New Roman" w:eastAsia="仿宋" w:cs="Times New Roman"/>
          <w:sz w:val="32"/>
          <w:szCs w:val="32"/>
          <w:lang w:eastAsia="zh-CN"/>
        </w:rPr>
        <w:t>等</w:t>
      </w:r>
      <w:r>
        <w:rPr>
          <w:rFonts w:hint="default" w:ascii="Times New Roman" w:hAnsi="Times New Roman" w:eastAsia="仿宋" w:cs="Times New Roman"/>
          <w:sz w:val="32"/>
          <w:szCs w:val="32"/>
        </w:rPr>
        <w:t>符合各平台推送、刊发、播出、上线标准</w:t>
      </w:r>
      <w:r>
        <w:rPr>
          <w:rFonts w:hint="default" w:ascii="Times New Roman" w:hAnsi="Times New Roman" w:eastAsia="仿宋" w:cs="Times New Roman"/>
          <w:sz w:val="32"/>
          <w:szCs w:val="32"/>
          <w:lang w:eastAsia="zh-CN"/>
        </w:rPr>
        <w:t>，保质保量完成工作任务，同时</w:t>
      </w:r>
      <w:r>
        <w:rPr>
          <w:rFonts w:hint="default" w:ascii="Times New Roman" w:hAnsi="Times New Roman" w:eastAsia="仿宋" w:cs="Times New Roman"/>
          <w:sz w:val="32"/>
          <w:szCs w:val="32"/>
        </w:rPr>
        <w:t>加强深度策划，新闻产品的传</w:t>
      </w:r>
      <w:r>
        <w:rPr>
          <w:rFonts w:hint="default" w:ascii="Times New Roman" w:hAnsi="Times New Roman" w:eastAsia="仿宋" w:cs="Times New Roman"/>
          <w:kern w:val="2"/>
          <w:sz w:val="32"/>
          <w:szCs w:val="32"/>
          <w:lang w:val="en-US" w:eastAsia="zh-CN" w:bidi="ar-SA"/>
        </w:rPr>
        <w:t>播力引导力显著提升。</w:t>
      </w:r>
      <w:r>
        <w:rPr>
          <w:rFonts w:hint="eastAsia" w:ascii="仿宋" w:hAnsi="仿宋" w:eastAsia="仿宋" w:cs="仿宋"/>
          <w:kern w:val="2"/>
          <w:sz w:val="32"/>
          <w:szCs w:val="32"/>
          <w:lang w:val="en-US" w:eastAsia="zh-CN"/>
        </w:rPr>
        <w:t>充分利用区融媒传播矩阵资源，扩大宣传覆盖面，在</w:t>
      </w:r>
      <w:r>
        <w:rPr>
          <w:rFonts w:hint="eastAsia" w:ascii="仿宋" w:hAnsi="仿宋" w:eastAsia="仿宋" w:cs="仿宋"/>
          <w:kern w:val="2"/>
          <w:sz w:val="32"/>
          <w:szCs w:val="32"/>
          <w:lang w:val="zh-CN" w:eastAsia="zh-CN"/>
        </w:rPr>
        <w:t>“北京朝阳”客户端、“北京朝阳”微信</w:t>
      </w:r>
      <w:r>
        <w:rPr>
          <w:rFonts w:hint="eastAsia" w:ascii="仿宋" w:hAnsi="仿宋" w:eastAsia="仿宋" w:cs="仿宋"/>
          <w:kern w:val="2"/>
          <w:sz w:val="32"/>
          <w:szCs w:val="32"/>
          <w:lang w:val="en-US" w:eastAsia="zh-CN"/>
        </w:rPr>
        <w:t>公众号</w:t>
      </w:r>
      <w:r>
        <w:rPr>
          <w:rFonts w:hint="eastAsia" w:ascii="仿宋" w:hAnsi="仿宋" w:eastAsia="仿宋" w:cs="仿宋"/>
          <w:kern w:val="2"/>
          <w:sz w:val="32"/>
          <w:szCs w:val="32"/>
          <w:lang w:val="zh-CN" w:eastAsia="zh-CN"/>
        </w:rPr>
        <w:t>、“朝阳群众”抖音号、“北京朝阳 ”视频号、“学习强国”朝阳学习平台等新媒体平台，以线上直播、短视频、动态海报、航拍视频、AI 播报等丰富形式开展宣传，向用户提供深度、权威、专业、多元的内容，形成自有特色，影响力不断提升。</w:t>
      </w:r>
    </w:p>
    <w:p w14:paraId="12B27428">
      <w:pPr>
        <w:keepNext w:val="0"/>
        <w:keepLines w:val="0"/>
        <w:pageBreakBefore w:val="0"/>
        <w:numPr>
          <w:ilvl w:val="0"/>
          <w:numId w:val="2"/>
        </w:numPr>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楷体" w:cs="Times New Roman"/>
          <w:color w:val="000000"/>
          <w:kern w:val="0"/>
          <w:sz w:val="32"/>
          <w:szCs w:val="32"/>
        </w:rPr>
      </w:pPr>
      <w:r>
        <w:rPr>
          <w:rFonts w:hint="default" w:ascii="Times New Roman" w:hAnsi="Times New Roman" w:eastAsia="楷体" w:cs="Times New Roman"/>
          <w:color w:val="000000"/>
          <w:kern w:val="0"/>
          <w:sz w:val="32"/>
          <w:szCs w:val="32"/>
        </w:rPr>
        <w:t>产出进度</w:t>
      </w:r>
    </w:p>
    <w:p w14:paraId="2F21FEC6">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textAlignment w:val="auto"/>
        <w:outlineLvl w:val="9"/>
        <w:rPr>
          <w:rFonts w:hint="default" w:ascii="Times New Roman" w:hAnsi="Times New Roman" w:eastAsia="宋体" w:cs="Times New Roman"/>
          <w:kern w:val="2"/>
          <w:sz w:val="28"/>
          <w:szCs w:val="28"/>
          <w:lang w:val="en-US" w:eastAsia="zh-CN" w:bidi="ar-SA"/>
        </w:rPr>
      </w:pPr>
      <w:r>
        <w:rPr>
          <w:rFonts w:hint="default" w:ascii="Times New Roman" w:hAnsi="Times New Roman" w:eastAsia="仿宋" w:cs="Times New Roman"/>
          <w:kern w:val="2"/>
          <w:sz w:val="32"/>
          <w:szCs w:val="32"/>
          <w:lang w:val="en-US" w:eastAsia="zh-CN" w:bidi="ar-SA"/>
        </w:rPr>
        <w:t>各项目均按照年度计划执行，于年度时间限度内保质保量完成了工作，较好完成了产出进度指标。</w:t>
      </w:r>
    </w:p>
    <w:p w14:paraId="24F6835F">
      <w:pPr>
        <w:keepNext w:val="0"/>
        <w:keepLines w:val="0"/>
        <w:pageBreakBefore w:val="0"/>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宋体" w:cs="Times New Roman"/>
          <w:color w:val="000000"/>
          <w:kern w:val="0"/>
          <w:sz w:val="28"/>
          <w:szCs w:val="28"/>
        </w:rPr>
      </w:pPr>
      <w:r>
        <w:rPr>
          <w:rFonts w:hint="default" w:ascii="Times New Roman" w:hAnsi="Times New Roman" w:eastAsia="楷体" w:cs="Times New Roman"/>
          <w:color w:val="000000"/>
          <w:kern w:val="0"/>
          <w:sz w:val="32"/>
          <w:szCs w:val="32"/>
        </w:rPr>
        <w:t>4.产出成本</w:t>
      </w:r>
    </w:p>
    <w:p w14:paraId="54518E3B">
      <w:pPr>
        <w:keepNext w:val="0"/>
        <w:keepLines w:val="0"/>
        <w:pageBreakBefore w:val="0"/>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宋体" w:cs="Times New Roman"/>
          <w:color w:val="000000"/>
          <w:kern w:val="0"/>
          <w:sz w:val="28"/>
          <w:szCs w:val="28"/>
        </w:rPr>
      </w:pPr>
      <w:r>
        <w:rPr>
          <w:rFonts w:hint="default" w:ascii="Times New Roman" w:hAnsi="Times New Roman" w:eastAsia="仿宋" w:cs="Times New Roman"/>
          <w:kern w:val="2"/>
          <w:sz w:val="32"/>
          <w:szCs w:val="32"/>
          <w:lang w:val="en-US" w:eastAsia="zh-CN" w:bidi="ar-SA"/>
        </w:rPr>
        <w:t>严格控制成本，确保成本节约，效益最大化，在合理范围内节省财政资金，各项目均未超过年度预算金额支出。将各项目成本控制在全年预算内，较好完成了年度产出成本指标。</w:t>
      </w:r>
      <w:r>
        <w:rPr>
          <w:rFonts w:hint="default" w:ascii="Times New Roman" w:hAnsi="Times New Roman" w:eastAsia="宋体" w:cs="Times New Roman"/>
          <w:color w:val="000000"/>
          <w:kern w:val="0"/>
          <w:sz w:val="28"/>
          <w:szCs w:val="28"/>
        </w:rPr>
        <w:t xml:space="preserve">                              </w:t>
      </w:r>
    </w:p>
    <w:p w14:paraId="7D9E5454">
      <w:pPr>
        <w:keepNext w:val="0"/>
        <w:keepLines w:val="0"/>
        <w:pageBreakBefore w:val="0"/>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楷体" w:cs="Times New Roman"/>
          <w:b w:val="0"/>
          <w:bCs w:val="0"/>
          <w:sz w:val="32"/>
          <w:szCs w:val="32"/>
        </w:rPr>
      </w:pPr>
      <w:r>
        <w:rPr>
          <w:rFonts w:hint="default" w:ascii="Times New Roman" w:hAnsi="Times New Roman" w:eastAsia="楷体" w:cs="Times New Roman"/>
          <w:b w:val="0"/>
          <w:bCs w:val="0"/>
          <w:sz w:val="32"/>
          <w:szCs w:val="32"/>
        </w:rPr>
        <w:t>（二）效果实现情况分析</w:t>
      </w:r>
    </w:p>
    <w:p w14:paraId="40C90CB0">
      <w:pPr>
        <w:keepNext w:val="0"/>
        <w:keepLines w:val="0"/>
        <w:pageBreakBefore w:val="0"/>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宋体" w:cs="Times New Roman"/>
          <w:color w:val="000000"/>
          <w:kern w:val="0"/>
          <w:sz w:val="28"/>
          <w:szCs w:val="28"/>
        </w:rPr>
      </w:pPr>
      <w:r>
        <w:rPr>
          <w:rFonts w:hint="default" w:ascii="Times New Roman" w:hAnsi="Times New Roman" w:eastAsia="楷体" w:cs="Times New Roman"/>
          <w:color w:val="000000"/>
          <w:kern w:val="0"/>
          <w:sz w:val="32"/>
          <w:szCs w:val="32"/>
        </w:rPr>
        <w:t>1.经济效益</w:t>
      </w:r>
    </w:p>
    <w:p w14:paraId="45A31E0C">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中心按照财政要求执行年度预算，保障了人员及机构的平稳运转、各个项目的执行和落实，切实为中心发挥融媒体应有的职能职责提供了财务和经济支撑，保证了区级融媒体工作的顺利进行，为其提供了稳健的经济基础切实发挥北京市朝阳区作为首都对外交往窗口作用，为</w:t>
      </w:r>
      <w:r>
        <w:rPr>
          <w:rFonts w:hint="eastAsia" w:ascii="仿宋" w:hAnsi="仿宋" w:eastAsia="仿宋" w:cs="仿宋"/>
          <w:sz w:val="32"/>
          <w:szCs w:val="32"/>
          <w:lang w:eastAsia="zh-CN"/>
        </w:rPr>
        <w:t>形成同心共圆中国梦的强大合力</w:t>
      </w:r>
      <w:r>
        <w:rPr>
          <w:rFonts w:hint="eastAsia" w:ascii="仿宋" w:hAnsi="仿宋" w:eastAsia="仿宋" w:cs="仿宋"/>
          <w:sz w:val="32"/>
          <w:szCs w:val="32"/>
        </w:rPr>
        <w:t>发挥更大的作用和影响力；同时加大朝阳区营商环境宣传力度，吸引国内外企业选择朝阳，落户朝阳</w:t>
      </w:r>
      <w:r>
        <w:rPr>
          <w:rFonts w:hint="eastAsia" w:ascii="仿宋" w:hAnsi="仿宋" w:eastAsia="仿宋" w:cs="仿宋"/>
          <w:sz w:val="32"/>
          <w:szCs w:val="32"/>
          <w:lang w:eastAsia="zh-CN"/>
        </w:rPr>
        <w:t>。</w:t>
      </w:r>
    </w:p>
    <w:p w14:paraId="1523A6ED">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hint="default" w:ascii="Times New Roman" w:hAnsi="Times New Roman" w:eastAsia="宋体" w:cs="Times New Roman"/>
          <w:sz w:val="28"/>
          <w:szCs w:val="28"/>
        </w:rPr>
      </w:pPr>
      <w:r>
        <w:rPr>
          <w:rFonts w:hint="default" w:ascii="Times New Roman" w:hAnsi="Times New Roman" w:eastAsia="楷体" w:cs="Times New Roman"/>
          <w:sz w:val="32"/>
          <w:szCs w:val="32"/>
          <w:lang w:val="en-US" w:eastAsia="zh-CN"/>
        </w:rPr>
        <w:t>2.</w:t>
      </w:r>
      <w:r>
        <w:rPr>
          <w:rFonts w:hint="default" w:ascii="Times New Roman" w:hAnsi="Times New Roman" w:eastAsia="楷体" w:cs="Times New Roman"/>
          <w:color w:val="000000"/>
          <w:kern w:val="0"/>
          <w:sz w:val="32"/>
          <w:szCs w:val="32"/>
        </w:rPr>
        <w:t>社会效益</w:t>
      </w:r>
    </w:p>
    <w:p w14:paraId="742E473D">
      <w:pPr>
        <w:pStyle w:val="3"/>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2024年度中心紧紧围绕职能职责，按照市、区整体工作部署，结合重点宣传工作，持续打造内容优、形式新、传播好的新闻产品，精心做好新闻选题策划和宣传报道，为全区高质量发展提供强有力的新闻宣传保障。联合人民日报、新华社、北京日报、北京广播电视总台等中央市属主流媒体，借力扩大传播影响力。2024年，共组织新闻宣传活动330余场次，报道1.4万余篇次，可统计全网总传播量超36亿次，有力发出了“朝阳声音”，讲好了“朝阳故事”。</w:t>
      </w:r>
    </w:p>
    <w:p w14:paraId="73C16837">
      <w:pPr>
        <w:keepNext w:val="0"/>
        <w:keepLines w:val="0"/>
        <w:pageBreakBefore w:val="0"/>
        <w:numPr>
          <w:ilvl w:val="0"/>
          <w:numId w:val="3"/>
        </w:numPr>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楷体" w:cs="Times New Roman"/>
          <w:color w:val="000000"/>
          <w:kern w:val="0"/>
          <w:sz w:val="32"/>
          <w:szCs w:val="32"/>
        </w:rPr>
      </w:pPr>
      <w:r>
        <w:rPr>
          <w:rFonts w:hint="default" w:ascii="Times New Roman" w:hAnsi="Times New Roman" w:eastAsia="楷体" w:cs="Times New Roman"/>
          <w:color w:val="000000"/>
          <w:kern w:val="0"/>
          <w:sz w:val="32"/>
          <w:szCs w:val="32"/>
        </w:rPr>
        <w:t>环境效益</w:t>
      </w:r>
    </w:p>
    <w:p w14:paraId="3E512B2A">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w:t>
      </w:r>
      <w:r>
        <w:rPr>
          <w:rFonts w:hint="eastAsia" w:eastAsia="仿宋" w:cs="Times New Roman"/>
          <w:sz w:val="32"/>
          <w:szCs w:val="32"/>
          <w:lang w:val="en-US" w:eastAsia="zh-CN"/>
        </w:rPr>
        <w:t>4</w:t>
      </w:r>
      <w:r>
        <w:rPr>
          <w:rFonts w:hint="default" w:ascii="Times New Roman" w:hAnsi="Times New Roman" w:eastAsia="仿宋" w:cs="Times New Roman"/>
          <w:sz w:val="32"/>
          <w:szCs w:val="32"/>
        </w:rPr>
        <w:t>年度中心持续发挥区级主流媒体作用，</w:t>
      </w:r>
      <w:r>
        <w:rPr>
          <w:rFonts w:hint="default" w:ascii="Times New Roman" w:hAnsi="Times New Roman" w:eastAsia="仿宋" w:cs="Times New Roman"/>
          <w:kern w:val="2"/>
          <w:sz w:val="32"/>
          <w:szCs w:val="32"/>
          <w:lang w:val="en-US" w:eastAsia="zh-CN" w:bidi="ar-SA"/>
        </w:rPr>
        <w:t>精心组织策划，加强正面宣传报道力度，努力提高新闻舆论传播力引导力，为区域发展提供强有力的舆论支持，同时不断强化新闻宣传，增强宣传保障能力、舆论引导能力、内容生产能力、技术创新能力</w:t>
      </w:r>
      <w:r>
        <w:rPr>
          <w:rFonts w:hint="eastAsia" w:eastAsia="仿宋" w:cs="Times New Roman"/>
          <w:kern w:val="2"/>
          <w:sz w:val="32"/>
          <w:szCs w:val="32"/>
          <w:lang w:val="en-US" w:eastAsia="zh-CN" w:bidi="ar-SA"/>
        </w:rPr>
        <w:t>等</w:t>
      </w:r>
      <w:r>
        <w:rPr>
          <w:rFonts w:hint="default" w:ascii="Times New Roman" w:hAnsi="Times New Roman" w:eastAsia="仿宋" w:cs="Times New Roman"/>
          <w:kern w:val="2"/>
          <w:sz w:val="32"/>
          <w:szCs w:val="32"/>
          <w:lang w:val="en-US" w:eastAsia="zh-CN" w:bidi="ar-SA"/>
        </w:rPr>
        <w:t>，</w:t>
      </w:r>
      <w:r>
        <w:rPr>
          <w:rFonts w:hint="default" w:ascii="Times New Roman" w:hAnsi="Times New Roman" w:eastAsia="仿宋" w:cs="Times New Roman"/>
          <w:kern w:val="2"/>
          <w:sz w:val="32"/>
          <w:szCs w:val="32"/>
        </w:rPr>
        <w:t>持续打造内容优、形式新</w:t>
      </w:r>
      <w:r>
        <w:rPr>
          <w:rFonts w:hint="default" w:ascii="Times New Roman" w:hAnsi="Times New Roman" w:eastAsia="仿宋" w:cs="Times New Roman"/>
          <w:kern w:val="2"/>
          <w:sz w:val="32"/>
          <w:szCs w:val="32"/>
          <w:lang w:eastAsia="zh-CN"/>
        </w:rPr>
        <w:t>、</w:t>
      </w:r>
      <w:r>
        <w:rPr>
          <w:rFonts w:hint="default" w:ascii="Times New Roman" w:hAnsi="Times New Roman" w:eastAsia="仿宋" w:cs="Times New Roman"/>
          <w:kern w:val="2"/>
          <w:sz w:val="32"/>
          <w:szCs w:val="32"/>
        </w:rPr>
        <w:t>传播好的</w:t>
      </w:r>
      <w:r>
        <w:rPr>
          <w:rFonts w:hint="eastAsia" w:eastAsia="仿宋" w:cs="Times New Roman"/>
          <w:kern w:val="2"/>
          <w:sz w:val="32"/>
          <w:szCs w:val="32"/>
          <w:lang w:eastAsia="zh-CN"/>
        </w:rPr>
        <w:t>新闻</w:t>
      </w:r>
      <w:r>
        <w:rPr>
          <w:rFonts w:hint="default" w:ascii="Times New Roman" w:hAnsi="Times New Roman" w:eastAsia="仿宋" w:cs="Times New Roman"/>
          <w:kern w:val="2"/>
          <w:sz w:val="32"/>
          <w:szCs w:val="32"/>
          <w:lang w:eastAsia="zh-CN"/>
        </w:rPr>
        <w:t>产品</w:t>
      </w:r>
      <w:r>
        <w:rPr>
          <w:rFonts w:hint="eastAsia" w:eastAsia="仿宋" w:cs="Times New Roman"/>
          <w:kern w:val="2"/>
          <w:sz w:val="32"/>
          <w:szCs w:val="32"/>
          <w:lang w:eastAsia="zh-CN"/>
        </w:rPr>
        <w:t>，</w:t>
      </w:r>
      <w:r>
        <w:rPr>
          <w:rFonts w:hint="default" w:ascii="Times New Roman" w:hAnsi="Times New Roman" w:eastAsia="仿宋" w:cs="Times New Roman"/>
          <w:kern w:val="2"/>
          <w:sz w:val="32"/>
          <w:szCs w:val="32"/>
        </w:rPr>
        <w:t>努力为全区各项事业的</w:t>
      </w:r>
      <w:r>
        <w:rPr>
          <w:rFonts w:hint="default" w:ascii="Times New Roman" w:hAnsi="Times New Roman" w:eastAsia="仿宋" w:cs="Times New Roman"/>
          <w:kern w:val="2"/>
          <w:sz w:val="32"/>
          <w:szCs w:val="32"/>
          <w:lang w:eastAsia="zh-CN"/>
        </w:rPr>
        <w:t>高质量</w:t>
      </w:r>
      <w:r>
        <w:rPr>
          <w:rFonts w:hint="default" w:ascii="Times New Roman" w:hAnsi="Times New Roman" w:eastAsia="仿宋" w:cs="Times New Roman"/>
          <w:kern w:val="2"/>
          <w:sz w:val="32"/>
          <w:szCs w:val="32"/>
        </w:rPr>
        <w:t>发展提供强有力的新闻宣传保障</w:t>
      </w:r>
      <w:r>
        <w:rPr>
          <w:rFonts w:hint="eastAsia" w:ascii="Times New Roman" w:hAnsi="Times New Roman" w:eastAsia="仿宋" w:cs="Times New Roman"/>
          <w:kern w:val="2"/>
          <w:sz w:val="32"/>
          <w:szCs w:val="32"/>
          <w:lang w:eastAsia="zh-CN"/>
        </w:rPr>
        <w:t>，</w:t>
      </w:r>
      <w:r>
        <w:rPr>
          <w:rFonts w:hint="default" w:ascii="Times New Roman" w:hAnsi="Times New Roman" w:eastAsia="仿宋" w:cs="Times New Roman"/>
          <w:kern w:val="2"/>
          <w:sz w:val="32"/>
          <w:szCs w:val="32"/>
          <w:lang w:val="en-US" w:eastAsia="zh-CN" w:bidi="ar-SA"/>
        </w:rPr>
        <w:t>全面宣传朝阳区经济社会文化生态等各领域发展成果，讲好朝阳故事、传好朝阳声音、树好朝阳形象。</w:t>
      </w:r>
    </w:p>
    <w:p w14:paraId="6B5BC47E">
      <w:pPr>
        <w:keepNext w:val="0"/>
        <w:keepLines w:val="0"/>
        <w:pageBreakBefore w:val="0"/>
        <w:numPr>
          <w:ilvl w:val="0"/>
          <w:numId w:val="3"/>
        </w:numPr>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楷体" w:cs="Times New Roman"/>
          <w:sz w:val="32"/>
          <w:szCs w:val="32"/>
        </w:rPr>
      </w:pPr>
      <w:r>
        <w:rPr>
          <w:rFonts w:hint="default" w:ascii="Times New Roman" w:hAnsi="Times New Roman" w:eastAsia="楷体" w:cs="Times New Roman"/>
          <w:color w:val="000000"/>
          <w:kern w:val="0"/>
          <w:sz w:val="32"/>
          <w:szCs w:val="32"/>
        </w:rPr>
        <w:t>可持续性影响</w:t>
      </w:r>
    </w:p>
    <w:p w14:paraId="500B4C68">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color w:val="000000"/>
          <w:kern w:val="0"/>
          <w:sz w:val="28"/>
          <w:szCs w:val="28"/>
        </w:rPr>
      </w:pPr>
      <w:r>
        <w:rPr>
          <w:rFonts w:hint="default" w:ascii="Times New Roman" w:hAnsi="Times New Roman" w:eastAsia="仿宋" w:cs="Times New Roman"/>
          <w:kern w:val="2"/>
          <w:sz w:val="32"/>
          <w:szCs w:val="32"/>
          <w:lang w:val="en-US" w:eastAsia="zh-CN" w:bidi="ar-SA"/>
        </w:rPr>
        <w:t>2024年度中心充分利用区融媒传播矩阵资源，扩大宣传覆盖面，通过各新媒体平台</w:t>
      </w:r>
      <w:r>
        <w:rPr>
          <w:rFonts w:hint="eastAsia" w:eastAsia="仿宋" w:cs="Times New Roman"/>
          <w:kern w:val="2"/>
          <w:sz w:val="32"/>
          <w:szCs w:val="32"/>
          <w:lang w:val="en-US" w:eastAsia="zh-CN" w:bidi="ar-SA"/>
        </w:rPr>
        <w:t>，</w:t>
      </w:r>
      <w:r>
        <w:rPr>
          <w:rFonts w:hint="eastAsia" w:ascii="Times New Roman" w:hAnsi="Times New Roman" w:eastAsia="仿宋" w:cs="Times New Roman"/>
          <w:kern w:val="2"/>
          <w:sz w:val="32"/>
          <w:szCs w:val="32"/>
          <w:lang w:val="zh-CN" w:eastAsia="zh-CN" w:bidi="ar-SA"/>
        </w:rPr>
        <w:t>以线上直播、短视频、动态海报、航拍视频、AI 播报等丰富形式开展宣传，向用户提供深度、权威、专业、多元的内容，形成自有特色，影响力不断提升，全年总浏览量近</w:t>
      </w:r>
      <w:r>
        <w:rPr>
          <w:rFonts w:hint="eastAsia" w:ascii="Times New Roman" w:hAnsi="Times New Roman" w:eastAsia="仿宋" w:cs="Times New Roman"/>
          <w:kern w:val="2"/>
          <w:sz w:val="32"/>
          <w:szCs w:val="32"/>
          <w:lang w:val="en-US" w:eastAsia="zh-CN" w:bidi="ar-SA"/>
        </w:rPr>
        <w:t>10</w:t>
      </w:r>
      <w:r>
        <w:rPr>
          <w:rFonts w:hint="eastAsia" w:ascii="Times New Roman" w:hAnsi="Times New Roman" w:eastAsia="仿宋" w:cs="Times New Roman"/>
          <w:kern w:val="2"/>
          <w:sz w:val="32"/>
          <w:szCs w:val="32"/>
          <w:lang w:val="zh-CN" w:eastAsia="zh-CN" w:bidi="ar-SA"/>
        </w:rPr>
        <w:t>亿。</w:t>
      </w:r>
      <w:r>
        <w:rPr>
          <w:rFonts w:hint="default" w:ascii="Times New Roman" w:hAnsi="Times New Roman" w:eastAsia="仿宋" w:cs="Times New Roman"/>
          <w:kern w:val="2"/>
          <w:sz w:val="32"/>
          <w:szCs w:val="32"/>
          <w:lang w:val="en-US" w:eastAsia="zh-CN" w:bidi="ar-SA"/>
        </w:rPr>
        <w:t>通过打造品牌栏目，增加用户数量，提升用户粘性，全面、立体展示朝阳区发展成就。让朝阳的声音更加响亮，加快融合发展步伐，建设具有强大传播力、有效引导力、广泛影响力、深厚公信力的政务新媒体。</w:t>
      </w:r>
    </w:p>
    <w:p w14:paraId="1CA3CB73">
      <w:pPr>
        <w:keepNext w:val="0"/>
        <w:keepLines w:val="0"/>
        <w:pageBreakBefore w:val="0"/>
        <w:numPr>
          <w:ilvl w:val="0"/>
          <w:numId w:val="3"/>
        </w:numPr>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宋体" w:cs="Times New Roman"/>
          <w:kern w:val="2"/>
          <w:sz w:val="28"/>
          <w:szCs w:val="28"/>
          <w:lang w:val="en-US" w:eastAsia="zh-CN" w:bidi="ar-SA"/>
        </w:rPr>
      </w:pPr>
      <w:r>
        <w:rPr>
          <w:rFonts w:hint="default" w:ascii="Times New Roman" w:hAnsi="Times New Roman" w:eastAsia="楷体" w:cs="Times New Roman"/>
          <w:color w:val="000000"/>
          <w:kern w:val="0"/>
          <w:sz w:val="32"/>
          <w:szCs w:val="32"/>
        </w:rPr>
        <w:t>服务对象满意度</w:t>
      </w:r>
    </w:p>
    <w:p w14:paraId="08D286CE">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rPr>
      </w:pPr>
      <w:r>
        <w:rPr>
          <w:rFonts w:hint="default" w:ascii="Times New Roman" w:hAnsi="Times New Roman" w:eastAsia="仿宋" w:cs="Times New Roman"/>
          <w:kern w:val="2"/>
          <w:sz w:val="32"/>
          <w:szCs w:val="32"/>
          <w:lang w:val="en-US" w:eastAsia="zh-CN" w:bidi="ar-SA"/>
        </w:rPr>
        <w:t>202</w:t>
      </w:r>
      <w:r>
        <w:rPr>
          <w:rFonts w:hint="eastAsia" w:eastAsia="仿宋" w:cs="Times New Roman"/>
          <w:kern w:val="2"/>
          <w:sz w:val="32"/>
          <w:szCs w:val="32"/>
          <w:lang w:val="en-US" w:eastAsia="zh-CN" w:bidi="ar-SA"/>
        </w:rPr>
        <w:t>4</w:t>
      </w:r>
      <w:r>
        <w:rPr>
          <w:rFonts w:hint="default" w:ascii="Times New Roman" w:hAnsi="Times New Roman" w:eastAsia="仿宋" w:cs="Times New Roman"/>
          <w:kern w:val="2"/>
          <w:sz w:val="32"/>
          <w:szCs w:val="32"/>
          <w:lang w:val="en-US" w:eastAsia="zh-CN" w:bidi="ar-SA"/>
        </w:rPr>
        <w:t>年，中心积极致力于区域媒体融合宣传，多角度、全平台进行整合推广，</w:t>
      </w:r>
      <w:r>
        <w:rPr>
          <w:rFonts w:hint="eastAsia" w:ascii="仿宋" w:hAnsi="仿宋" w:eastAsia="仿宋" w:cs="仿宋"/>
          <w:kern w:val="2"/>
          <w:sz w:val="32"/>
          <w:szCs w:val="32"/>
          <w:lang w:val="en-US" w:eastAsia="zh-CN"/>
        </w:rPr>
        <w:t>持续打造内容优、形式新、传播好的新闻产品，精心做好新闻选题策划和宣传报道，</w:t>
      </w:r>
      <w:r>
        <w:rPr>
          <w:rFonts w:hint="default" w:ascii="Times New Roman" w:hAnsi="Times New Roman" w:eastAsia="仿宋" w:cs="Times New Roman"/>
          <w:kern w:val="2"/>
          <w:sz w:val="32"/>
          <w:szCs w:val="32"/>
          <w:lang w:val="en-US" w:eastAsia="zh-CN" w:bidi="ar-SA"/>
        </w:rPr>
        <w:t>加强正面宣传报道力度，</w:t>
      </w:r>
      <w:r>
        <w:rPr>
          <w:rFonts w:hint="eastAsia" w:eastAsia="仿宋" w:cs="Times New Roman"/>
          <w:kern w:val="2"/>
          <w:sz w:val="32"/>
          <w:szCs w:val="32"/>
          <w:lang w:val="en-US" w:eastAsia="zh-CN" w:bidi="ar-SA"/>
        </w:rPr>
        <w:t>较</w:t>
      </w:r>
      <w:r>
        <w:rPr>
          <w:rFonts w:hint="default" w:ascii="Times New Roman" w:hAnsi="Times New Roman" w:eastAsia="仿宋" w:cs="Times New Roman"/>
          <w:kern w:val="2"/>
          <w:sz w:val="32"/>
          <w:szCs w:val="32"/>
          <w:lang w:val="en-US" w:eastAsia="zh-CN" w:bidi="ar-SA"/>
        </w:rPr>
        <w:t>好的完成区委、区政府、街乡委办局、驻区单位的宣传任务，充分发挥全媒体时代主流</w:t>
      </w:r>
      <w:r>
        <w:rPr>
          <w:rFonts w:hint="eastAsia" w:eastAsia="仿宋" w:cs="Times New Roman"/>
          <w:kern w:val="2"/>
          <w:sz w:val="32"/>
          <w:szCs w:val="32"/>
          <w:lang w:val="en-US" w:eastAsia="zh-CN" w:bidi="ar-SA"/>
        </w:rPr>
        <w:t>媒</w:t>
      </w:r>
      <w:bookmarkStart w:id="0" w:name="_GoBack"/>
      <w:bookmarkEnd w:id="0"/>
      <w:r>
        <w:rPr>
          <w:rFonts w:hint="default" w:ascii="Times New Roman" w:hAnsi="Times New Roman" w:eastAsia="仿宋" w:cs="Times New Roman"/>
          <w:kern w:val="2"/>
          <w:sz w:val="32"/>
          <w:szCs w:val="32"/>
          <w:lang w:val="en-US" w:eastAsia="zh-CN" w:bidi="ar-SA"/>
        </w:rPr>
        <w:t>体在党委和政府联系群众中的桥梁纽带作用，更好</w:t>
      </w:r>
      <w:r>
        <w:rPr>
          <w:rFonts w:hint="eastAsia" w:eastAsia="仿宋" w:cs="Times New Roman"/>
          <w:kern w:val="2"/>
          <w:sz w:val="32"/>
          <w:szCs w:val="32"/>
          <w:lang w:val="en-US" w:eastAsia="zh-CN" w:bidi="ar-SA"/>
        </w:rPr>
        <w:t>地</w:t>
      </w:r>
      <w:r>
        <w:rPr>
          <w:rFonts w:hint="default" w:ascii="Times New Roman" w:hAnsi="Times New Roman" w:eastAsia="仿宋" w:cs="Times New Roman"/>
          <w:kern w:val="2"/>
          <w:sz w:val="32"/>
          <w:szCs w:val="32"/>
          <w:lang w:val="en-US" w:eastAsia="zh-CN" w:bidi="ar-SA"/>
        </w:rPr>
        <w:t>引导群众、服务群众，丰富群众生活，让群众有更多获得感，营造区域良好舆论氛围，传播朝阳声音，塑造朝阳形象。</w:t>
      </w:r>
    </w:p>
    <w:p w14:paraId="497AAF08">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黑体" w:cs="Times New Roman"/>
          <w:color w:val="000000"/>
          <w:kern w:val="0"/>
          <w:sz w:val="32"/>
          <w:szCs w:val="32"/>
        </w:rPr>
      </w:pPr>
      <w:r>
        <w:rPr>
          <w:rFonts w:hint="default" w:ascii="Times New Roman" w:hAnsi="Times New Roman" w:eastAsia="黑体" w:cs="Times New Roman"/>
          <w:b w:val="0"/>
          <w:bCs w:val="0"/>
          <w:color w:val="000000"/>
          <w:kern w:val="0"/>
          <w:sz w:val="32"/>
          <w:szCs w:val="32"/>
        </w:rPr>
        <w:t>四、预算管理情况分析</w:t>
      </w:r>
    </w:p>
    <w:p w14:paraId="3152C4A6">
      <w:pPr>
        <w:keepNext w:val="0"/>
        <w:keepLines w:val="0"/>
        <w:pageBreakBefore w:val="0"/>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宋体" w:cs="Times New Roman"/>
          <w:b w:val="0"/>
          <w:bCs w:val="0"/>
          <w:sz w:val="28"/>
          <w:szCs w:val="28"/>
        </w:rPr>
      </w:pPr>
      <w:r>
        <w:rPr>
          <w:rFonts w:hint="default" w:ascii="Times New Roman" w:hAnsi="Times New Roman" w:eastAsia="楷体" w:cs="Times New Roman"/>
          <w:b w:val="0"/>
          <w:bCs w:val="0"/>
          <w:sz w:val="32"/>
          <w:szCs w:val="32"/>
        </w:rPr>
        <w:t>（一）财务管理</w:t>
      </w:r>
    </w:p>
    <w:p w14:paraId="2B179CA2">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楷体" w:cs="Times New Roman"/>
          <w:color w:val="000000"/>
          <w:kern w:val="0"/>
          <w:sz w:val="32"/>
          <w:szCs w:val="32"/>
        </w:rPr>
      </w:pPr>
      <w:r>
        <w:rPr>
          <w:rFonts w:hint="default" w:ascii="Times New Roman" w:hAnsi="Times New Roman" w:eastAsia="楷体" w:cs="Times New Roman"/>
          <w:color w:val="000000"/>
          <w:kern w:val="0"/>
          <w:sz w:val="32"/>
          <w:szCs w:val="32"/>
        </w:rPr>
        <w:t>1.财务管理制度健全性</w:t>
      </w:r>
    </w:p>
    <w:p w14:paraId="15A87E01">
      <w:pPr>
        <w:keepNext w:val="0"/>
        <w:keepLines w:val="0"/>
        <w:pageBreakBefore w:val="0"/>
        <w:widowControl w:val="0"/>
        <w:kinsoku/>
        <w:wordWrap/>
        <w:overflowPunct/>
        <w:topLinePunct w:val="0"/>
        <w:autoSpaceDE/>
        <w:autoSpaceDN/>
        <w:bidi w:val="0"/>
        <w:adjustRightInd w:val="0"/>
        <w:snapToGrid w:val="0"/>
        <w:spacing w:line="360" w:lineRule="auto"/>
        <w:ind w:left="105" w:leftChars="50" w:right="0" w:rightChars="0" w:firstLine="640" w:firstLineChars="200"/>
        <w:textAlignment w:val="auto"/>
        <w:outlineLvl w:val="9"/>
        <w:rPr>
          <w:rFonts w:hint="eastAsia" w:ascii="Times New Roman" w:hAnsi="Times New Roman" w:eastAsia="仿宋" w:cs="Times New Roman"/>
          <w:color w:val="000000"/>
          <w:kern w:val="0"/>
          <w:sz w:val="32"/>
          <w:szCs w:val="32"/>
          <w:lang w:eastAsia="zh-CN"/>
        </w:rPr>
      </w:pPr>
      <w:r>
        <w:rPr>
          <w:rFonts w:hint="default" w:ascii="Times New Roman" w:hAnsi="Times New Roman" w:eastAsia="仿宋" w:cs="Times New Roman"/>
          <w:color w:val="000000"/>
          <w:kern w:val="0"/>
          <w:sz w:val="32"/>
          <w:szCs w:val="32"/>
        </w:rPr>
        <w:t>我单位严格执行财政部门的相关规</w:t>
      </w:r>
      <w:r>
        <w:rPr>
          <w:rFonts w:hint="default" w:ascii="Times New Roman" w:hAnsi="Times New Roman" w:eastAsia="仿宋" w:cs="Times New Roman"/>
          <w:color w:val="000000"/>
          <w:kern w:val="0"/>
          <w:sz w:val="32"/>
          <w:szCs w:val="32"/>
          <w:lang w:eastAsia="zh-CN"/>
        </w:rPr>
        <w:t>定</w:t>
      </w:r>
      <w:r>
        <w:rPr>
          <w:rFonts w:hint="eastAsia" w:eastAsia="仿宋" w:cs="Times New Roman"/>
          <w:color w:val="000000"/>
          <w:kern w:val="0"/>
          <w:sz w:val="32"/>
          <w:szCs w:val="32"/>
          <w:lang w:eastAsia="zh-CN"/>
        </w:rPr>
        <w:t>，并</w:t>
      </w:r>
      <w:r>
        <w:rPr>
          <w:rFonts w:hint="eastAsia" w:ascii="仿宋_GB2312" w:eastAsia="仿宋_GB2312" w:cs="Times New Roman"/>
          <w:color w:val="auto"/>
          <w:kern w:val="2"/>
          <w:sz w:val="32"/>
          <w:szCs w:val="32"/>
          <w:highlight w:val="none"/>
          <w:lang w:val="en-US" w:eastAsia="zh-CN" w:bidi="ar-SA"/>
        </w:rPr>
        <w:t>以</w:t>
      </w:r>
      <w:r>
        <w:rPr>
          <w:rFonts w:hint="eastAsia" w:ascii="仿宋_GB2312" w:hAnsi="Calibri" w:eastAsia="仿宋_GB2312" w:cs="Times New Roman"/>
          <w:color w:val="auto"/>
          <w:kern w:val="2"/>
          <w:sz w:val="32"/>
          <w:szCs w:val="32"/>
          <w:highlight w:val="none"/>
          <w:lang w:val="en-US" w:eastAsia="zh-CN" w:bidi="ar-SA"/>
        </w:rPr>
        <w:t>中心“制度建设年”</w:t>
      </w:r>
      <w:r>
        <w:rPr>
          <w:rFonts w:hint="eastAsia" w:ascii="仿宋_GB2312" w:eastAsia="仿宋_GB2312" w:cs="Times New Roman"/>
          <w:color w:val="auto"/>
          <w:kern w:val="2"/>
          <w:sz w:val="32"/>
          <w:szCs w:val="32"/>
          <w:highlight w:val="none"/>
          <w:lang w:val="en-US" w:eastAsia="zh-CN" w:bidi="ar-SA"/>
        </w:rPr>
        <w:t>为契机</w:t>
      </w:r>
      <w:r>
        <w:rPr>
          <w:rFonts w:hint="eastAsia" w:ascii="仿宋_GB2312" w:hAnsi="Calibri" w:eastAsia="仿宋_GB2312" w:cs="Times New Roman"/>
          <w:color w:val="auto"/>
          <w:kern w:val="2"/>
          <w:sz w:val="32"/>
          <w:szCs w:val="32"/>
          <w:highlight w:val="none"/>
          <w:lang w:val="en-US" w:eastAsia="zh-CN" w:bidi="ar-SA"/>
        </w:rPr>
        <w:t>，对21项财务和内控内审相关制度进行了全面梳理与</w:t>
      </w:r>
      <w:r>
        <w:rPr>
          <w:rFonts w:hint="eastAsia" w:ascii="仿宋_GB2312" w:eastAsia="仿宋_GB2312" w:cs="Times New Roman"/>
          <w:color w:val="auto"/>
          <w:kern w:val="2"/>
          <w:sz w:val="32"/>
          <w:szCs w:val="32"/>
          <w:highlight w:val="none"/>
          <w:lang w:val="en-US" w:eastAsia="zh-CN" w:bidi="ar-SA"/>
        </w:rPr>
        <w:t>完善</w:t>
      </w:r>
      <w:r>
        <w:rPr>
          <w:rFonts w:hint="default" w:ascii="Times New Roman" w:hAnsi="Times New Roman" w:eastAsia="仿宋" w:cs="Times New Roman"/>
          <w:color w:val="000000"/>
          <w:kern w:val="0"/>
          <w:sz w:val="32"/>
          <w:szCs w:val="32"/>
          <w:lang w:eastAsia="zh-CN"/>
        </w:rPr>
        <w:t>，</w:t>
      </w:r>
      <w:r>
        <w:rPr>
          <w:rFonts w:hint="default" w:ascii="Times New Roman" w:hAnsi="Times New Roman" w:eastAsia="仿宋" w:cs="Times New Roman"/>
          <w:color w:val="000000"/>
          <w:kern w:val="0"/>
          <w:sz w:val="32"/>
          <w:szCs w:val="32"/>
        </w:rPr>
        <w:t>相关管理制度合法、合规、完整，并得到有效执行</w:t>
      </w:r>
      <w:r>
        <w:rPr>
          <w:rFonts w:hint="eastAsia" w:eastAsia="仿宋" w:cs="Times New Roman"/>
          <w:color w:val="000000"/>
          <w:kern w:val="0"/>
          <w:sz w:val="32"/>
          <w:szCs w:val="32"/>
          <w:lang w:eastAsia="zh-CN"/>
        </w:rPr>
        <w:t>。</w:t>
      </w:r>
    </w:p>
    <w:p w14:paraId="7CDCE824">
      <w:pPr>
        <w:keepNext w:val="0"/>
        <w:keepLines w:val="0"/>
        <w:pageBreakBefore w:val="0"/>
        <w:numPr>
          <w:ilvl w:val="0"/>
          <w:numId w:val="0"/>
        </w:numPr>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color w:val="000000"/>
          <w:kern w:val="0"/>
          <w:sz w:val="28"/>
          <w:szCs w:val="28"/>
        </w:rPr>
      </w:pPr>
      <w:r>
        <w:rPr>
          <w:rFonts w:hint="default" w:ascii="Times New Roman" w:hAnsi="Times New Roman" w:eastAsia="楷体" w:cs="Times New Roman"/>
          <w:color w:val="000000"/>
          <w:kern w:val="0"/>
          <w:sz w:val="32"/>
          <w:szCs w:val="32"/>
          <w:lang w:val="en-US" w:eastAsia="zh-CN"/>
        </w:rPr>
        <w:t>2.</w:t>
      </w:r>
      <w:r>
        <w:rPr>
          <w:rFonts w:hint="default" w:ascii="Times New Roman" w:hAnsi="Times New Roman" w:eastAsia="楷体" w:cs="Times New Roman"/>
          <w:color w:val="000000"/>
          <w:kern w:val="0"/>
          <w:sz w:val="32"/>
          <w:szCs w:val="32"/>
        </w:rPr>
        <w:t>资金使用合规性和安全性</w:t>
      </w:r>
    </w:p>
    <w:p w14:paraId="0011119B">
      <w:pPr>
        <w:pStyle w:val="3"/>
        <w:keepNext w:val="0"/>
        <w:keepLines w:val="0"/>
        <w:pageBreakBefore w:val="0"/>
        <w:numPr>
          <w:ilvl w:val="0"/>
          <w:numId w:val="0"/>
        </w:numPr>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color w:val="000000"/>
          <w:kern w:val="0"/>
          <w:sz w:val="28"/>
          <w:szCs w:val="28"/>
        </w:rPr>
      </w:pPr>
      <w:r>
        <w:rPr>
          <w:rFonts w:hint="default" w:ascii="Times New Roman" w:hAnsi="Times New Roman" w:eastAsia="仿宋" w:cs="Times New Roman"/>
          <w:b w:val="0"/>
          <w:bCs w:val="0"/>
          <w:kern w:val="2"/>
          <w:sz w:val="32"/>
          <w:szCs w:val="32"/>
          <w:highlight w:val="none"/>
          <w:lang w:val="en-US" w:eastAsia="zh-CN" w:bidi="ar-SA"/>
        </w:rPr>
        <w:t>202</w:t>
      </w:r>
      <w:r>
        <w:rPr>
          <w:rFonts w:hint="eastAsia" w:eastAsia="仿宋" w:cs="Times New Roman"/>
          <w:b w:val="0"/>
          <w:bCs w:val="0"/>
          <w:kern w:val="2"/>
          <w:sz w:val="32"/>
          <w:szCs w:val="32"/>
          <w:highlight w:val="none"/>
          <w:lang w:val="en-US" w:eastAsia="zh-CN" w:bidi="ar-SA"/>
        </w:rPr>
        <w:t>4</w:t>
      </w:r>
      <w:r>
        <w:rPr>
          <w:rFonts w:hint="default" w:ascii="Times New Roman" w:hAnsi="Times New Roman" w:eastAsia="仿宋" w:cs="Times New Roman"/>
          <w:b w:val="0"/>
          <w:bCs w:val="0"/>
          <w:kern w:val="2"/>
          <w:sz w:val="32"/>
          <w:szCs w:val="32"/>
          <w:highlight w:val="none"/>
          <w:lang w:val="en-US" w:eastAsia="zh-CN" w:bidi="ar-SA"/>
        </w:rPr>
        <w:t>年中心</w:t>
      </w:r>
      <w:r>
        <w:rPr>
          <w:rFonts w:hint="default" w:ascii="Times New Roman" w:hAnsi="Times New Roman" w:eastAsia="仿宋" w:cs="Times New Roman"/>
          <w:b w:val="0"/>
          <w:bCs/>
          <w:sz w:val="32"/>
          <w:szCs w:val="32"/>
          <w:lang w:val="en-US" w:eastAsia="zh-CN"/>
        </w:rPr>
        <w:t>严格落实资金使用制度，规避项目实施过程中的风险，对每一笔资金使用严格把控，避免项目的不确定性。</w:t>
      </w:r>
      <w:r>
        <w:rPr>
          <w:rFonts w:hint="default" w:ascii="Times New Roman" w:hAnsi="Times New Roman" w:eastAsia="仿宋" w:cs="Times New Roman"/>
          <w:color w:val="000000"/>
          <w:kern w:val="0"/>
          <w:sz w:val="32"/>
          <w:szCs w:val="32"/>
        </w:rPr>
        <w:t>项目实行计划管理 ，提高预算资金的管控水平</w:t>
      </w:r>
      <w:r>
        <w:rPr>
          <w:rFonts w:hint="default" w:ascii="Times New Roman" w:hAnsi="Times New Roman" w:eastAsia="仿宋" w:cs="Times New Roman"/>
          <w:color w:val="000000"/>
          <w:kern w:val="0"/>
          <w:sz w:val="32"/>
          <w:szCs w:val="32"/>
          <w:lang w:eastAsia="zh-CN"/>
        </w:rPr>
        <w:t>，</w:t>
      </w:r>
      <w:r>
        <w:rPr>
          <w:rFonts w:hint="default" w:ascii="Times New Roman" w:hAnsi="Times New Roman" w:eastAsia="仿宋" w:cs="Times New Roman"/>
          <w:color w:val="000000"/>
          <w:kern w:val="0"/>
          <w:sz w:val="32"/>
          <w:szCs w:val="32"/>
        </w:rPr>
        <w:t>按进度支付，做到专款专用</w:t>
      </w:r>
      <w:r>
        <w:rPr>
          <w:rFonts w:hint="default" w:ascii="Times New Roman" w:hAnsi="Times New Roman" w:eastAsia="仿宋" w:cs="Times New Roman"/>
          <w:color w:val="000000"/>
          <w:kern w:val="0"/>
          <w:sz w:val="32"/>
          <w:szCs w:val="32"/>
          <w:lang w:eastAsia="zh-CN"/>
        </w:rPr>
        <w:t>，</w:t>
      </w:r>
      <w:r>
        <w:rPr>
          <w:rFonts w:hint="default" w:ascii="Times New Roman" w:hAnsi="Times New Roman" w:eastAsia="仿宋" w:cs="Times New Roman"/>
          <w:color w:val="000000"/>
          <w:kern w:val="0"/>
          <w:sz w:val="32"/>
          <w:szCs w:val="32"/>
        </w:rPr>
        <w:t>无截留、挤占、挪用、虚列支出等情况</w:t>
      </w:r>
      <w:r>
        <w:rPr>
          <w:rFonts w:hint="default" w:ascii="Times New Roman" w:hAnsi="Times New Roman" w:eastAsia="仿宋" w:cs="Times New Roman"/>
          <w:color w:val="000000"/>
          <w:kern w:val="0"/>
          <w:sz w:val="32"/>
          <w:szCs w:val="32"/>
          <w:lang w:eastAsia="zh-CN"/>
        </w:rPr>
        <w:t>。</w:t>
      </w:r>
    </w:p>
    <w:p w14:paraId="53D79AC1">
      <w:pPr>
        <w:keepNext w:val="0"/>
        <w:keepLines w:val="0"/>
        <w:pageBreakBefore w:val="0"/>
        <w:numPr>
          <w:ilvl w:val="0"/>
          <w:numId w:val="0"/>
        </w:numPr>
        <w:kinsoku/>
        <w:wordWrap/>
        <w:overflowPunct/>
        <w:topLinePunct w:val="0"/>
        <w:autoSpaceDE/>
        <w:autoSpaceDN/>
        <w:bidi w:val="0"/>
        <w:adjustRightInd w:val="0"/>
        <w:snapToGrid w:val="0"/>
        <w:spacing w:line="360" w:lineRule="auto"/>
        <w:ind w:leftChars="250" w:right="0" w:rightChars="0"/>
        <w:outlineLvl w:val="9"/>
        <w:rPr>
          <w:rFonts w:hint="default" w:ascii="Times New Roman" w:hAnsi="Times New Roman" w:eastAsia="宋体" w:cs="Times New Roman"/>
          <w:color w:val="000000"/>
          <w:kern w:val="0"/>
          <w:sz w:val="28"/>
          <w:szCs w:val="28"/>
        </w:rPr>
      </w:pPr>
      <w:r>
        <w:rPr>
          <w:rFonts w:hint="default" w:ascii="Times New Roman" w:hAnsi="Times New Roman" w:eastAsia="楷体" w:cs="Times New Roman"/>
          <w:color w:val="000000"/>
          <w:kern w:val="0"/>
          <w:sz w:val="32"/>
          <w:szCs w:val="32"/>
          <w:lang w:val="en-US" w:eastAsia="zh-CN"/>
        </w:rPr>
        <w:t>3.</w:t>
      </w:r>
      <w:r>
        <w:rPr>
          <w:rFonts w:hint="default" w:ascii="Times New Roman" w:hAnsi="Times New Roman" w:eastAsia="楷体" w:cs="Times New Roman"/>
          <w:color w:val="000000"/>
          <w:kern w:val="0"/>
          <w:sz w:val="32"/>
          <w:szCs w:val="32"/>
        </w:rPr>
        <w:t>会计基础信息完善性</w:t>
      </w:r>
    </w:p>
    <w:p w14:paraId="7DAE8666">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color w:val="000000"/>
          <w:kern w:val="0"/>
          <w:sz w:val="32"/>
          <w:szCs w:val="32"/>
        </w:rPr>
      </w:pPr>
      <w:r>
        <w:rPr>
          <w:rFonts w:hint="default" w:ascii="Times New Roman" w:hAnsi="Times New Roman" w:eastAsia="仿宋" w:cs="Times New Roman"/>
          <w:sz w:val="32"/>
          <w:szCs w:val="32"/>
        </w:rPr>
        <w:t>中心严格按照《中华人民共和国会计法</w:t>
      </w:r>
      <w:r>
        <w:rPr>
          <w:rFonts w:hint="eastAsia" w:eastAsia="仿宋" w:cs="Times New Roman"/>
          <w:sz w:val="32"/>
          <w:szCs w:val="32"/>
          <w:lang w:eastAsia="zh-CN"/>
        </w:rPr>
        <w:t>》《</w:t>
      </w:r>
      <w:r>
        <w:rPr>
          <w:rFonts w:hint="default" w:ascii="Times New Roman" w:hAnsi="Times New Roman" w:eastAsia="仿宋" w:cs="Times New Roman"/>
          <w:sz w:val="32"/>
          <w:szCs w:val="32"/>
          <w:lang w:eastAsia="zh-CN"/>
        </w:rPr>
        <w:t>政府</w:t>
      </w:r>
      <w:r>
        <w:rPr>
          <w:rFonts w:hint="default" w:ascii="Times New Roman" w:hAnsi="Times New Roman" w:eastAsia="仿宋" w:cs="Times New Roman"/>
          <w:sz w:val="32"/>
          <w:szCs w:val="32"/>
        </w:rPr>
        <w:t>会计</w:t>
      </w:r>
      <w:r>
        <w:rPr>
          <w:rFonts w:hint="default" w:ascii="Times New Roman" w:hAnsi="Times New Roman" w:eastAsia="仿宋" w:cs="Times New Roman"/>
          <w:sz w:val="32"/>
          <w:szCs w:val="32"/>
          <w:lang w:eastAsia="zh-CN"/>
        </w:rPr>
        <w:t>制度</w:t>
      </w:r>
      <w:r>
        <w:rPr>
          <w:rFonts w:hint="default" w:ascii="Times New Roman" w:hAnsi="Times New Roman" w:eastAsia="仿宋" w:cs="Times New Roman"/>
          <w:sz w:val="32"/>
          <w:szCs w:val="32"/>
        </w:rPr>
        <w:t>》及相关规定要求管理会计基础信息，如实反映部门的财务状况、运行情况等有关信息，保证会计基础信息</w:t>
      </w:r>
      <w:r>
        <w:rPr>
          <w:rFonts w:hint="default" w:ascii="Times New Roman" w:hAnsi="Times New Roman" w:eastAsia="仿宋" w:cs="Times New Roman"/>
          <w:color w:val="000000"/>
          <w:kern w:val="0"/>
          <w:sz w:val="32"/>
          <w:szCs w:val="32"/>
        </w:rPr>
        <w:t>记录真实、完整、可靠，并将相关财务信息及时上报和公示。</w:t>
      </w:r>
    </w:p>
    <w:p w14:paraId="30DE5F5D">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楷体" w:cs="Times New Roman"/>
          <w:b w:val="0"/>
          <w:bCs w:val="0"/>
          <w:sz w:val="32"/>
          <w:szCs w:val="32"/>
        </w:rPr>
      </w:pPr>
      <w:r>
        <w:rPr>
          <w:rFonts w:hint="default" w:ascii="Times New Roman" w:hAnsi="Times New Roman" w:eastAsia="楷体" w:cs="Times New Roman"/>
          <w:b w:val="0"/>
          <w:bCs w:val="0"/>
          <w:sz w:val="32"/>
          <w:szCs w:val="32"/>
        </w:rPr>
        <w:t>（二）资产管理</w:t>
      </w:r>
    </w:p>
    <w:p w14:paraId="66E78E32">
      <w:pPr>
        <w:pStyle w:val="3"/>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sz w:val="28"/>
          <w:szCs w:val="28"/>
        </w:rPr>
      </w:pPr>
      <w:r>
        <w:rPr>
          <w:rFonts w:hint="default" w:ascii="Times New Roman" w:hAnsi="Times New Roman" w:eastAsia="仿宋" w:cs="Times New Roman"/>
          <w:color w:val="000000"/>
          <w:kern w:val="0"/>
          <w:sz w:val="32"/>
          <w:szCs w:val="32"/>
        </w:rPr>
        <w:t>严格执行</w:t>
      </w:r>
      <w:r>
        <w:rPr>
          <w:rFonts w:hint="default" w:ascii="Times New Roman" w:hAnsi="Times New Roman" w:eastAsia="仿宋" w:cs="Times New Roman"/>
          <w:color w:val="000000"/>
          <w:kern w:val="0"/>
          <w:sz w:val="32"/>
          <w:szCs w:val="32"/>
          <w:lang w:eastAsia="zh-CN"/>
        </w:rPr>
        <w:t>朝阳区</w:t>
      </w:r>
      <w:r>
        <w:rPr>
          <w:rFonts w:hint="default" w:ascii="Times New Roman" w:hAnsi="Times New Roman" w:eastAsia="仿宋" w:cs="Times New Roman"/>
          <w:color w:val="000000"/>
          <w:kern w:val="0"/>
          <w:sz w:val="32"/>
          <w:szCs w:val="32"/>
        </w:rPr>
        <w:t>行政事业单位国有资产管理的相关规定，</w:t>
      </w:r>
      <w:r>
        <w:rPr>
          <w:rFonts w:hint="default" w:ascii="Times New Roman" w:hAnsi="Times New Roman" w:eastAsia="仿宋" w:cs="Times New Roman"/>
          <w:color w:val="000000"/>
          <w:kern w:val="0"/>
          <w:sz w:val="32"/>
          <w:szCs w:val="32"/>
          <w:lang w:eastAsia="zh-CN"/>
        </w:rPr>
        <w:t>定</w:t>
      </w:r>
      <w:r>
        <w:rPr>
          <w:rFonts w:hint="default" w:ascii="Times New Roman" w:hAnsi="Times New Roman" w:eastAsia="仿宋" w:cs="Times New Roman"/>
          <w:color w:val="000000"/>
          <w:kern w:val="0"/>
          <w:sz w:val="32"/>
          <w:szCs w:val="32"/>
        </w:rPr>
        <w:t>期对资产进行清查</w:t>
      </w:r>
      <w:r>
        <w:rPr>
          <w:rFonts w:hint="eastAsia" w:eastAsia="仿宋" w:cs="Times New Roman"/>
          <w:color w:val="000000"/>
          <w:kern w:val="0"/>
          <w:sz w:val="32"/>
          <w:szCs w:val="32"/>
          <w:lang w:eastAsia="zh-CN"/>
        </w:rPr>
        <w:t>、</w:t>
      </w:r>
      <w:r>
        <w:rPr>
          <w:rFonts w:hint="default" w:ascii="Times New Roman" w:hAnsi="Times New Roman" w:eastAsia="仿宋" w:cs="Times New Roman"/>
          <w:color w:val="000000"/>
          <w:kern w:val="0"/>
          <w:sz w:val="32"/>
          <w:szCs w:val="32"/>
        </w:rPr>
        <w:t>盘点</w:t>
      </w:r>
      <w:r>
        <w:rPr>
          <w:rFonts w:hint="eastAsia" w:eastAsia="仿宋" w:cs="Times New Roman"/>
          <w:color w:val="000000"/>
          <w:kern w:val="0"/>
          <w:sz w:val="32"/>
          <w:szCs w:val="32"/>
          <w:lang w:eastAsia="zh-CN"/>
        </w:rPr>
        <w:t>、报废</w:t>
      </w:r>
      <w:r>
        <w:rPr>
          <w:rFonts w:hint="default" w:ascii="Times New Roman" w:hAnsi="Times New Roman" w:eastAsia="仿宋" w:cs="Times New Roman"/>
          <w:color w:val="000000"/>
          <w:kern w:val="0"/>
          <w:sz w:val="32"/>
          <w:szCs w:val="32"/>
        </w:rPr>
        <w:t>，对账实不符的情况及时进行处理</w:t>
      </w:r>
      <w:r>
        <w:rPr>
          <w:rFonts w:hint="default" w:ascii="Times New Roman" w:hAnsi="Times New Roman" w:eastAsia="仿宋" w:cs="Times New Roman"/>
          <w:color w:val="000000"/>
          <w:kern w:val="0"/>
          <w:sz w:val="32"/>
          <w:szCs w:val="32"/>
          <w:lang w:eastAsia="zh-CN"/>
        </w:rPr>
        <w:t>。</w:t>
      </w:r>
    </w:p>
    <w:p w14:paraId="0A3E2508">
      <w:pPr>
        <w:keepNext w:val="0"/>
        <w:keepLines w:val="0"/>
        <w:pageBreakBefore w:val="0"/>
        <w:numPr>
          <w:ilvl w:val="0"/>
          <w:numId w:val="0"/>
        </w:numPr>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楷体" w:cs="Times New Roman"/>
          <w:b/>
          <w:bCs/>
          <w:sz w:val="32"/>
          <w:szCs w:val="32"/>
        </w:rPr>
      </w:pPr>
      <w:r>
        <w:rPr>
          <w:rFonts w:hint="default" w:ascii="Times New Roman" w:hAnsi="Times New Roman" w:eastAsia="楷体" w:cs="Times New Roman"/>
          <w:b w:val="0"/>
          <w:bCs w:val="0"/>
          <w:sz w:val="32"/>
          <w:szCs w:val="32"/>
          <w:lang w:eastAsia="zh-CN"/>
        </w:rPr>
        <w:t>（三）</w:t>
      </w:r>
      <w:r>
        <w:rPr>
          <w:rFonts w:hint="default" w:ascii="Times New Roman" w:hAnsi="Times New Roman" w:eastAsia="楷体" w:cs="Times New Roman"/>
          <w:b w:val="0"/>
          <w:bCs w:val="0"/>
          <w:sz w:val="32"/>
          <w:szCs w:val="32"/>
        </w:rPr>
        <w:t>绩效管理</w:t>
      </w:r>
    </w:p>
    <w:p w14:paraId="0FFC1223">
      <w:pPr>
        <w:pStyle w:val="3"/>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color w:val="000000"/>
          <w:kern w:val="0"/>
          <w:sz w:val="32"/>
          <w:szCs w:val="32"/>
          <w:lang w:val="en-US" w:eastAsia="zh-CN"/>
        </w:rPr>
      </w:pPr>
      <w:r>
        <w:rPr>
          <w:rFonts w:hint="eastAsia" w:eastAsia="仿宋" w:cs="Times New Roman"/>
          <w:color w:val="000000"/>
          <w:kern w:val="0"/>
          <w:sz w:val="32"/>
          <w:szCs w:val="32"/>
          <w:lang w:eastAsia="zh-CN"/>
        </w:rPr>
        <w:t>中心</w:t>
      </w:r>
      <w:r>
        <w:rPr>
          <w:rFonts w:hint="default" w:ascii="Times New Roman" w:hAnsi="Times New Roman" w:eastAsia="仿宋" w:cs="Times New Roman"/>
          <w:color w:val="000000"/>
          <w:kern w:val="0"/>
          <w:sz w:val="32"/>
          <w:szCs w:val="32"/>
        </w:rPr>
        <w:t>严格财政部门</w:t>
      </w:r>
      <w:r>
        <w:rPr>
          <w:rFonts w:hint="default" w:ascii="Times New Roman" w:hAnsi="Times New Roman" w:eastAsia="仿宋" w:cs="Times New Roman"/>
          <w:color w:val="000000"/>
          <w:kern w:val="0"/>
          <w:sz w:val="32"/>
          <w:szCs w:val="32"/>
          <w:lang w:eastAsia="zh-CN"/>
        </w:rPr>
        <w:t>预算绩效管理相关</w:t>
      </w:r>
      <w:r>
        <w:rPr>
          <w:rFonts w:hint="default" w:ascii="Times New Roman" w:hAnsi="Times New Roman" w:eastAsia="仿宋" w:cs="Times New Roman"/>
          <w:color w:val="000000"/>
          <w:kern w:val="0"/>
          <w:sz w:val="32"/>
          <w:szCs w:val="32"/>
        </w:rPr>
        <w:t>规</w:t>
      </w:r>
      <w:r>
        <w:rPr>
          <w:rFonts w:hint="default" w:ascii="Times New Roman" w:hAnsi="Times New Roman" w:eastAsia="仿宋" w:cs="Times New Roman"/>
          <w:color w:val="000000"/>
          <w:kern w:val="0"/>
          <w:sz w:val="32"/>
          <w:szCs w:val="32"/>
          <w:lang w:eastAsia="zh-CN"/>
        </w:rPr>
        <w:t>定，强化财政支出责任，加强</w:t>
      </w:r>
      <w:r>
        <w:rPr>
          <w:rFonts w:hint="default" w:ascii="Times New Roman" w:hAnsi="Times New Roman" w:eastAsia="仿宋" w:cs="Times New Roman"/>
          <w:color w:val="000000"/>
          <w:kern w:val="0"/>
          <w:sz w:val="32"/>
          <w:szCs w:val="32"/>
        </w:rPr>
        <w:t>“预算编制有目标，预算执行有监控，预算完成有评价”</w:t>
      </w:r>
      <w:r>
        <w:rPr>
          <w:rFonts w:hint="default" w:ascii="Times New Roman" w:hAnsi="Times New Roman" w:eastAsia="仿宋" w:cs="Times New Roman"/>
          <w:color w:val="000000"/>
          <w:kern w:val="0"/>
          <w:sz w:val="32"/>
          <w:szCs w:val="32"/>
          <w:lang w:eastAsia="zh-CN"/>
        </w:rPr>
        <w:t>预算绩效全过程管理，</w:t>
      </w:r>
      <w:r>
        <w:rPr>
          <w:rFonts w:hint="eastAsia" w:ascii="Times New Roman" w:hAnsi="Times New Roman" w:eastAsia="仿宋" w:cs="Times New Roman"/>
          <w:color w:val="000000"/>
          <w:kern w:val="0"/>
          <w:sz w:val="32"/>
          <w:szCs w:val="32"/>
          <w:lang w:eastAsia="zh-CN"/>
        </w:rPr>
        <w:t>加强项目绩效自评、事前绩效评估、事后绩效评价、成本绩效分析等结果的应用、及时整改发现的问题。</w:t>
      </w:r>
    </w:p>
    <w:p w14:paraId="73287C5F">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b w:val="0"/>
          <w:bCs w:val="0"/>
          <w:sz w:val="28"/>
          <w:szCs w:val="28"/>
        </w:rPr>
      </w:pPr>
      <w:r>
        <w:rPr>
          <w:rFonts w:hint="default" w:ascii="Times New Roman" w:hAnsi="Times New Roman" w:eastAsia="楷体" w:cs="Times New Roman"/>
          <w:b w:val="0"/>
          <w:bCs w:val="0"/>
          <w:sz w:val="32"/>
          <w:szCs w:val="32"/>
        </w:rPr>
        <w:t>（四）结转结余率</w:t>
      </w:r>
    </w:p>
    <w:p w14:paraId="4763FFF8">
      <w:pPr>
        <w:pStyle w:val="3"/>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w:t>
      </w:r>
      <w:r>
        <w:rPr>
          <w:rFonts w:hint="default" w:ascii="Times New Roman" w:hAnsi="Times New Roman" w:eastAsia="仿宋" w:cs="Times New Roman"/>
          <w:sz w:val="32"/>
          <w:szCs w:val="32"/>
          <w:lang w:val="en-US" w:eastAsia="zh-CN"/>
        </w:rPr>
        <w:t>2</w:t>
      </w:r>
      <w:r>
        <w:rPr>
          <w:rFonts w:hint="eastAsia" w:eastAsia="仿宋" w:cs="Times New Roman"/>
          <w:sz w:val="32"/>
          <w:szCs w:val="32"/>
          <w:lang w:val="en-US" w:eastAsia="zh-CN"/>
        </w:rPr>
        <w:t>4</w:t>
      </w:r>
      <w:r>
        <w:rPr>
          <w:rFonts w:hint="default" w:ascii="Times New Roman" w:hAnsi="Times New Roman" w:eastAsia="仿宋" w:cs="Times New Roman"/>
          <w:sz w:val="32"/>
          <w:szCs w:val="32"/>
        </w:rPr>
        <w:t>年度结转结余率</w:t>
      </w:r>
      <w:r>
        <w:rPr>
          <w:rFonts w:hint="default" w:ascii="Times New Roman" w:hAnsi="Times New Roman" w:eastAsia="仿宋" w:cs="Times New Roman"/>
          <w:sz w:val="32"/>
          <w:szCs w:val="32"/>
          <w:lang w:eastAsia="zh-CN"/>
        </w:rPr>
        <w:t>为</w:t>
      </w:r>
      <w:r>
        <w:rPr>
          <w:rFonts w:hint="eastAsia" w:eastAsia="仿宋" w:cs="Times New Roman"/>
          <w:sz w:val="32"/>
          <w:szCs w:val="32"/>
          <w:lang w:val="en-US" w:eastAsia="zh-CN"/>
        </w:rPr>
        <w:t>0.38</w:t>
      </w:r>
      <w:r>
        <w:rPr>
          <w:rFonts w:hint="default" w:ascii="Times New Roman" w:hAnsi="Times New Roman" w:eastAsia="仿宋" w:cs="Times New Roman"/>
          <w:sz w:val="32"/>
          <w:szCs w:val="32"/>
          <w:lang w:val="en-US" w:eastAsia="zh-CN"/>
        </w:rPr>
        <w:t>%。</w:t>
      </w:r>
    </w:p>
    <w:p w14:paraId="4D8D1A62">
      <w:pPr>
        <w:keepNext w:val="0"/>
        <w:keepLines w:val="0"/>
        <w:pageBreakBefore w:val="0"/>
        <w:numPr>
          <w:ilvl w:val="0"/>
          <w:numId w:val="0"/>
        </w:numPr>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楷体" w:cs="Times New Roman"/>
          <w:b w:val="0"/>
          <w:bCs w:val="0"/>
          <w:sz w:val="32"/>
          <w:szCs w:val="32"/>
        </w:rPr>
      </w:pPr>
      <w:r>
        <w:rPr>
          <w:rFonts w:hint="default" w:ascii="Times New Roman" w:hAnsi="Times New Roman" w:eastAsia="楷体" w:cs="Times New Roman"/>
          <w:b w:val="0"/>
          <w:bCs w:val="0"/>
          <w:sz w:val="32"/>
          <w:szCs w:val="32"/>
          <w:lang w:eastAsia="zh-CN"/>
        </w:rPr>
        <w:t>（五）</w:t>
      </w:r>
      <w:r>
        <w:rPr>
          <w:rFonts w:hint="default" w:ascii="Times New Roman" w:hAnsi="Times New Roman" w:eastAsia="楷体" w:cs="Times New Roman"/>
          <w:b w:val="0"/>
          <w:bCs w:val="0"/>
          <w:sz w:val="32"/>
          <w:szCs w:val="32"/>
        </w:rPr>
        <w:t>部门预决算差异率</w:t>
      </w:r>
    </w:p>
    <w:p w14:paraId="3F93FB41">
      <w:pPr>
        <w:pStyle w:val="3"/>
        <w:keepNext w:val="0"/>
        <w:keepLines w:val="0"/>
        <w:pageBreakBefore w:val="0"/>
        <w:numPr>
          <w:ilvl w:val="0"/>
          <w:numId w:val="0"/>
        </w:numPr>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宋体" w:cs="Times New Roman"/>
          <w:sz w:val="28"/>
          <w:szCs w:val="28"/>
        </w:rPr>
      </w:pPr>
      <w:r>
        <w:rPr>
          <w:rFonts w:hint="default" w:ascii="Times New Roman" w:hAnsi="Times New Roman" w:eastAsia="仿宋" w:cs="Times New Roman"/>
          <w:sz w:val="32"/>
          <w:szCs w:val="32"/>
          <w:lang w:val="en-US" w:eastAsia="zh-CN"/>
        </w:rPr>
        <w:t>202</w:t>
      </w:r>
      <w:r>
        <w:rPr>
          <w:rFonts w:hint="eastAsia" w:eastAsia="仿宋" w:cs="Times New Roman"/>
          <w:sz w:val="32"/>
          <w:szCs w:val="32"/>
          <w:lang w:val="en-US" w:eastAsia="zh-CN"/>
        </w:rPr>
        <w:t>4</w:t>
      </w:r>
      <w:r>
        <w:rPr>
          <w:rFonts w:hint="default" w:ascii="Times New Roman" w:hAnsi="Times New Roman" w:eastAsia="仿宋" w:cs="Times New Roman"/>
          <w:sz w:val="32"/>
          <w:szCs w:val="32"/>
          <w:lang w:val="en-US" w:eastAsia="zh-CN"/>
        </w:rPr>
        <w:t>年度</w:t>
      </w:r>
      <w:r>
        <w:rPr>
          <w:rFonts w:hint="default" w:ascii="Times New Roman" w:hAnsi="Times New Roman" w:eastAsia="仿宋" w:cs="Times New Roman"/>
          <w:sz w:val="32"/>
          <w:szCs w:val="32"/>
        </w:rPr>
        <w:t>部门预决算差异率</w:t>
      </w:r>
      <w:r>
        <w:rPr>
          <w:rFonts w:hint="eastAsia" w:eastAsia="仿宋" w:cs="Times New Roman"/>
          <w:sz w:val="32"/>
          <w:szCs w:val="32"/>
          <w:lang w:val="en-US" w:eastAsia="zh-CN"/>
        </w:rPr>
        <w:t>1.42</w:t>
      </w:r>
      <w:r>
        <w:rPr>
          <w:rFonts w:hint="default" w:ascii="Times New Roman" w:hAnsi="Times New Roman" w:eastAsia="仿宋" w:cs="Times New Roman"/>
          <w:sz w:val="32"/>
          <w:szCs w:val="32"/>
          <w:lang w:val="en-US" w:eastAsia="zh-CN"/>
        </w:rPr>
        <w:t>%。</w:t>
      </w:r>
    </w:p>
    <w:p w14:paraId="193A9625">
      <w:pPr>
        <w:keepNext w:val="0"/>
        <w:keepLines w:val="0"/>
        <w:pageBreakBefore w:val="0"/>
        <w:numPr>
          <w:ilvl w:val="0"/>
          <w:numId w:val="4"/>
        </w:numPr>
        <w:kinsoku/>
        <w:wordWrap/>
        <w:overflowPunct/>
        <w:topLinePunct w:val="0"/>
        <w:autoSpaceDE/>
        <w:autoSpaceDN/>
        <w:bidi w:val="0"/>
        <w:adjustRightInd w:val="0"/>
        <w:snapToGrid w:val="0"/>
        <w:spacing w:line="360" w:lineRule="auto"/>
        <w:ind w:left="105" w:leftChars="50" w:right="0" w:rightChars="0" w:firstLine="640" w:firstLineChars="200"/>
        <w:outlineLvl w:val="9"/>
        <w:rPr>
          <w:rFonts w:hint="default" w:ascii="Times New Roman" w:hAnsi="Times New Roman" w:eastAsia="宋体" w:cs="Times New Roman"/>
          <w:b/>
          <w:bCs/>
          <w:sz w:val="32"/>
          <w:szCs w:val="32"/>
        </w:rPr>
      </w:pPr>
      <w:r>
        <w:rPr>
          <w:rFonts w:hint="default" w:ascii="Times New Roman" w:hAnsi="Times New Roman" w:eastAsia="黑体" w:cs="Times New Roman"/>
          <w:b w:val="0"/>
          <w:bCs w:val="0"/>
          <w:sz w:val="32"/>
          <w:szCs w:val="32"/>
        </w:rPr>
        <w:t>总体评价结论</w:t>
      </w:r>
    </w:p>
    <w:p w14:paraId="703B917F">
      <w:pPr>
        <w:keepNext w:val="0"/>
        <w:keepLines w:val="0"/>
        <w:pageBreakBefore w:val="0"/>
        <w:numPr>
          <w:ilvl w:val="0"/>
          <w:numId w:val="0"/>
        </w:numPr>
        <w:kinsoku/>
        <w:wordWrap/>
        <w:overflowPunct/>
        <w:topLinePunct w:val="0"/>
        <w:autoSpaceDE/>
        <w:autoSpaceDN/>
        <w:bidi w:val="0"/>
        <w:adjustRightInd w:val="0"/>
        <w:snapToGrid w:val="0"/>
        <w:spacing w:line="360" w:lineRule="auto"/>
        <w:ind w:leftChars="250" w:right="0" w:rightChars="0"/>
        <w:outlineLvl w:val="9"/>
        <w:rPr>
          <w:rFonts w:hint="default" w:ascii="Times New Roman" w:hAnsi="Times New Roman" w:eastAsia="楷体" w:cs="Times New Roman"/>
          <w:b w:val="0"/>
          <w:bCs w:val="0"/>
          <w:sz w:val="32"/>
          <w:szCs w:val="32"/>
        </w:rPr>
      </w:pPr>
      <w:r>
        <w:rPr>
          <w:rFonts w:hint="default" w:ascii="Times New Roman" w:hAnsi="Times New Roman" w:eastAsia="楷体" w:cs="Times New Roman"/>
          <w:b w:val="0"/>
          <w:bCs w:val="0"/>
          <w:sz w:val="32"/>
          <w:szCs w:val="32"/>
        </w:rPr>
        <w:t>（一）评价得分情况</w:t>
      </w:r>
    </w:p>
    <w:p w14:paraId="0CC3C9DA">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textAlignment w:val="baseline"/>
        <w:outlineLvl w:val="9"/>
        <w:rPr>
          <w:rFonts w:hint="default" w:ascii="Times New Roman" w:hAnsi="Times New Roman" w:eastAsia="仿宋" w:cs="Times New Roman"/>
          <w:color w:val="000000"/>
          <w:kern w:val="0"/>
          <w:sz w:val="32"/>
          <w:szCs w:val="32"/>
          <w:lang w:val="en-US" w:eastAsia="zh-CN" w:bidi="ar-SA"/>
        </w:rPr>
      </w:pPr>
      <w:r>
        <w:rPr>
          <w:rFonts w:hint="default" w:ascii="Times New Roman" w:hAnsi="Times New Roman" w:eastAsia="仿宋" w:cs="Times New Roman"/>
          <w:color w:val="000000"/>
          <w:kern w:val="0"/>
          <w:sz w:val="32"/>
          <w:szCs w:val="32"/>
          <w:lang w:val="en-US" w:eastAsia="zh-CN" w:bidi="ar-SA"/>
        </w:rPr>
        <w:t>经过综合评价，我单位围绕部门职能和年度工作任务抓好项目实施，决策依据充分，决策过程规范；预算执行良好，绩效管理有力；产出成果明显，社会效益显著；基本实现了202</w:t>
      </w:r>
      <w:r>
        <w:rPr>
          <w:rFonts w:hint="eastAsia" w:eastAsia="仿宋" w:cs="Times New Roman"/>
          <w:color w:val="000000"/>
          <w:kern w:val="0"/>
          <w:sz w:val="32"/>
          <w:szCs w:val="32"/>
          <w:lang w:val="en-US" w:eastAsia="zh-CN" w:bidi="ar-SA"/>
        </w:rPr>
        <w:t>4</w:t>
      </w:r>
      <w:r>
        <w:rPr>
          <w:rFonts w:hint="default" w:ascii="Times New Roman" w:hAnsi="Times New Roman" w:eastAsia="仿宋" w:cs="Times New Roman"/>
          <w:color w:val="000000"/>
          <w:kern w:val="0"/>
          <w:sz w:val="32"/>
          <w:szCs w:val="32"/>
          <w:lang w:val="en-US" w:eastAsia="zh-CN" w:bidi="ar-SA"/>
        </w:rPr>
        <w:t>年部门整体绩效目标，202</w:t>
      </w:r>
      <w:r>
        <w:rPr>
          <w:rFonts w:hint="eastAsia" w:eastAsia="仿宋" w:cs="Times New Roman"/>
          <w:color w:val="000000"/>
          <w:kern w:val="0"/>
          <w:sz w:val="32"/>
          <w:szCs w:val="32"/>
          <w:lang w:val="en-US" w:eastAsia="zh-CN" w:bidi="ar-SA"/>
        </w:rPr>
        <w:t>4</w:t>
      </w:r>
      <w:r>
        <w:rPr>
          <w:rFonts w:hint="default" w:ascii="Times New Roman" w:hAnsi="Times New Roman" w:eastAsia="仿宋" w:cs="Times New Roman"/>
          <w:color w:val="000000"/>
          <w:kern w:val="0"/>
          <w:sz w:val="32"/>
          <w:szCs w:val="32"/>
          <w:lang w:val="en-US" w:eastAsia="zh-CN" w:bidi="ar-SA"/>
        </w:rPr>
        <w:t>年度部门整体支出绩效评价综合得分9</w:t>
      </w:r>
      <w:r>
        <w:rPr>
          <w:rFonts w:hint="eastAsia" w:eastAsia="仿宋" w:cs="Times New Roman"/>
          <w:color w:val="000000"/>
          <w:kern w:val="0"/>
          <w:sz w:val="32"/>
          <w:szCs w:val="32"/>
          <w:lang w:val="en-US" w:eastAsia="zh-CN" w:bidi="ar-SA"/>
        </w:rPr>
        <w:t>6</w:t>
      </w:r>
      <w:r>
        <w:rPr>
          <w:rFonts w:hint="default" w:ascii="Times New Roman" w:hAnsi="Times New Roman" w:eastAsia="仿宋" w:cs="Times New Roman"/>
          <w:color w:val="000000"/>
          <w:kern w:val="0"/>
          <w:sz w:val="32"/>
          <w:szCs w:val="32"/>
          <w:lang w:val="en-US" w:eastAsia="zh-CN" w:bidi="ar-SA"/>
        </w:rPr>
        <w:t xml:space="preserve">分，评定等次为“优”。   </w:t>
      </w:r>
    </w:p>
    <w:p w14:paraId="47208776">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textAlignment w:val="baseline"/>
        <w:outlineLvl w:val="9"/>
        <w:rPr>
          <w:rFonts w:hint="default" w:ascii="Times New Roman" w:hAnsi="Times New Roman" w:eastAsia="楷体" w:cs="Times New Roman"/>
          <w:b w:val="0"/>
          <w:bCs w:val="0"/>
          <w:kern w:val="2"/>
          <w:sz w:val="32"/>
          <w:szCs w:val="32"/>
          <w:lang w:val="en-US" w:eastAsia="zh-CN" w:bidi="ar-SA"/>
        </w:rPr>
      </w:pPr>
      <w:r>
        <w:rPr>
          <w:rFonts w:hint="default" w:ascii="Times New Roman" w:hAnsi="Times New Roman" w:eastAsia="楷体" w:cs="Times New Roman"/>
          <w:b w:val="0"/>
          <w:bCs w:val="0"/>
          <w:kern w:val="2"/>
          <w:sz w:val="32"/>
          <w:szCs w:val="32"/>
          <w:lang w:val="en-US" w:eastAsia="zh-CN" w:bidi="ar-SA"/>
        </w:rPr>
        <w:t>（二）存在的问题及原因分析</w:t>
      </w:r>
    </w:p>
    <w:p w14:paraId="322D346F">
      <w:pPr>
        <w:pStyle w:val="5"/>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right="0" w:rightChars="0" w:firstLine="640" w:firstLineChars="200"/>
        <w:outlineLvl w:val="9"/>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color w:val="000000"/>
          <w:kern w:val="0"/>
          <w:sz w:val="32"/>
          <w:szCs w:val="32"/>
          <w:lang w:val="en-US" w:eastAsia="zh-CN" w:bidi="ar-SA"/>
        </w:rPr>
        <w:t>20</w:t>
      </w:r>
      <w:r>
        <w:rPr>
          <w:rFonts w:hint="eastAsia" w:ascii="Times New Roman" w:hAnsi="Times New Roman" w:eastAsia="仿宋" w:cs="Times New Roman"/>
          <w:color w:val="000000"/>
          <w:kern w:val="0"/>
          <w:sz w:val="32"/>
          <w:szCs w:val="32"/>
          <w:lang w:val="en-US" w:eastAsia="zh-CN" w:bidi="ar-SA"/>
        </w:rPr>
        <w:t>24</w:t>
      </w:r>
      <w:r>
        <w:rPr>
          <w:rFonts w:hint="default" w:ascii="Times New Roman" w:hAnsi="Times New Roman" w:eastAsia="仿宋" w:cs="Times New Roman"/>
          <w:color w:val="000000"/>
          <w:kern w:val="0"/>
          <w:sz w:val="32"/>
          <w:szCs w:val="32"/>
          <w:lang w:val="en-US" w:eastAsia="zh-CN" w:bidi="ar-SA"/>
        </w:rPr>
        <w:t>年</w:t>
      </w:r>
      <w:r>
        <w:rPr>
          <w:rFonts w:hint="eastAsia" w:ascii="Times New Roman" w:hAnsi="Times New Roman" w:eastAsia="仿宋" w:cs="Times New Roman"/>
          <w:color w:val="000000"/>
          <w:kern w:val="0"/>
          <w:sz w:val="32"/>
          <w:szCs w:val="32"/>
          <w:lang w:val="en-US" w:eastAsia="zh-CN" w:bidi="ar-SA"/>
        </w:rPr>
        <w:t>个别</w:t>
      </w:r>
      <w:r>
        <w:rPr>
          <w:rFonts w:hint="default" w:ascii="Times New Roman" w:hAnsi="Times New Roman" w:eastAsia="仿宋" w:cs="Times New Roman"/>
          <w:color w:val="000000"/>
          <w:kern w:val="0"/>
          <w:sz w:val="32"/>
          <w:szCs w:val="32"/>
          <w:lang w:val="en-US" w:eastAsia="zh-CN" w:bidi="ar-SA"/>
        </w:rPr>
        <w:t>项目预算执行进度缓慢，绩效目标设置不</w:t>
      </w:r>
      <w:r>
        <w:rPr>
          <w:rFonts w:hint="eastAsia" w:ascii="Times New Roman" w:hAnsi="Times New Roman" w:eastAsia="仿宋" w:cs="Times New Roman"/>
          <w:color w:val="000000"/>
          <w:kern w:val="0"/>
          <w:sz w:val="32"/>
          <w:szCs w:val="32"/>
          <w:lang w:val="en-US" w:eastAsia="zh-CN" w:bidi="ar-SA"/>
        </w:rPr>
        <w:t>准确</w:t>
      </w:r>
      <w:r>
        <w:rPr>
          <w:rFonts w:hint="default" w:ascii="Times New Roman" w:hAnsi="Times New Roman" w:eastAsia="仿宋" w:cs="Times New Roman"/>
          <w:color w:val="000000"/>
          <w:kern w:val="0"/>
          <w:sz w:val="32"/>
          <w:szCs w:val="32"/>
          <w:lang w:val="en-US" w:eastAsia="zh-CN" w:bidi="ar-SA"/>
        </w:rPr>
        <w:t>，产出指标细化、量化不够，效益及满意度等指标设置过于笼统，更多体现的是</w:t>
      </w:r>
      <w:r>
        <w:rPr>
          <w:rFonts w:hint="eastAsia" w:ascii="Times New Roman" w:hAnsi="Times New Roman" w:eastAsia="仿宋" w:cs="Times New Roman"/>
          <w:color w:val="000000"/>
          <w:kern w:val="0"/>
          <w:sz w:val="32"/>
          <w:szCs w:val="32"/>
          <w:lang w:val="en-US" w:eastAsia="zh-CN" w:bidi="ar-SA"/>
        </w:rPr>
        <w:t>“</w:t>
      </w:r>
      <w:r>
        <w:rPr>
          <w:rFonts w:hint="default" w:ascii="Times New Roman" w:hAnsi="Times New Roman" w:eastAsia="仿宋" w:cs="Times New Roman"/>
          <w:color w:val="000000"/>
          <w:kern w:val="0"/>
          <w:sz w:val="32"/>
          <w:szCs w:val="32"/>
          <w:lang w:val="en-US" w:eastAsia="zh-CN" w:bidi="ar-SA"/>
        </w:rPr>
        <w:t>绩</w:t>
      </w:r>
      <w:r>
        <w:rPr>
          <w:rFonts w:hint="eastAsia" w:ascii="Times New Roman" w:hAnsi="Times New Roman" w:eastAsia="仿宋" w:cs="Times New Roman"/>
          <w:color w:val="000000"/>
          <w:kern w:val="0"/>
          <w:sz w:val="32"/>
          <w:szCs w:val="32"/>
          <w:lang w:val="en-US" w:eastAsia="zh-CN" w:bidi="ar-SA"/>
        </w:rPr>
        <w:t>”</w:t>
      </w:r>
      <w:r>
        <w:rPr>
          <w:rFonts w:hint="default" w:ascii="Times New Roman" w:hAnsi="Times New Roman" w:eastAsia="仿宋" w:cs="Times New Roman"/>
          <w:color w:val="000000"/>
          <w:kern w:val="0"/>
          <w:sz w:val="32"/>
          <w:szCs w:val="32"/>
          <w:lang w:val="en-US" w:eastAsia="zh-CN" w:bidi="ar-SA"/>
        </w:rPr>
        <w:t>，而对于</w:t>
      </w:r>
      <w:r>
        <w:rPr>
          <w:rFonts w:hint="eastAsia" w:ascii="Times New Roman" w:hAnsi="Times New Roman" w:eastAsia="仿宋" w:cs="Times New Roman"/>
          <w:color w:val="000000"/>
          <w:kern w:val="0"/>
          <w:sz w:val="32"/>
          <w:szCs w:val="32"/>
          <w:lang w:val="en-US" w:eastAsia="zh-CN" w:bidi="ar-SA"/>
        </w:rPr>
        <w:t>“</w:t>
      </w:r>
      <w:r>
        <w:rPr>
          <w:rFonts w:hint="default" w:ascii="Times New Roman" w:hAnsi="Times New Roman" w:eastAsia="仿宋" w:cs="Times New Roman"/>
          <w:color w:val="000000"/>
          <w:kern w:val="0"/>
          <w:sz w:val="32"/>
          <w:szCs w:val="32"/>
          <w:lang w:val="en-US" w:eastAsia="zh-CN" w:bidi="ar-SA"/>
        </w:rPr>
        <w:t>效</w:t>
      </w:r>
      <w:r>
        <w:rPr>
          <w:rFonts w:hint="eastAsia" w:ascii="Times New Roman" w:hAnsi="Times New Roman" w:eastAsia="仿宋" w:cs="Times New Roman"/>
          <w:color w:val="000000"/>
          <w:kern w:val="0"/>
          <w:sz w:val="32"/>
          <w:szCs w:val="32"/>
          <w:lang w:val="en-US" w:eastAsia="zh-CN" w:bidi="ar-SA"/>
        </w:rPr>
        <w:t>”</w:t>
      </w:r>
      <w:r>
        <w:rPr>
          <w:rFonts w:hint="default" w:ascii="Times New Roman" w:hAnsi="Times New Roman" w:eastAsia="仿宋" w:cs="Times New Roman"/>
          <w:color w:val="000000"/>
          <w:kern w:val="0"/>
          <w:sz w:val="32"/>
          <w:szCs w:val="32"/>
          <w:lang w:val="en-US" w:eastAsia="zh-CN" w:bidi="ar-SA"/>
        </w:rPr>
        <w:t>体现的</w:t>
      </w:r>
      <w:r>
        <w:rPr>
          <w:rFonts w:hint="eastAsia" w:ascii="Times New Roman" w:hAnsi="Times New Roman" w:eastAsia="仿宋" w:cs="Times New Roman"/>
          <w:color w:val="000000"/>
          <w:kern w:val="0"/>
          <w:sz w:val="32"/>
          <w:szCs w:val="32"/>
          <w:lang w:val="en-US" w:eastAsia="zh-CN" w:bidi="ar-SA"/>
        </w:rPr>
        <w:t>仍</w:t>
      </w:r>
      <w:r>
        <w:rPr>
          <w:rFonts w:hint="default" w:ascii="Times New Roman" w:hAnsi="Times New Roman" w:eastAsia="仿宋" w:cs="Times New Roman"/>
          <w:color w:val="000000"/>
          <w:kern w:val="0"/>
          <w:sz w:val="32"/>
          <w:szCs w:val="32"/>
          <w:lang w:val="en-US" w:eastAsia="zh-CN" w:bidi="ar-SA"/>
        </w:rPr>
        <w:t>不够充分。</w:t>
      </w:r>
    </w:p>
    <w:p w14:paraId="0D1E10B2">
      <w:pPr>
        <w:pStyle w:val="5"/>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right="0" w:rightChars="0" w:firstLine="640" w:firstLineChars="200"/>
        <w:outlineLvl w:val="9"/>
        <w:rPr>
          <w:rFonts w:hint="default" w:ascii="Times New Roman" w:hAnsi="Times New Roman" w:eastAsia="宋体" w:cs="Times New Roman"/>
          <w:b/>
          <w:bCs/>
          <w:color w:val="000000"/>
          <w:kern w:val="0"/>
          <w:sz w:val="32"/>
          <w:szCs w:val="32"/>
        </w:rPr>
      </w:pPr>
      <w:r>
        <w:rPr>
          <w:rFonts w:hint="default" w:ascii="Times New Roman" w:hAnsi="Times New Roman" w:eastAsia="黑体" w:cs="Times New Roman"/>
          <w:b w:val="0"/>
          <w:bCs w:val="0"/>
          <w:kern w:val="2"/>
          <w:sz w:val="32"/>
          <w:szCs w:val="32"/>
          <w:lang w:val="en-US" w:eastAsia="zh-CN" w:bidi="ar-SA"/>
        </w:rPr>
        <w:t>六、</w:t>
      </w:r>
      <w:r>
        <w:rPr>
          <w:rFonts w:hint="default" w:ascii="Times New Roman" w:hAnsi="Times New Roman" w:eastAsia="黑体" w:cs="Times New Roman"/>
          <w:b w:val="0"/>
          <w:bCs w:val="0"/>
          <w:color w:val="000000"/>
          <w:kern w:val="0"/>
          <w:sz w:val="32"/>
          <w:szCs w:val="32"/>
        </w:rPr>
        <w:t>措施建议</w:t>
      </w:r>
    </w:p>
    <w:p w14:paraId="443D5137">
      <w:pPr>
        <w:keepNext w:val="0"/>
        <w:keepLines w:val="0"/>
        <w:pageBreakBefore w:val="0"/>
        <w:numPr>
          <w:ilvl w:val="0"/>
          <w:numId w:val="0"/>
        </w:numPr>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color w:val="000000"/>
          <w:kern w:val="0"/>
          <w:sz w:val="32"/>
          <w:szCs w:val="32"/>
          <w:lang w:val="en-US" w:eastAsia="zh-CN" w:bidi="ar-SA"/>
        </w:rPr>
      </w:pPr>
      <w:r>
        <w:rPr>
          <w:rFonts w:hint="default" w:ascii="Times New Roman" w:hAnsi="Times New Roman" w:eastAsia="仿宋" w:cs="Times New Roman"/>
          <w:color w:val="000000"/>
          <w:kern w:val="0"/>
          <w:sz w:val="32"/>
          <w:szCs w:val="32"/>
          <w:lang w:val="en-US" w:eastAsia="zh-CN" w:bidi="ar-SA"/>
        </w:rPr>
        <w:t>1</w:t>
      </w:r>
      <w:r>
        <w:rPr>
          <w:rFonts w:hint="eastAsia" w:eastAsia="仿宋" w:cs="Times New Roman"/>
          <w:color w:val="000000"/>
          <w:kern w:val="0"/>
          <w:sz w:val="32"/>
          <w:szCs w:val="32"/>
          <w:lang w:val="en-US" w:eastAsia="zh-CN" w:bidi="ar-SA"/>
        </w:rPr>
        <w:t>.</w:t>
      </w:r>
      <w:r>
        <w:rPr>
          <w:rFonts w:hint="eastAsia" w:ascii="Times New Roman" w:hAnsi="Times New Roman" w:eastAsia="仿宋" w:cs="Times New Roman"/>
          <w:color w:val="000000"/>
          <w:kern w:val="0"/>
          <w:sz w:val="32"/>
          <w:szCs w:val="32"/>
          <w:lang w:val="en-US" w:eastAsia="zh-CN" w:bidi="ar-SA"/>
        </w:rPr>
        <w:t>强化</w:t>
      </w:r>
      <w:r>
        <w:rPr>
          <w:rFonts w:hint="default" w:ascii="Times New Roman" w:hAnsi="Times New Roman" w:eastAsia="仿宋" w:cs="Times New Roman"/>
          <w:color w:val="000000"/>
          <w:kern w:val="0"/>
          <w:sz w:val="32"/>
          <w:szCs w:val="32"/>
          <w:lang w:val="en-US" w:eastAsia="zh-CN" w:bidi="ar-SA"/>
        </w:rPr>
        <w:t>预算绩效管理理念。将绩效管理工作与具体业务工作内容相结合，加强对各项目绩效评价结果的应用，根据绩效评价结果确定下一年度项目预算资金的合理安排，切实保障年度绩效目标的高质量执行。</w:t>
      </w:r>
    </w:p>
    <w:p w14:paraId="5E4C267A">
      <w:pPr>
        <w:keepNext w:val="0"/>
        <w:keepLines w:val="0"/>
        <w:pageBreakBefore w:val="0"/>
        <w:kinsoku/>
        <w:wordWrap/>
        <w:overflowPunct/>
        <w:topLinePunct w:val="0"/>
        <w:autoSpaceDE/>
        <w:autoSpaceDN/>
        <w:bidi w:val="0"/>
        <w:adjustRightInd w:val="0"/>
        <w:snapToGrid w:val="0"/>
        <w:spacing w:line="360" w:lineRule="auto"/>
        <w:ind w:right="0" w:rightChars="0" w:firstLine="640" w:firstLineChars="200"/>
        <w:outlineLvl w:val="9"/>
        <w:rPr>
          <w:rFonts w:hint="default" w:ascii="Times New Roman" w:hAnsi="Times New Roman" w:eastAsia="仿宋" w:cs="Times New Roman"/>
          <w:color w:val="000000"/>
          <w:kern w:val="0"/>
          <w:sz w:val="32"/>
          <w:szCs w:val="32"/>
          <w:lang w:val="en-US" w:eastAsia="zh-CN" w:bidi="ar-SA"/>
        </w:rPr>
      </w:pPr>
      <w:r>
        <w:rPr>
          <w:rFonts w:hint="default" w:ascii="Times New Roman" w:hAnsi="Times New Roman" w:eastAsia="仿宋" w:cs="Times New Roman"/>
          <w:color w:val="000000"/>
          <w:kern w:val="0"/>
          <w:sz w:val="32"/>
          <w:szCs w:val="32"/>
          <w:lang w:val="en-US" w:eastAsia="zh-CN" w:bidi="ar-SA"/>
        </w:rPr>
        <w:t>2.</w:t>
      </w:r>
      <w:r>
        <w:rPr>
          <w:rFonts w:hint="eastAsia" w:ascii="Times New Roman" w:hAnsi="Times New Roman" w:eastAsia="仿宋" w:cs="Times New Roman"/>
          <w:color w:val="000000"/>
          <w:kern w:val="0"/>
          <w:sz w:val="32"/>
          <w:szCs w:val="32"/>
          <w:lang w:val="en-US" w:eastAsia="zh-CN" w:bidi="ar-SA"/>
        </w:rPr>
        <w:t>加强</w:t>
      </w:r>
      <w:r>
        <w:rPr>
          <w:rFonts w:hint="default" w:ascii="Times New Roman" w:hAnsi="Times New Roman" w:eastAsia="仿宋" w:cs="Times New Roman"/>
          <w:color w:val="000000"/>
          <w:kern w:val="0"/>
          <w:sz w:val="32"/>
          <w:szCs w:val="32"/>
          <w:lang w:val="en-US" w:eastAsia="zh-CN" w:bidi="ar-SA"/>
        </w:rPr>
        <w:t>资金预算管理。合理安排项目资金使用，加强与财政部门的沟通联系，及时了解相关政策要求，严格项目资金使用，结合单位实际，</w:t>
      </w:r>
      <w:r>
        <w:rPr>
          <w:rFonts w:hint="eastAsia" w:eastAsia="仿宋" w:cs="Times New Roman"/>
          <w:color w:val="000000"/>
          <w:kern w:val="0"/>
          <w:sz w:val="32"/>
          <w:szCs w:val="32"/>
          <w:lang w:val="en-US" w:eastAsia="zh-CN" w:bidi="ar-SA"/>
        </w:rPr>
        <w:t>进一步</w:t>
      </w:r>
      <w:r>
        <w:rPr>
          <w:rFonts w:hint="default" w:ascii="Times New Roman" w:hAnsi="Times New Roman" w:eastAsia="仿宋" w:cs="Times New Roman"/>
          <w:color w:val="000000"/>
          <w:kern w:val="0"/>
          <w:sz w:val="32"/>
          <w:szCs w:val="32"/>
          <w:lang w:val="en-US" w:eastAsia="zh-CN" w:bidi="ar-SA"/>
        </w:rPr>
        <w:t>优化资金结构，统筹安排编制预算，提高预算编制的科学性和合理性，不断提升中心财务管理水平。</w:t>
      </w:r>
    </w:p>
    <w:p w14:paraId="438EFB60">
      <w:pPr>
        <w:keepNext w:val="0"/>
        <w:keepLines w:val="0"/>
        <w:pageBreakBefore w:val="0"/>
        <w:kinsoku/>
        <w:wordWrap/>
        <w:overflowPunct/>
        <w:topLinePunct w:val="0"/>
        <w:autoSpaceDE/>
        <w:autoSpaceDN/>
        <w:bidi w:val="0"/>
        <w:adjustRightInd w:val="0"/>
        <w:snapToGrid w:val="0"/>
        <w:spacing w:line="360" w:lineRule="auto"/>
        <w:ind w:right="0" w:rightChars="0" w:firstLine="560" w:firstLineChars="200"/>
        <w:outlineLvl w:val="9"/>
        <w:rPr>
          <w:rFonts w:hint="default" w:ascii="Times New Roman" w:hAnsi="Times New Roman" w:eastAsia="宋体" w:cs="Times New Roman"/>
          <w:color w:val="000000"/>
          <w:kern w:val="0"/>
          <w:sz w:val="28"/>
          <w:szCs w:val="28"/>
        </w:rPr>
      </w:pPr>
    </w:p>
    <w:p w14:paraId="07446DE8">
      <w:pPr>
        <w:pStyle w:val="3"/>
        <w:keepNext w:val="0"/>
        <w:keepLines w:val="0"/>
        <w:pageBreakBefore w:val="0"/>
        <w:kinsoku/>
        <w:wordWrap/>
        <w:overflowPunct/>
        <w:topLinePunct w:val="0"/>
        <w:autoSpaceDE/>
        <w:autoSpaceDN/>
        <w:bidi w:val="0"/>
        <w:adjustRightInd w:val="0"/>
        <w:snapToGrid w:val="0"/>
        <w:spacing w:line="360" w:lineRule="auto"/>
        <w:ind w:left="0" w:leftChars="0" w:right="0" w:rightChars="0" w:firstLine="560" w:firstLineChars="200"/>
        <w:outlineLvl w:val="9"/>
        <w:rPr>
          <w:rFonts w:hint="default" w:ascii="Times New Roman" w:hAnsi="Times New Roman" w:eastAsia="宋体" w:cs="Times New Roman"/>
          <w:color w:val="000000"/>
          <w:kern w:val="0"/>
          <w:sz w:val="28"/>
          <w:szCs w:val="28"/>
        </w:rPr>
      </w:pPr>
    </w:p>
    <w:p w14:paraId="31025D64">
      <w:pPr>
        <w:pStyle w:val="3"/>
        <w:keepNext w:val="0"/>
        <w:keepLines w:val="0"/>
        <w:pageBreakBefore w:val="0"/>
        <w:kinsoku/>
        <w:wordWrap/>
        <w:overflowPunct/>
        <w:topLinePunct w:val="0"/>
        <w:autoSpaceDE/>
        <w:autoSpaceDN/>
        <w:bidi w:val="0"/>
        <w:adjustRightInd w:val="0"/>
        <w:snapToGrid w:val="0"/>
        <w:spacing w:line="360" w:lineRule="auto"/>
        <w:ind w:left="5319" w:leftChars="266" w:right="0" w:rightChars="0" w:hanging="4760" w:hangingChars="1700"/>
        <w:outlineLvl w:val="9"/>
        <w:rPr>
          <w:rFonts w:hint="default" w:ascii="Times New Roman" w:hAnsi="Times New Roman" w:eastAsia="仿宋" w:cs="Times New Roman"/>
          <w:sz w:val="32"/>
          <w:szCs w:val="32"/>
          <w:lang w:val="en-US" w:eastAsia="zh-CN"/>
        </w:rPr>
      </w:pPr>
      <w:r>
        <w:rPr>
          <w:rFonts w:hint="default" w:ascii="Times New Roman" w:hAnsi="Times New Roman" w:eastAsia="宋体" w:cs="Times New Roman"/>
          <w:sz w:val="28"/>
          <w:szCs w:val="28"/>
          <w:lang w:val="en-US" w:eastAsia="zh-CN"/>
        </w:rPr>
        <w:t xml:space="preserve">                        </w:t>
      </w:r>
      <w:r>
        <w:rPr>
          <w:rFonts w:hint="default" w:ascii="Times New Roman" w:hAnsi="Times New Roman" w:cs="Times New Roman"/>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E23183"/>
    <w:multiLevelType w:val="singleLevel"/>
    <w:tmpl w:val="63E23183"/>
    <w:lvl w:ilvl="0" w:tentative="0">
      <w:start w:val="2"/>
      <w:numFmt w:val="decimal"/>
      <w:suff w:val="nothing"/>
      <w:lvlText w:val="%1."/>
      <w:lvlJc w:val="left"/>
    </w:lvl>
  </w:abstractNum>
  <w:abstractNum w:abstractNumId="1">
    <w:nsid w:val="63E231FE"/>
    <w:multiLevelType w:val="singleLevel"/>
    <w:tmpl w:val="63E231FE"/>
    <w:lvl w:ilvl="0" w:tentative="0">
      <w:start w:val="3"/>
      <w:numFmt w:val="decimal"/>
      <w:suff w:val="nothing"/>
      <w:lvlText w:val="%1."/>
      <w:lvlJc w:val="left"/>
    </w:lvl>
  </w:abstractNum>
  <w:abstractNum w:abstractNumId="2">
    <w:nsid w:val="63E4DB9E"/>
    <w:multiLevelType w:val="singleLevel"/>
    <w:tmpl w:val="63E4DB9E"/>
    <w:lvl w:ilvl="0" w:tentative="0">
      <w:start w:val="5"/>
      <w:numFmt w:val="chineseCounting"/>
      <w:suff w:val="nothing"/>
      <w:lvlText w:val="%1、"/>
      <w:lvlJc w:val="left"/>
    </w:lvl>
  </w:abstractNum>
  <w:abstractNum w:abstractNumId="3">
    <w:nsid w:val="65F7A138"/>
    <w:multiLevelType w:val="singleLevel"/>
    <w:tmpl w:val="65F7A138"/>
    <w:lvl w:ilvl="0" w:tentative="0">
      <w:start w:val="2"/>
      <w:numFmt w:val="chineseCounting"/>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F12E6"/>
    <w:rsid w:val="03BF4DFB"/>
    <w:rsid w:val="042B2CE9"/>
    <w:rsid w:val="09CC53BA"/>
    <w:rsid w:val="0B513151"/>
    <w:rsid w:val="0DFA3538"/>
    <w:rsid w:val="0DFE0144"/>
    <w:rsid w:val="0F6455FD"/>
    <w:rsid w:val="0F8B23C5"/>
    <w:rsid w:val="11D77418"/>
    <w:rsid w:val="1374725F"/>
    <w:rsid w:val="139D5A2E"/>
    <w:rsid w:val="14D4274A"/>
    <w:rsid w:val="16B85859"/>
    <w:rsid w:val="16BC59F9"/>
    <w:rsid w:val="17AC68C4"/>
    <w:rsid w:val="2AEB640C"/>
    <w:rsid w:val="2C122FA5"/>
    <w:rsid w:val="2D0A5F2C"/>
    <w:rsid w:val="32082EE9"/>
    <w:rsid w:val="33E60D19"/>
    <w:rsid w:val="34FB3A17"/>
    <w:rsid w:val="3674554D"/>
    <w:rsid w:val="3AD92C3B"/>
    <w:rsid w:val="3DAC08F4"/>
    <w:rsid w:val="3EDE2159"/>
    <w:rsid w:val="3F93536F"/>
    <w:rsid w:val="43161B2E"/>
    <w:rsid w:val="443E5D22"/>
    <w:rsid w:val="450F030B"/>
    <w:rsid w:val="468550CC"/>
    <w:rsid w:val="46981A8E"/>
    <w:rsid w:val="48FB4A66"/>
    <w:rsid w:val="4999199E"/>
    <w:rsid w:val="4B816512"/>
    <w:rsid w:val="4C2F105E"/>
    <w:rsid w:val="4DE565BC"/>
    <w:rsid w:val="521619A2"/>
    <w:rsid w:val="543D497A"/>
    <w:rsid w:val="5901035E"/>
    <w:rsid w:val="5BF1032D"/>
    <w:rsid w:val="5EEE1002"/>
    <w:rsid w:val="5FAB1581"/>
    <w:rsid w:val="69BF12E6"/>
    <w:rsid w:val="6CC04959"/>
    <w:rsid w:val="7309126D"/>
    <w:rsid w:val="740542F6"/>
    <w:rsid w:val="7637483C"/>
    <w:rsid w:val="77017375"/>
    <w:rsid w:val="777019DD"/>
    <w:rsid w:val="7A250B5E"/>
    <w:rsid w:val="7F8430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3">
    <w:name w:val="Normal Indent"/>
    <w:basedOn w:val="1"/>
    <w:qFormat/>
    <w:uiPriority w:val="0"/>
    <w:pPr>
      <w:ind w:firstLine="200" w:firstLineChars="200"/>
    </w:p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8">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4173</Words>
  <Characters>4310</Characters>
  <Lines>0</Lines>
  <Paragraphs>0</Paragraphs>
  <TotalTime>361</TotalTime>
  <ScaleCrop>false</ScaleCrop>
  <LinksUpToDate>false</LinksUpToDate>
  <CharactersWithSpaces>4375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2023-01-11T09:12:00Z</dcterms:created>
  <dc:creator>Administrator</dc:creator>
  <cp:lastModifiedBy>LW</cp:lastModifiedBy>
  <cp:lastPrinted>2025-09-02T01:42:00Z</cp:lastPrinted>
  <dcterms:modified xsi:type="dcterms:W3CDTF">2025-09-02T06:34:52Z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9C98F7A4D51B4FEAAD7883ACC7F1DA7F_13</vt:lpwstr>
  </property>
  <property fmtid="{D5CDD505-2E9C-101B-9397-08002B2CF9AE}" pid="4" name="KSOTemplateDocerSaveRecord">
    <vt:lpwstr>eyJoZGlkIjoiN2JkOTBiZjVmM2JjNDUwZTE5OWNiZDY0NDhiNThlZmYiLCJ1c2VySWQiOiI2NzEzNDE4ODMifQ==</vt:lpwstr>
  </property>
</Properties>
</file>