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4"/>
          <w:szCs w:val="44"/>
        </w:rPr>
        <w:t>年</w:t>
      </w:r>
      <w:r>
        <w:rPr>
          <w:rFonts w:hint="eastAsia" w:cs="Times New Roman"/>
          <w:b/>
          <w:sz w:val="44"/>
          <w:szCs w:val="44"/>
          <w:lang w:eastAsia="zh-CN"/>
        </w:rPr>
        <w:t>1-7月</w:t>
      </w:r>
      <w:r>
        <w:rPr>
          <w:rFonts w:hint="default" w:ascii="Times New Roman" w:hAnsi="Times New Roman" w:cs="Times New Roman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eastAsia" w:cs="Times New Roman"/>
          <w:sz w:val="28"/>
          <w:szCs w:val="28"/>
          <w:highlight w:val="none"/>
          <w:lang w:eastAsia="zh-CN"/>
        </w:rPr>
        <w:t>1-7月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朝阳区规模以上工业企业实现总产值1148.4亿元，同比</w:t>
      </w:r>
      <w:r>
        <w:rPr>
          <w:rFonts w:hint="eastAsia" w:cs="Times New Roman"/>
          <w:color w:val="000000"/>
          <w:sz w:val="28"/>
          <w:szCs w:val="28"/>
          <w:lang w:eastAsia="zh-CN"/>
        </w:rPr>
        <w:t>增长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1.2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%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cs="Times New Roman"/>
          <w:sz w:val="28"/>
          <w:szCs w:val="28"/>
          <w:lang w:eastAsia="zh-CN"/>
        </w:rPr>
        <w:t>增速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1-6月提升1.3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个百分点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其中，电力、热力、燃气及水生产和供应业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实现产值881.7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亿元，同比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增长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2.4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%；制造业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实现产值179.5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亿元，同比下降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5.2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%；采矿业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实现产值87.3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亿元，同比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增长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2.6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%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图1  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1-7月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2．固定资产投资</w:t>
      </w:r>
    </w:p>
    <w:p>
      <w:pPr>
        <w:widowControl/>
        <w:spacing w:line="480" w:lineRule="auto"/>
        <w:ind w:firstLine="560" w:firstLineChars="200"/>
        <w:rPr>
          <w:rFonts w:hint="default" w:ascii="Times New Roman" w:hAnsi="Times New Roman" w:cs="Times New Roman"/>
          <w:w w:val="100"/>
          <w:sz w:val="28"/>
          <w:szCs w:val="28"/>
        </w:rPr>
      </w:pPr>
      <w:r>
        <w:rPr>
          <w:rFonts w:hint="eastAsia" w:cs="Times New Roman"/>
          <w:w w:val="100"/>
          <w:sz w:val="28"/>
          <w:szCs w:val="28"/>
          <w:lang w:eastAsia="zh-CN"/>
        </w:rPr>
        <w:t>1-7月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朝阳区固定资产投资（不含农户）同比增长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</w:t>
      </w:r>
      <w:r>
        <w:rPr>
          <w:rFonts w:hint="default" w:ascii="Times New Roman" w:hAnsi="Times New Roman" w:cs="Times New Roman"/>
          <w:w w:val="100"/>
          <w:kern w:val="0"/>
          <w:sz w:val="28"/>
          <w:szCs w:val="28"/>
          <w:lang w:eastAsia="zh-CN"/>
        </w:rPr>
        <w:t>，增速较</w:t>
      </w:r>
      <w:r>
        <w:rPr>
          <w:rFonts w:hint="eastAsia" w:cs="Times New Roman"/>
          <w:w w:val="100"/>
          <w:sz w:val="28"/>
          <w:szCs w:val="28"/>
          <w:highlight w:val="none"/>
          <w:lang w:val="en-US" w:eastAsia="zh-CN"/>
        </w:rPr>
        <w:t>1-6月提升0.9</w:t>
      </w:r>
      <w:r>
        <w:rPr>
          <w:rFonts w:hint="default" w:ascii="Times New Roman" w:hAnsi="Times New Roman" w:cs="Times New Roman"/>
          <w:w w:val="100"/>
          <w:sz w:val="28"/>
          <w:szCs w:val="28"/>
          <w:highlight w:val="none"/>
          <w:lang w:val="en-US" w:eastAsia="zh-CN"/>
        </w:rPr>
        <w:t>个百分点</w:t>
      </w: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其中，房地产开发投资同比增长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1.2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 xml:space="preserve">图2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1-7月</w:t>
      </w: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3．消费品市场</w:t>
      </w:r>
    </w:p>
    <w:p>
      <w:pPr>
        <w:widowControl/>
        <w:spacing w:line="300" w:lineRule="atLeast"/>
        <w:ind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1-7月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朝阳区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实现社会消费品零售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总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额1487.1亿元，同比下降3.3%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，降幅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1-6月扩大0.2个百分点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其中，商品零售1266.5亿元，同比下降2.9%；餐饮收入220.6亿元，同比下降6.1%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图3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1-7月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line="300" w:lineRule="atLeast"/>
        <w:ind w:firstLine="56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注：由于四舍五入原因可能造成总项与分项之和不等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043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, STSong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altName w:val="黑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5D0C31"/>
    <w:rsid w:val="079239A0"/>
    <w:rsid w:val="09FE6C99"/>
    <w:rsid w:val="0C1151FE"/>
    <w:rsid w:val="0C716D0F"/>
    <w:rsid w:val="0CD2757C"/>
    <w:rsid w:val="0D11454D"/>
    <w:rsid w:val="0E0941F6"/>
    <w:rsid w:val="0EAC2FE8"/>
    <w:rsid w:val="0EF546E1"/>
    <w:rsid w:val="10D16479"/>
    <w:rsid w:val="121C5A48"/>
    <w:rsid w:val="14BD186A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3E75101"/>
    <w:rsid w:val="250E012A"/>
    <w:rsid w:val="2540269A"/>
    <w:rsid w:val="26362F2D"/>
    <w:rsid w:val="269C0B69"/>
    <w:rsid w:val="26D96D0C"/>
    <w:rsid w:val="270C712C"/>
    <w:rsid w:val="2D627F28"/>
    <w:rsid w:val="31BA52B8"/>
    <w:rsid w:val="345348D7"/>
    <w:rsid w:val="34C25C14"/>
    <w:rsid w:val="35E80586"/>
    <w:rsid w:val="383B2A49"/>
    <w:rsid w:val="39CD7A11"/>
    <w:rsid w:val="3A0C6F8F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94F1A65"/>
    <w:rsid w:val="4CA2427C"/>
    <w:rsid w:val="4E8F256C"/>
    <w:rsid w:val="4FB17C81"/>
    <w:rsid w:val="519E5A87"/>
    <w:rsid w:val="54770CC2"/>
    <w:rsid w:val="54DB6640"/>
    <w:rsid w:val="565E3A62"/>
    <w:rsid w:val="567C5CAC"/>
    <w:rsid w:val="56D555C3"/>
    <w:rsid w:val="5A4C4590"/>
    <w:rsid w:val="5BD326F7"/>
    <w:rsid w:val="5C2A2F81"/>
    <w:rsid w:val="5D3C397F"/>
    <w:rsid w:val="5E2451F4"/>
    <w:rsid w:val="5E4334CC"/>
    <w:rsid w:val="5F7A1F11"/>
    <w:rsid w:val="62CB76AB"/>
    <w:rsid w:val="63544997"/>
    <w:rsid w:val="647A4536"/>
    <w:rsid w:val="664C647F"/>
    <w:rsid w:val="6927334E"/>
    <w:rsid w:val="6ABA6DBA"/>
    <w:rsid w:val="6AC43DAF"/>
    <w:rsid w:val="6DA57E9F"/>
    <w:rsid w:val="6DB51254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773A6A"/>
    <w:rsid w:val="7BA303AA"/>
    <w:rsid w:val="7BDE6FA5"/>
    <w:rsid w:val="7D1C639F"/>
    <w:rsid w:val="7FB54F6E"/>
    <w:rsid w:val="7FCE44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Lbl>
              <c:idx val="14"/>
              <c:layout>
                <c:manualLayout>
                  <c:x val="-0.00120423892100193"/>
                  <c:y val="-0.0168577208361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[外网信息图.xls]工业!$A$112:$B$128</c:f>
              <c:multiLvlStrCache>
                <c:ptCount val="17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[外网信息图.xls]工业!$C$112:$C$128</c:f>
              <c:numCache>
                <c:formatCode>0.0_ </c:formatCode>
                <c:ptCount val="17"/>
                <c:pt idx="0">
                  <c:v>-0.1894</c:v>
                </c:pt>
                <c:pt idx="1">
                  <c:v>0.586</c:v>
                </c:pt>
                <c:pt idx="2">
                  <c:v>0.3238</c:v>
                </c:pt>
                <c:pt idx="3">
                  <c:v>-2.6</c:v>
                </c:pt>
                <c:pt idx="4">
                  <c:v>-4.9878</c:v>
                </c:pt>
                <c:pt idx="5">
                  <c:v>-4.4</c:v>
                </c:pt>
                <c:pt idx="6">
                  <c:v>-4.9</c:v>
                </c:pt>
                <c:pt idx="7">
                  <c:v>-4.9954</c:v>
                </c:pt>
                <c:pt idx="8">
                  <c:v>-4.9526</c:v>
                </c:pt>
                <c:pt idx="9">
                  <c:v>-4.9</c:v>
                </c:pt>
                <c:pt idx="10">
                  <c:v>-3.6</c:v>
                </c:pt>
                <c:pt idx="11">
                  <c:v>-6.9</c:v>
                </c:pt>
                <c:pt idx="12">
                  <c:v>-4.5</c:v>
                </c:pt>
                <c:pt idx="13">
                  <c:v>-2.6</c:v>
                </c:pt>
                <c:pt idx="14">
                  <c:v>-1.6</c:v>
                </c:pt>
                <c:pt idx="15">
                  <c:v>-0.1</c:v>
                </c:pt>
                <c:pt idx="16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[外网信息图.xls]投资!$A$112:$B$128</c:f>
              <c:multiLvlStrCache>
                <c:ptCount val="17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[外网信息图.xls]投资!$C$112:$C$128</c:f>
              <c:numCache>
                <c:formatCode>0.0_ </c:formatCode>
                <c:ptCount val="17"/>
                <c:pt idx="0">
                  <c:v>7.62759358628691</c:v>
                </c:pt>
                <c:pt idx="1">
                  <c:v>11.8267891698825</c:v>
                </c:pt>
                <c:pt idx="2">
                  <c:v>0.756588042779853</c:v>
                </c:pt>
                <c:pt idx="3">
                  <c:v>0.9</c:v>
                </c:pt>
                <c:pt idx="4">
                  <c:v>3.51790091396185</c:v>
                </c:pt>
                <c:pt idx="5">
                  <c:v>1.9</c:v>
                </c:pt>
                <c:pt idx="6">
                  <c:v>0.2</c:v>
                </c:pt>
                <c:pt idx="7">
                  <c:v>3.44708685918621</c:v>
                </c:pt>
                <c:pt idx="8">
                  <c:v>5.506575755285</c:v>
                </c:pt>
                <c:pt idx="9">
                  <c:v>3.9</c:v>
                </c:pt>
                <c:pt idx="10">
                  <c:v>7</c:v>
                </c:pt>
                <c:pt idx="11">
                  <c:v>10.2</c:v>
                </c:pt>
                <c:pt idx="12">
                  <c:v>5.4</c:v>
                </c:pt>
                <c:pt idx="13">
                  <c:v>3.4</c:v>
                </c:pt>
                <c:pt idx="14">
                  <c:v>0.9</c:v>
                </c:pt>
                <c:pt idx="15">
                  <c:v>2.4</c:v>
                </c:pt>
                <c:pt idx="16">
                  <c:v>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Lbl>
              <c:idx val="1"/>
              <c:layout>
                <c:manualLayout>
                  <c:x val="0.00120423892100193"/>
                  <c:y val="0.023600809170600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268585758939714"/>
                  <c:y val="0.0059769804672447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[外网信息图.xls]零售额!$A$112:$B$128</c:f>
              <c:multiLvlStrCache>
                <c:ptCount val="17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[外网信息图.xls]零售额!$C$112:$C$128</c:f>
              <c:numCache>
                <c:formatCode>0.0_ </c:formatCode>
                <c:ptCount val="17"/>
                <c:pt idx="0">
                  <c:v>0.424981476701419</c:v>
                </c:pt>
                <c:pt idx="1">
                  <c:v>-1.3086653268425</c:v>
                </c:pt>
                <c:pt idx="2">
                  <c:v>-2.11775244020259</c:v>
                </c:pt>
                <c:pt idx="3">
                  <c:v>-0.736081161010887</c:v>
                </c:pt>
                <c:pt idx="4">
                  <c:v>-2.10329904508094</c:v>
                </c:pt>
                <c:pt idx="5">
                  <c:v>-2.4</c:v>
                </c:pt>
                <c:pt idx="6">
                  <c:v>-2.3</c:v>
                </c:pt>
                <c:pt idx="7">
                  <c:v>-3.02515487019657</c:v>
                </c:pt>
                <c:pt idx="8">
                  <c:v>-3.05027832152541</c:v>
                </c:pt>
                <c:pt idx="9">
                  <c:v>-4</c:v>
                </c:pt>
                <c:pt idx="10">
                  <c:v>-4.1</c:v>
                </c:pt>
                <c:pt idx="11">
                  <c:v>-2.5</c:v>
                </c:pt>
                <c:pt idx="12">
                  <c:v>-3.5</c:v>
                </c:pt>
                <c:pt idx="13">
                  <c:v>-3.5</c:v>
                </c:pt>
                <c:pt idx="14">
                  <c:v>-3.6</c:v>
                </c:pt>
                <c:pt idx="15">
                  <c:v>-3.1</c:v>
                </c:pt>
                <c:pt idx="16">
                  <c:v>-3.3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  <c:majorUnit val="1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2025-06-18T08:56:00Z</cp:lastPrinted>
  <dcterms:modified xsi:type="dcterms:W3CDTF">2025-08-20T02:22:54Z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