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eastAsia="仿宋_GB2312" w:cs="Times New Roman"/>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年太阳宫乡法治政府建设情况报告</w:t>
      </w:r>
    </w:p>
    <w:p>
      <w:pPr>
        <w:widowControl/>
        <w:autoSpaceDE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年，在朝阳区委、区政府的坚强领导下，在区依法治区领导小组的精心指导下，太阳宫乡认真学习、领会习近平全面依法治国新理念新思想新战略和党的</w:t>
      </w:r>
      <w:r>
        <w:rPr>
          <w:rFonts w:hint="eastAsia" w:ascii="仿宋_GB2312" w:hAnsi="Times New Roman" w:eastAsia="仿宋_GB2312" w:cs="Times New Roman"/>
          <w:sz w:val="32"/>
          <w:szCs w:val="32"/>
          <w:lang w:val="en-US" w:eastAsia="zh-CN"/>
        </w:rPr>
        <w:t>二十大</w:t>
      </w:r>
      <w:r>
        <w:rPr>
          <w:rFonts w:hint="eastAsia" w:ascii="仿宋_GB2312" w:hAnsi="Times New Roman" w:eastAsia="仿宋_GB2312" w:cs="Times New Roman"/>
          <w:sz w:val="32"/>
          <w:szCs w:val="32"/>
        </w:rPr>
        <w:t>精神，严格按照市、区全面推进法治建设有关文件贯彻执行，坚决落实全面推进依法治国工作要求，坚持用法治精神引领工作、用法治思维统筹各项事务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努力打造“精治、共治、法治”氛围，现将我乡202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年度法治政府建设情况报告如下：</w:t>
      </w:r>
    </w:p>
    <w:p>
      <w:pPr>
        <w:autoSpaceDE w:val="0"/>
        <w:adjustRightInd w:val="0"/>
        <w:snapToGrid w:val="0"/>
        <w:spacing w:line="560" w:lineRule="exact"/>
        <w:ind w:firstLine="640" w:firstLineChars="200"/>
        <w:jc w:val="left"/>
        <w:rPr>
          <w:rFonts w:ascii="仿宋_GB2312" w:eastAsia="黑体"/>
          <w:sz w:val="32"/>
          <w:szCs w:val="32"/>
        </w:rPr>
      </w:pPr>
      <w:r>
        <w:rPr>
          <w:rFonts w:hint="eastAsia" w:ascii="黑体" w:hAnsi="黑体" w:eastAsia="黑体" w:cs="黑体"/>
          <w:sz w:val="32"/>
          <w:szCs w:val="32"/>
        </w:rPr>
        <w:t>一、推进法治政府建设情况</w:t>
      </w:r>
    </w:p>
    <w:p>
      <w:pPr>
        <w:pStyle w:val="7"/>
        <w:spacing w:before="0" w:beforeAutospacing="0" w:after="0" w:afterAutospacing="0" w:line="450" w:lineRule="atLeast"/>
        <w:ind w:firstLine="479" w:firstLineChars="149"/>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（一）履行政府职能，服务保障经济社会高质量发展</w:t>
      </w:r>
    </w:p>
    <w:p>
      <w:pPr>
        <w:pStyle w:val="7"/>
        <w:spacing w:before="0" w:beforeAutospacing="0" w:after="0" w:afterAutospacing="0" w:line="450" w:lineRule="atLeast"/>
        <w:ind w:firstLine="643"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rPr>
        <w:t>1.依法防控成果显著。</w:t>
      </w:r>
      <w:r>
        <w:rPr>
          <w:rFonts w:hint="eastAsia" w:ascii="仿宋_GB2312" w:hAnsi="Times New Roman" w:eastAsia="仿宋_GB2312" w:cs="Times New Roman"/>
          <w:kern w:val="2"/>
          <w:sz w:val="32"/>
          <w:szCs w:val="32"/>
        </w:rPr>
        <w:t>坚持政府主导、多部门合作、全社会参与，把新冠肺炎疫情防控作为重中之重，坚持“三防四早九严格”，压紧压实“四方责任”。发挥基层党组织战斗堡垒和党员先锋模范作用，团结带领广大群众，推动疫情防控各项部署不折不扣落实。深化“两网融合”、“三包四主题”工作机制，做到全方位、全覆盖包片负责，严格落实医院、学校、商超餐饮、文体场所、养老机构等重点场所疫情防控措施。</w:t>
      </w:r>
      <w:r>
        <w:rPr>
          <w:rFonts w:hint="eastAsia" w:ascii="仿宋_GB2312" w:hAnsi="Times New Roman" w:eastAsia="仿宋_GB2312" w:cs="Times New Roman"/>
          <w:kern w:val="2"/>
          <w:sz w:val="32"/>
          <w:szCs w:val="32"/>
          <w:lang w:val="en-US" w:eastAsia="zh-CN"/>
        </w:rPr>
        <w:t>严格落实国务院《关于进一步优化落实新冠肺炎疫情防控措施的通知》并按照市区疫情防控精神，及时优化调整隔离方式，加强重点人群健康情况摸底及分配管理等，抓严抓实各项防控措施，最大程度保护人民生命安全和身体健康，最大限度减少疫情对地区经济社会发展带来的影响。</w:t>
      </w:r>
    </w:p>
    <w:p>
      <w:pPr>
        <w:spacing w:line="360" w:lineRule="auto"/>
        <w:ind w:firstLine="643" w:firstLineChars="200"/>
        <w:rPr>
          <w:rFonts w:hint="eastAsia"/>
          <w:lang w:val="en-US" w:eastAsia="zh-CN"/>
        </w:rPr>
      </w:pPr>
      <w:r>
        <w:rPr>
          <w:rFonts w:hint="eastAsia" w:ascii="仿宋_GB2312" w:hAnsi="仿宋_GB2312" w:eastAsia="仿宋_GB2312" w:cs="仿宋_GB2312"/>
          <w:b/>
          <w:bCs/>
          <w:kern w:val="2"/>
          <w:sz w:val="32"/>
          <w:szCs w:val="32"/>
        </w:rPr>
        <w:t>2.</w:t>
      </w:r>
      <w:r>
        <w:rPr>
          <w:rFonts w:hint="eastAsia" w:ascii="仿宋_GB2312" w:hAnsi="仿宋_GB2312" w:eastAsia="仿宋_GB2312" w:cs="仿宋_GB2312"/>
          <w:b/>
          <w:bCs/>
          <w:sz w:val="32"/>
          <w:szCs w:val="32"/>
          <w:lang w:val="en-US" w:eastAsia="zh-CN"/>
        </w:rPr>
        <w:t>加大简政放权力度，优化营商环境。一是</w:t>
      </w:r>
      <w:r>
        <w:rPr>
          <w:rFonts w:hint="eastAsia" w:ascii="仿宋_GB2312" w:hAnsi="仿宋_GB2312" w:eastAsia="仿宋_GB2312" w:cs="仿宋_GB2312"/>
          <w:b w:val="0"/>
          <w:bCs w:val="0"/>
          <w:sz w:val="32"/>
          <w:szCs w:val="32"/>
          <w:lang w:val="en-US" w:eastAsia="zh-CN"/>
        </w:rPr>
        <w:t>建立“需求、资源、项目”三清单，通过政策宣讲、举办政企对接会、开通绿色服务通道、送服务包等形式，把工商、税务、人才企业政策等服务落在前头，推进涉企服务机制化、常态化、长效化，助力企业快速发展；</w:t>
      </w:r>
      <w:r>
        <w:rPr>
          <w:rFonts w:hint="eastAsia" w:ascii="仿宋_GB2312" w:hAnsi="仿宋_GB2312" w:eastAsia="仿宋_GB2312" w:cs="仿宋_GB2312"/>
          <w:b/>
          <w:bCs/>
          <w:sz w:val="32"/>
          <w:szCs w:val="32"/>
          <w:lang w:val="en-US" w:eastAsia="zh-CN"/>
        </w:rPr>
        <w:t>二是</w:t>
      </w:r>
      <w:r>
        <w:rPr>
          <w:rFonts w:hint="eastAsia" w:ascii="仿宋_GB2312" w:hAnsi="Times New Roman" w:eastAsia="仿宋_GB2312" w:cs="Times New Roman"/>
          <w:sz w:val="32"/>
          <w:szCs w:val="32"/>
        </w:rPr>
        <w:t>做好重点企业服务，走访重点“服务包”企业，加大“服务包”相关政策宣传力度，</w:t>
      </w:r>
      <w:r>
        <w:rPr>
          <w:rFonts w:hint="eastAsia" w:ascii="仿宋_GB2312" w:hAnsi="微软雅黑" w:eastAsia="仿宋_GB2312" w:cs="宋体"/>
          <w:color w:val="000000" w:themeColor="text1"/>
          <w:kern w:val="0"/>
          <w:sz w:val="32"/>
          <w:szCs w:val="32"/>
        </w:rPr>
        <w:t>实地调研民营企业复工复产困境，针对企业面临的问题提出实际解决方案，助力企业复工复产</w:t>
      </w:r>
      <w:r>
        <w:rPr>
          <w:rFonts w:hint="eastAsia" w:ascii="仿宋_GB2312" w:hAnsi="微软雅黑" w:eastAsia="仿宋_GB2312" w:cs="宋体"/>
          <w:color w:val="000000" w:themeColor="text1"/>
          <w:kern w:val="0"/>
          <w:sz w:val="32"/>
          <w:szCs w:val="32"/>
          <w:lang w:eastAsia="zh-CN"/>
        </w:rPr>
        <w:t>；</w:t>
      </w:r>
      <w:r>
        <w:rPr>
          <w:rFonts w:hint="eastAsia" w:ascii="仿宋_GB2312" w:hAnsi="微软雅黑" w:eastAsia="仿宋_GB2312" w:cs="宋体"/>
          <w:b/>
          <w:bCs/>
          <w:color w:val="000000" w:themeColor="text1"/>
          <w:kern w:val="0"/>
          <w:sz w:val="32"/>
          <w:szCs w:val="32"/>
          <w:lang w:val="en-US" w:eastAsia="zh-CN"/>
        </w:rPr>
        <w:t>三是</w:t>
      </w:r>
      <w:r>
        <w:rPr>
          <w:rFonts w:ascii="Times New Roman" w:hAnsi="Times New Roman" w:eastAsia="仿宋_GB2312" w:cs="Times New Roman"/>
          <w:sz w:val="32"/>
          <w:szCs w:val="32"/>
        </w:rPr>
        <w:t>督促商务楼宇及入驻企业落实“四方责任”，严格落实常态化防控措施和防控指引要求，安全有序开展经营活动</w:t>
      </w:r>
      <w:r>
        <w:rPr>
          <w:rFonts w:hint="eastAsia" w:ascii="Times New Roman" w:hAnsi="Times New Roman" w:eastAsia="仿宋_GB2312" w:cs="Times New Roman"/>
          <w:sz w:val="32"/>
          <w:szCs w:val="32"/>
        </w:rPr>
        <w:t>，开展商务楼宇疫情防控监督检查，坚决筑牢防疫屏障；</w:t>
      </w:r>
      <w:r>
        <w:rPr>
          <w:rFonts w:hint="eastAsia" w:ascii="Times New Roman" w:hAnsi="Times New Roman" w:eastAsia="仿宋_GB2312" w:cs="Times New Roman"/>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为</w:t>
      </w:r>
      <w:r>
        <w:rPr>
          <w:rFonts w:hint="eastAsia" w:ascii="仿宋_GB2312" w:hAnsi="Times New Roman" w:eastAsia="仿宋_GB2312" w:cs="Times New Roman"/>
          <w:sz w:val="32"/>
          <w:szCs w:val="32"/>
          <w:lang w:val="en-US" w:eastAsia="zh-CN"/>
        </w:rPr>
        <w:t>加强个人出租房屋房产税征管，地区增设四处个人出租房屋税代征点，依法开展代征个人出租房屋税代开个人出租房屋发票工作，为纳税人提供高效、便利服务。</w:t>
      </w:r>
    </w:p>
    <w:p>
      <w:pPr>
        <w:ind w:firstLine="643" w:firstLineChars="200"/>
        <w:rPr>
          <w:rFonts w:ascii="仿宋_GB2312" w:eastAsia="仿宋_GB2312"/>
          <w:sz w:val="32"/>
          <w:szCs w:val="32"/>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.优化政务服务环境。</w:t>
      </w:r>
      <w:r>
        <w:rPr>
          <w:rFonts w:hint="eastAsia" w:ascii="仿宋_GB2312" w:eastAsia="仿宋_GB2312"/>
          <w:b/>
          <w:sz w:val="32"/>
          <w:szCs w:val="32"/>
        </w:rPr>
        <w:t>一是</w:t>
      </w:r>
      <w:r>
        <w:rPr>
          <w:rFonts w:hint="eastAsia" w:ascii="仿宋_GB2312" w:eastAsia="仿宋_GB2312"/>
          <w:sz w:val="32"/>
          <w:szCs w:val="32"/>
        </w:rPr>
        <w:t>全面推行限时办理、规范办理、透明办理的科学化工作流程，落实《优化营商环境条例》，切实增强履职尽责的主动服务意识。政务服务大厅</w:t>
      </w:r>
      <w:r>
        <w:rPr>
          <w:rFonts w:hint="eastAsia" w:ascii="仿宋_GB2312" w:hAnsi="华文仿宋" w:eastAsia="仿宋_GB2312"/>
          <w:sz w:val="32"/>
          <w:szCs w:val="32"/>
        </w:rPr>
        <w:t>持续开展“值班所长”巡察，规范日常服务，做到办理业务</w:t>
      </w:r>
      <w:r>
        <w:rPr>
          <w:rFonts w:hint="eastAsia" w:ascii="仿宋_GB2312" w:eastAsia="仿宋_GB2312"/>
          <w:sz w:val="32"/>
          <w:szCs w:val="32"/>
        </w:rPr>
        <w:t>答复口径统一、办理流程统一、服务标准统一，提升服务质量，提高行政效能，激发社会活力；</w:t>
      </w:r>
      <w:r>
        <w:rPr>
          <w:rFonts w:hint="eastAsia" w:ascii="仿宋_GB2312" w:eastAsia="仿宋_GB2312"/>
          <w:b/>
          <w:sz w:val="32"/>
          <w:szCs w:val="32"/>
        </w:rPr>
        <w:t>二</w:t>
      </w:r>
      <w:r>
        <w:rPr>
          <w:rFonts w:hint="eastAsia" w:ascii="仿宋_GB2312" w:hAnsi="Times New Roman" w:eastAsia="仿宋_GB2312" w:cs="Times New Roman"/>
          <w:b/>
          <w:sz w:val="32"/>
          <w:szCs w:val="32"/>
        </w:rPr>
        <w:t>是</w:t>
      </w:r>
      <w:r>
        <w:rPr>
          <w:rFonts w:hint="eastAsia" w:ascii="仿宋_GB2312" w:hAnsi="Times New Roman" w:eastAsia="仿宋_GB2312" w:cs="Times New Roman"/>
          <w:sz w:val="32"/>
          <w:szCs w:val="32"/>
        </w:rPr>
        <w:t>夯实就业服务基础，多方联手促就业，</w:t>
      </w:r>
      <w:r>
        <w:rPr>
          <w:rFonts w:hint="eastAsia" w:ascii="仿宋_GB2312" w:hAnsi="Times New Roman" w:eastAsia="仿宋_GB2312" w:cs="Times New Roman"/>
          <w:sz w:val="32"/>
          <w:szCs w:val="32"/>
          <w:lang w:val="en-US" w:eastAsia="zh-CN"/>
        </w:rPr>
        <w:t>于9月中旬举办“招贤纳士”“职”等你来失业人员专场招聘会，吸引13家企业单位参加，现场提供项目经理、店长、服务经理等就业岗位300余个，同时发放相关政策宣传资料500余份，</w:t>
      </w:r>
      <w:r>
        <w:rPr>
          <w:rFonts w:hint="eastAsia" w:ascii="仿宋_GB2312" w:eastAsia="仿宋_GB2312"/>
          <w:b w:val="0"/>
          <w:bCs/>
          <w:sz w:val="32"/>
          <w:szCs w:val="32"/>
          <w:lang w:val="en-US" w:eastAsia="zh-CN"/>
        </w:rPr>
        <w:t>依托地区残疾人帮扶性就业基地，分3批共为地区22名残疾人与地区企业及周边单位完成了帮扶性就业合同的签订工作，在帮助残疾人实现就业增收的同时，帮助他们全面参与社会生活、实现自身价值；</w:t>
      </w:r>
      <w:r>
        <w:rPr>
          <w:rFonts w:hint="eastAsia" w:ascii="仿宋_GB2312" w:eastAsia="仿宋_GB2312"/>
          <w:b/>
          <w:bCs w:val="0"/>
          <w:sz w:val="32"/>
          <w:szCs w:val="32"/>
          <w:lang w:val="en-US" w:eastAsia="zh-CN"/>
        </w:rPr>
        <w:t>三是</w:t>
      </w:r>
      <w:r>
        <w:rPr>
          <w:rFonts w:hint="eastAsia" w:ascii="仿宋_GB2312" w:eastAsia="仿宋_GB2312"/>
          <w:sz w:val="32"/>
          <w:szCs w:val="32"/>
          <w:lang w:val="en-US" w:eastAsia="zh-CN"/>
        </w:rPr>
        <w:t>开展失业人员多形式技能培训，落实各项就业扶持政策，广开就业门路，推动就业，努力使每一位有劳动能力和就业愿望的劳动者通过自谋职</w:t>
      </w:r>
      <w:r>
        <w:rPr>
          <w:rFonts w:hint="eastAsia" w:ascii="仿宋_GB2312" w:eastAsia="仿宋_GB2312"/>
          <w:sz w:val="32"/>
          <w:szCs w:val="32"/>
        </w:rPr>
        <w:t>。</w:t>
      </w:r>
    </w:p>
    <w:p>
      <w:pPr>
        <w:ind w:firstLine="643" w:firstLineChars="200"/>
        <w:rPr>
          <w:rFonts w:hint="default" w:ascii="仿宋_GB2312" w:hAnsi="Calibri" w:eastAsia="仿宋_GB2312" w:cs="Times New Roman"/>
          <w:b w:val="0"/>
          <w:bCs/>
          <w:sz w:val="32"/>
          <w:szCs w:val="32"/>
          <w:lang w:val="en-US" w:eastAsia="zh-CN"/>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.提高</w:t>
      </w:r>
      <w:r>
        <w:rPr>
          <w:rFonts w:hint="eastAsia" w:ascii="仿宋_GB2312" w:hAnsi="仿宋_GB2312" w:eastAsia="仿宋_GB2312" w:cs="仿宋_GB2312"/>
          <w:b/>
          <w:bCs/>
          <w:color w:val="000000"/>
          <w:kern w:val="0"/>
          <w:sz w:val="32"/>
          <w:szCs w:val="32"/>
          <w:lang w:val="en-US" w:eastAsia="zh-CN"/>
        </w:rPr>
        <w:t>社会治理</w:t>
      </w:r>
      <w:r>
        <w:rPr>
          <w:rFonts w:hint="eastAsia" w:ascii="仿宋_GB2312" w:hAnsi="仿宋_GB2312" w:eastAsia="仿宋_GB2312" w:cs="仿宋_GB2312"/>
          <w:b/>
          <w:bCs/>
          <w:color w:val="000000"/>
          <w:kern w:val="0"/>
          <w:sz w:val="32"/>
          <w:szCs w:val="32"/>
        </w:rPr>
        <w:t>水平。</w:t>
      </w:r>
      <w:r>
        <w:rPr>
          <w:rFonts w:hint="eastAsia" w:ascii="仿宋_GB2312" w:eastAsia="仿宋_GB2312"/>
          <w:b/>
          <w:sz w:val="32"/>
          <w:szCs w:val="32"/>
        </w:rPr>
        <w:t>一是</w:t>
      </w:r>
      <w:r>
        <w:rPr>
          <w:rFonts w:hint="eastAsia" w:ascii="仿宋_GB2312" w:eastAsia="仿宋_GB2312"/>
          <w:b w:val="0"/>
          <w:bCs/>
          <w:sz w:val="32"/>
          <w:szCs w:val="32"/>
          <w:lang w:val="en-US" w:eastAsia="zh-CN"/>
        </w:rPr>
        <w:t>扎实推进“我为群众办实事”实践活动，开展社区邻里节，号召志愿服务队开展便民理发、爱心义诊、法律咨询、小家电维修等公益便民服务，营造共治共享社区治理氛围，构建邻里间和谐友爱关系。惠忠庵社区面向辖区65岁及以上老龄群体开展免费健康体检活动，帮助老年人及时掌握自身健康状况，及早发现病症及时采取对策应对，有效降低患病率；</w:t>
      </w:r>
      <w:r>
        <w:rPr>
          <w:rFonts w:hint="eastAsia" w:ascii="仿宋_GB2312" w:eastAsia="仿宋_GB2312"/>
          <w:b/>
          <w:sz w:val="32"/>
          <w:szCs w:val="32"/>
        </w:rPr>
        <w:t>二是</w:t>
      </w:r>
      <w:r>
        <w:rPr>
          <w:rFonts w:hint="eastAsia" w:ascii="仿宋" w:hAnsi="仿宋" w:eastAsia="仿宋" w:cs="仿宋"/>
          <w:sz w:val="32"/>
          <w:szCs w:val="32"/>
          <w:lang w:val="en-US" w:eastAsia="zh-CN"/>
        </w:rPr>
        <w:t>启动“太阳粒子能量场”小微空间改造项目，项目由北京市城市规划设计研究院参与设计规划，经前期居民需求调查，不断完善设计方案，融入和谐、干净、宜居理念，打造居民休闲娱乐“能量场”</w:t>
      </w:r>
      <w:r>
        <w:rPr>
          <w:rFonts w:hint="eastAsia" w:ascii="仿宋_GB2312" w:hAnsi="Calibri" w:eastAsia="仿宋_GB2312" w:cs="Times New Roman"/>
          <w:sz w:val="32"/>
          <w:szCs w:val="32"/>
        </w:rPr>
        <w:t>；</w:t>
      </w:r>
      <w:r>
        <w:rPr>
          <w:rFonts w:hint="eastAsia" w:ascii="仿宋_GB2312" w:hAnsi="Calibri" w:eastAsia="仿宋_GB2312" w:cs="Times New Roman"/>
          <w:b/>
          <w:sz w:val="32"/>
          <w:szCs w:val="32"/>
        </w:rPr>
        <w:t>三是</w:t>
      </w:r>
      <w:r>
        <w:rPr>
          <w:rFonts w:hint="eastAsia" w:ascii="仿宋_GB2312" w:hAnsi="Calibri" w:eastAsia="仿宋_GB2312" w:cs="Times New Roman"/>
          <w:b w:val="0"/>
          <w:bCs/>
          <w:sz w:val="32"/>
          <w:szCs w:val="32"/>
          <w:lang w:val="en-US" w:eastAsia="zh-CN"/>
        </w:rPr>
        <w:t>召开“党建引领共建法治社区”结对共建座谈会，地区12个社区分别与相应律所签订《结对共建法治社区协议书》，协议就工作制度、党员服务队、信息共享等六项内容做了明确规定，助力社区治理和法治建设，为地区居民提供优质公共法律服务。</w:t>
      </w:r>
    </w:p>
    <w:p>
      <w:pPr>
        <w:pStyle w:val="7"/>
        <w:spacing w:before="0" w:beforeAutospacing="0" w:after="0" w:afterAutospacing="0" w:line="450" w:lineRule="atLeast"/>
        <w:ind w:firstLine="64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（二）力求以制促治，推进行政决策科学化、民主化、法治化</w:t>
      </w:r>
    </w:p>
    <w:p>
      <w:pPr>
        <w:pStyle w:val="7"/>
        <w:spacing w:before="0" w:beforeAutospacing="0" w:after="0" w:afterAutospacing="0" w:line="450" w:lineRule="atLeast"/>
        <w:ind w:firstLine="642"/>
        <w:jc w:val="both"/>
        <w:rPr>
          <w:rFonts w:ascii="仿宋_GB2312" w:hAnsi="Times New Roman" w:eastAsia="仿宋_GB2312"/>
          <w:b/>
          <w:bCs/>
          <w:sz w:val="32"/>
          <w:szCs w:val="32"/>
        </w:rPr>
      </w:pPr>
      <w:r>
        <w:rPr>
          <w:rFonts w:hint="eastAsia" w:ascii="仿宋_GB2312" w:eastAsia="仿宋_GB2312"/>
          <w:b/>
          <w:sz w:val="32"/>
          <w:szCs w:val="32"/>
        </w:rPr>
        <w:t>1.加强规范性文件监督管理。</w:t>
      </w:r>
      <w:r>
        <w:rPr>
          <w:rFonts w:hint="eastAsia" w:ascii="仿宋_GB2312" w:hAnsi="微软雅黑" w:eastAsia="仿宋_GB2312"/>
          <w:b/>
          <w:color w:val="000000"/>
          <w:sz w:val="32"/>
          <w:szCs w:val="32"/>
        </w:rPr>
        <w:t>一是</w:t>
      </w:r>
      <w:r>
        <w:rPr>
          <w:rFonts w:hint="eastAsia" w:hAnsi="仿宋_GB2312" w:eastAsia="仿宋_GB2312"/>
          <w:sz w:val="32"/>
          <w:szCs w:val="32"/>
        </w:rPr>
        <w:t>严格落实行政规范性文件备案、公布、清理等制度，</w:t>
      </w:r>
      <w:r>
        <w:rPr>
          <w:rFonts w:hint="eastAsia" w:ascii="仿宋_GB2312" w:eastAsia="仿宋_GB2312"/>
          <w:sz w:val="32"/>
          <w:szCs w:val="32"/>
        </w:rPr>
        <w:t>进一步</w:t>
      </w:r>
      <w:r>
        <w:rPr>
          <w:rFonts w:hint="eastAsia" w:ascii="仿宋_GB2312" w:eastAsia="仿宋_GB2312"/>
          <w:bCs/>
          <w:sz w:val="32"/>
          <w:szCs w:val="32"/>
        </w:rPr>
        <w:t>完善</w:t>
      </w:r>
      <w:r>
        <w:rPr>
          <w:rFonts w:hint="eastAsia" w:ascii="仿宋_GB2312" w:eastAsia="仿宋_GB2312"/>
          <w:sz w:val="32"/>
          <w:szCs w:val="32"/>
        </w:rPr>
        <w:t>规范性文件制定程序，实现规范性文件</w:t>
      </w:r>
      <w:r>
        <w:rPr>
          <w:rFonts w:hint="eastAsia" w:eastAsia="仿宋_GB2312"/>
          <w:sz w:val="32"/>
          <w:szCs w:val="32"/>
        </w:rPr>
        <w:t>起草、审签、校核、印制、分发和归档等制度的不断健全，完成规范性文件的</w:t>
      </w:r>
      <w:r>
        <w:rPr>
          <w:rFonts w:hint="eastAsia" w:ascii="仿宋_GB2312" w:eastAsia="仿宋_GB2312"/>
          <w:sz w:val="32"/>
          <w:szCs w:val="32"/>
        </w:rPr>
        <w:t>统一登记、统一编号，并</w:t>
      </w:r>
      <w:r>
        <w:rPr>
          <w:rFonts w:hint="eastAsia" w:eastAsia="仿宋_GB2312"/>
          <w:sz w:val="32"/>
          <w:szCs w:val="32"/>
        </w:rPr>
        <w:t>按季度提交司法局审核备案；</w:t>
      </w:r>
      <w:r>
        <w:rPr>
          <w:rFonts w:hint="eastAsia" w:ascii="仿宋_GB2312" w:eastAsia="仿宋_GB2312"/>
          <w:b/>
          <w:sz w:val="32"/>
          <w:szCs w:val="32"/>
        </w:rPr>
        <w:t>二是</w:t>
      </w:r>
      <w:r>
        <w:rPr>
          <w:rFonts w:hint="eastAsia" w:ascii="仿宋_GB2312" w:eastAsia="仿宋_GB2312"/>
          <w:sz w:val="32"/>
          <w:szCs w:val="32"/>
        </w:rPr>
        <w:t>依据《太阳宫乡规范性文件合法性审查规定》，</w:t>
      </w:r>
      <w:r>
        <w:rPr>
          <w:rFonts w:hint="eastAsia" w:eastAsia="仿宋_GB2312"/>
          <w:sz w:val="32"/>
          <w:szCs w:val="32"/>
        </w:rPr>
        <w:t>明确我乡主要负责人为规范性文件第一责任人，听取规范性文件合法性审核</w:t>
      </w:r>
      <w:r>
        <w:rPr>
          <w:rFonts w:hint="eastAsia" w:eastAsia="仿宋_GB2312"/>
          <w:sz w:val="32"/>
          <w:szCs w:val="32"/>
          <w:lang w:val="en-US" w:eastAsia="zh-CN"/>
        </w:rPr>
        <w:t>等</w:t>
      </w:r>
      <w:r>
        <w:rPr>
          <w:rFonts w:hint="eastAsia" w:eastAsia="仿宋_GB2312"/>
          <w:sz w:val="32"/>
          <w:szCs w:val="32"/>
        </w:rPr>
        <w:t>依法行政工作汇报</w:t>
      </w:r>
      <w:r>
        <w:rPr>
          <w:rFonts w:hint="eastAsia" w:eastAsia="仿宋_GB2312"/>
          <w:sz w:val="32"/>
          <w:szCs w:val="32"/>
          <w:lang w:eastAsia="zh-CN"/>
        </w:rPr>
        <w:t>，</w:t>
      </w:r>
      <w:r>
        <w:rPr>
          <w:rFonts w:hint="eastAsia" w:eastAsia="仿宋_GB2312"/>
          <w:sz w:val="32"/>
          <w:szCs w:val="32"/>
        </w:rPr>
        <w:t>未经合法性审查的规范性文件不得提交集体讨论；</w:t>
      </w:r>
      <w:r>
        <w:rPr>
          <w:rFonts w:hint="eastAsia" w:eastAsia="仿宋_GB2312"/>
          <w:b/>
          <w:sz w:val="32"/>
          <w:szCs w:val="32"/>
        </w:rPr>
        <w:t>三是</w:t>
      </w:r>
      <w:r>
        <w:rPr>
          <w:rFonts w:hint="eastAsia" w:eastAsia="仿宋_GB2312"/>
          <w:sz w:val="32"/>
          <w:szCs w:val="32"/>
        </w:rPr>
        <w:t>实行规范性文件动态化管理，落实规范性文件清理工作，本年我乡未制定规范性文件。</w:t>
      </w:r>
    </w:p>
    <w:p>
      <w:pPr>
        <w:ind w:firstLine="643" w:firstLineChars="200"/>
        <w:rPr>
          <w:rFonts w:ascii="仿宋_GB2312" w:hAnsi="Times New Roman" w:eastAsia="仿宋_GB2312"/>
          <w:sz w:val="32"/>
          <w:szCs w:val="32"/>
        </w:rPr>
      </w:pPr>
      <w:r>
        <w:rPr>
          <w:rFonts w:hint="eastAsia" w:ascii="仿宋_GB2312" w:eastAsia="仿宋_GB2312"/>
          <w:b/>
          <w:bCs/>
          <w:sz w:val="32"/>
          <w:szCs w:val="32"/>
        </w:rPr>
        <w:t>2.</w:t>
      </w:r>
      <w:r>
        <w:rPr>
          <w:rFonts w:hint="eastAsia" w:ascii="仿宋_GB2312" w:hAnsi="Times New Roman" w:eastAsia="仿宋_GB2312"/>
          <w:b/>
          <w:bCs/>
          <w:sz w:val="32"/>
          <w:szCs w:val="32"/>
        </w:rPr>
        <w:t>健全依法决策机制。</w:t>
      </w:r>
      <w:r>
        <w:rPr>
          <w:rFonts w:hint="eastAsia" w:ascii="仿宋_GB2312" w:hAnsi="Times New Roman" w:eastAsia="仿宋_GB2312"/>
          <w:sz w:val="32"/>
          <w:szCs w:val="32"/>
        </w:rPr>
        <w:t>落实《太阳宫地区（乡）关于严格执行“三重一大”事项集体决策制度实施办法》规定，明确“三重一大”决策事项范围、决策方式、规则及程序，强化监督严格责任，对重大行政决策开展集体讨论，</w:t>
      </w:r>
      <w:r>
        <w:rPr>
          <w:rFonts w:hint="eastAsia" w:ascii="仿宋_GB2312" w:eastAsia="仿宋_GB2312"/>
          <w:color w:val="000000"/>
          <w:sz w:val="32"/>
          <w:szCs w:val="32"/>
        </w:rPr>
        <w:t>规范我乡各级领导干部决策行为，严格决策程序，防止决策失误，提高领导干部决策的科学化、民主化、公开化水平</w:t>
      </w:r>
      <w:r>
        <w:rPr>
          <w:rFonts w:hint="eastAsia" w:ascii="仿宋_GB2312" w:hAnsi="Times New Roman" w:eastAsia="仿宋_GB2312"/>
          <w:sz w:val="32"/>
          <w:szCs w:val="32"/>
        </w:rPr>
        <w:t>。</w:t>
      </w:r>
    </w:p>
    <w:p>
      <w:pPr>
        <w:pStyle w:val="2"/>
        <w:ind w:firstLine="643" w:firstLineChars="200"/>
        <w:rPr>
          <w:rFonts w:eastAsia="仿宋_GB2312"/>
        </w:rPr>
      </w:pPr>
      <w:r>
        <w:rPr>
          <w:rFonts w:hint="eastAsia" w:ascii="仿宋_GB2312" w:hAnsi="Times New Roman" w:eastAsia="仿宋_GB2312"/>
          <w:b/>
          <w:bCs/>
          <w:sz w:val="32"/>
          <w:szCs w:val="32"/>
        </w:rPr>
        <w:t>3.强化工作规范。</w:t>
      </w:r>
      <w:r>
        <w:rPr>
          <w:rFonts w:hint="eastAsia" w:ascii="仿宋_GB2312" w:hAnsi="Times New Roman" w:eastAsia="仿宋_GB2312"/>
          <w:sz w:val="32"/>
          <w:szCs w:val="32"/>
        </w:rPr>
        <w:t>把制度建设摆在重要位置来抓，组织对我乡规章制度进行梳理和修订，修订《机关制度汇编》下发每名机关干部，规范机关会议、学习制度，机关行政管理制度，人事管理制度，党政工作制度，为用制度管人管事提供支撑。</w:t>
      </w:r>
    </w:p>
    <w:p>
      <w:pPr>
        <w:spacing w:line="360" w:lineRule="auto"/>
        <w:ind w:firstLine="643" w:firstLineChars="200"/>
        <w:rPr>
          <w:rFonts w:ascii="仿宋_GB2312" w:hAnsi="Times New Roman" w:eastAsia="仿宋_GB2312"/>
          <w:sz w:val="32"/>
          <w:szCs w:val="32"/>
        </w:rPr>
      </w:pPr>
      <w:r>
        <w:rPr>
          <w:rFonts w:hint="eastAsia" w:ascii="仿宋_GB2312" w:eastAsia="仿宋_GB2312"/>
          <w:b/>
          <w:bCs/>
          <w:sz w:val="32"/>
          <w:szCs w:val="32"/>
        </w:rPr>
        <w:t>4.</w:t>
      </w:r>
      <w:r>
        <w:rPr>
          <w:rFonts w:hint="eastAsia" w:ascii="仿宋_GB2312" w:hAnsi="Times New Roman" w:eastAsia="仿宋_GB2312"/>
          <w:b/>
          <w:bCs/>
          <w:sz w:val="32"/>
          <w:szCs w:val="32"/>
        </w:rPr>
        <w:t>落实政府法律顾问制度。</w:t>
      </w:r>
      <w:r>
        <w:rPr>
          <w:rFonts w:hint="eastAsia" w:ascii="仿宋_GB2312" w:hAnsi="Times New Roman" w:eastAsia="仿宋_GB2312"/>
          <w:sz w:val="32"/>
          <w:szCs w:val="32"/>
        </w:rPr>
        <w:t>聘请北京市两高律师事务所一名律师为街道办事处常年法律顾问，</w:t>
      </w:r>
      <w:r>
        <w:rPr>
          <w:rFonts w:hint="eastAsia" w:ascii="仿宋_GB2312" w:hAnsi="Times New Roman" w:eastAsia="仿宋_GB2312"/>
          <w:sz w:val="32"/>
          <w:szCs w:val="32"/>
          <w:lang w:val="zh-CN"/>
        </w:rPr>
        <w:t>保证法律顾问在制定重大行政决策、推进依法行政中发挥积极作用</w:t>
      </w:r>
      <w:r>
        <w:rPr>
          <w:rFonts w:hint="eastAsia" w:ascii="仿宋_GB2312" w:hAnsi="Times New Roman" w:eastAsia="仿宋_GB2312"/>
          <w:sz w:val="32"/>
          <w:szCs w:val="32"/>
        </w:rPr>
        <w:t>。</w:t>
      </w:r>
      <w:r>
        <w:rPr>
          <w:rFonts w:hint="eastAsia" w:ascii="仿宋_GB2312" w:hAnsi="Times New Roman" w:eastAsia="仿宋_GB2312"/>
          <w:b/>
          <w:sz w:val="32"/>
          <w:szCs w:val="32"/>
        </w:rPr>
        <w:t>一是</w:t>
      </w:r>
      <w:r>
        <w:rPr>
          <w:rFonts w:hint="eastAsia" w:ascii="仿宋_GB2312" w:hAnsi="Times New Roman" w:eastAsia="仿宋_GB2312"/>
          <w:sz w:val="32"/>
          <w:szCs w:val="32"/>
        </w:rPr>
        <w:t>加强对政府重大行政决策合法性、可行性及决策实施可能涉及法律风险、社会问题的可行性研究、论证、评估，为此提出书面审查意见工作落实；</w:t>
      </w:r>
      <w:r>
        <w:rPr>
          <w:rFonts w:hint="eastAsia" w:ascii="仿宋_GB2312" w:hAnsi="Times New Roman" w:eastAsia="仿宋_GB2312"/>
          <w:b/>
          <w:sz w:val="32"/>
          <w:szCs w:val="32"/>
        </w:rPr>
        <w:t>二是</w:t>
      </w:r>
      <w:r>
        <w:rPr>
          <w:rFonts w:hint="eastAsia" w:ascii="仿宋_GB2312" w:hAnsi="Times New Roman" w:eastAsia="仿宋_GB2312"/>
          <w:sz w:val="32"/>
          <w:szCs w:val="32"/>
        </w:rPr>
        <w:t>依托法律顾问，为政府起草或拟发布的规范性文件草案进行合法性审查或法律论证并提供法律意见和建议；</w:t>
      </w:r>
      <w:r>
        <w:rPr>
          <w:rFonts w:hint="eastAsia" w:ascii="仿宋_GB2312" w:hAnsi="Times New Roman" w:eastAsia="仿宋_GB2312"/>
          <w:b/>
          <w:sz w:val="32"/>
          <w:szCs w:val="32"/>
        </w:rPr>
        <w:t>三是</w:t>
      </w:r>
      <w:r>
        <w:rPr>
          <w:rFonts w:hint="eastAsia" w:ascii="仿宋_GB2312" w:hAnsi="Times New Roman" w:eastAsia="仿宋_GB2312"/>
          <w:sz w:val="32"/>
          <w:szCs w:val="32"/>
        </w:rPr>
        <w:t>参与行政执法权限下放后的重大行政执法决定法制审核工作，确保行政执法行为合规合法；</w:t>
      </w:r>
      <w:r>
        <w:rPr>
          <w:rFonts w:hint="eastAsia" w:ascii="仿宋_GB2312" w:hAnsi="Times New Roman" w:eastAsia="仿宋_GB2312"/>
          <w:b/>
          <w:sz w:val="32"/>
          <w:szCs w:val="32"/>
        </w:rPr>
        <w:t>四是</w:t>
      </w:r>
      <w:r>
        <w:rPr>
          <w:rFonts w:hint="eastAsia" w:ascii="仿宋_GB2312" w:hAnsi="Times New Roman" w:eastAsia="仿宋_GB2312"/>
          <w:sz w:val="32"/>
          <w:szCs w:val="32"/>
        </w:rPr>
        <w:t>协助政府成功处理化解群体性、突发性社会矛盾纠纷。202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年度政府法律顾问共为街道审理合同80余件，代理行政复议</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件、行政诉讼</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接待法律咨询</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00余次。</w:t>
      </w:r>
    </w:p>
    <w:p>
      <w:pPr>
        <w:ind w:firstLine="643" w:firstLineChars="200"/>
        <w:rPr>
          <w:rFonts w:ascii="仿宋_GB2312" w:hAnsi="微软雅黑" w:eastAsia="仿宋_GB2312" w:cs="宋体"/>
          <w:color w:val="000000"/>
          <w:kern w:val="0"/>
          <w:sz w:val="32"/>
          <w:szCs w:val="32"/>
        </w:rPr>
      </w:pPr>
      <w:r>
        <w:rPr>
          <w:rFonts w:hint="eastAsia" w:ascii="仿宋_GB2312" w:eastAsia="仿宋_GB2312"/>
          <w:b/>
          <w:bCs/>
          <w:sz w:val="32"/>
          <w:szCs w:val="32"/>
          <w:lang w:val="en-US" w:eastAsia="zh-CN"/>
        </w:rPr>
        <w:t>5.健全</w:t>
      </w:r>
      <w:r>
        <w:rPr>
          <w:rFonts w:hint="eastAsia" w:ascii="仿宋_GB2312" w:hAnsi="Times New Roman" w:eastAsia="仿宋_GB2312"/>
          <w:b/>
          <w:bCs/>
          <w:sz w:val="32"/>
          <w:szCs w:val="32"/>
        </w:rPr>
        <w:t>行政决策风险评估机制。</w:t>
      </w:r>
      <w:r>
        <w:rPr>
          <w:rFonts w:hint="eastAsia" w:ascii="仿宋_GB2312" w:hAnsi="微软雅黑" w:eastAsia="仿宋_GB2312" w:cs="宋体"/>
          <w:color w:val="000000"/>
          <w:kern w:val="0"/>
          <w:sz w:val="32"/>
          <w:szCs w:val="32"/>
        </w:rPr>
        <w:t>凡有关经济社会发展和人民群众切实利益的重大决策、重大项目等决策事项，都须进行合法性、可行性评估，对可能引发的各种风险加以研判论证，提出风险等级防范措施。</w:t>
      </w:r>
    </w:p>
    <w:p>
      <w:pPr>
        <w:pStyle w:val="2"/>
        <w:ind w:left="638" w:leftChars="304"/>
        <w:rPr>
          <w:rFonts w:ascii="仿宋_GB2312" w:hAnsi="Times New Roman" w:eastAsia="仿宋_GB2312"/>
          <w:sz w:val="32"/>
          <w:szCs w:val="32"/>
        </w:rPr>
      </w:pPr>
      <w:r>
        <w:rPr>
          <w:rFonts w:hint="eastAsia" w:ascii="楷体_GB2312" w:hAnsi="楷体_GB2312" w:eastAsia="楷体_GB2312" w:cs="楷体_GB2312"/>
          <w:b/>
          <w:bCs/>
          <w:color w:val="000000"/>
          <w:kern w:val="0"/>
          <w:sz w:val="32"/>
          <w:szCs w:val="32"/>
        </w:rPr>
        <w:t>（三）做好行政执法工作，坚持严格规范公正文明执法</w:t>
      </w:r>
      <w:r>
        <w:rPr>
          <w:rFonts w:hint="eastAsia" w:ascii="仿宋_GB2312" w:hAnsi="Times New Roman" w:eastAsia="仿宋_GB2312"/>
          <w:b/>
          <w:bCs/>
          <w:sz w:val="32"/>
          <w:szCs w:val="32"/>
        </w:rPr>
        <w:t>1.加强行政执法人员管理。</w:t>
      </w:r>
      <w:r>
        <w:rPr>
          <w:rFonts w:hint="eastAsia" w:ascii="仿宋_GB2312" w:hAnsi="Times New Roman" w:eastAsia="仿宋_GB2312"/>
          <w:sz w:val="32"/>
          <w:szCs w:val="32"/>
        </w:rPr>
        <w:t>完成综合行政执法队1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名</w:t>
      </w:r>
    </w:p>
    <w:p>
      <w:pPr>
        <w:pStyle w:val="2"/>
        <w:rPr>
          <w:rFonts w:ascii="仿宋_GB2312" w:hAnsi="Times New Roman" w:eastAsia="仿宋_GB2312"/>
          <w:sz w:val="32"/>
          <w:szCs w:val="32"/>
        </w:rPr>
      </w:pPr>
      <w:r>
        <w:rPr>
          <w:rFonts w:hint="eastAsia" w:ascii="仿宋_GB2312" w:hAnsi="Times New Roman" w:eastAsia="仿宋_GB2312"/>
          <w:sz w:val="32"/>
          <w:szCs w:val="32"/>
        </w:rPr>
        <w:t>队员的统一换证工作，组织</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名队员参与行政执法考试，全面落实行政执法人员持证上岗和资格管理制度，明确未获执法资格人员不得从事执法活动；加强业务学习，全面提高执法人员业务素质，组织综合行政执法队参加区司法局“每月一讲”培训，强化执法过程中的行为准则，提升执法公信力和人民满意度。</w:t>
      </w:r>
    </w:p>
    <w:p>
      <w:pPr>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2.落实行政执法“三项制度”。</w:t>
      </w:r>
      <w:r>
        <w:rPr>
          <w:rFonts w:hint="eastAsia" w:ascii="仿宋_GB2312" w:hAnsi="微软雅黑" w:eastAsia="仿宋_GB2312" w:cs="宋体"/>
          <w:b/>
          <w:bCs/>
          <w:color w:val="000000"/>
          <w:kern w:val="0"/>
          <w:sz w:val="32"/>
          <w:szCs w:val="32"/>
          <w:lang w:eastAsia="zh-CN"/>
        </w:rPr>
        <w:t>一是</w:t>
      </w:r>
      <w:r>
        <w:rPr>
          <w:rFonts w:hint="eastAsia" w:ascii="仿宋_GB2312" w:hAnsi="微软雅黑" w:eastAsia="仿宋_GB2312" w:cs="宋体"/>
          <w:color w:val="000000"/>
          <w:kern w:val="0"/>
          <w:sz w:val="32"/>
          <w:szCs w:val="32"/>
        </w:rPr>
        <w:t>行政执法</w:t>
      </w:r>
      <w:r>
        <w:rPr>
          <w:rFonts w:hint="eastAsia" w:ascii="仿宋_GB2312" w:hAnsi="微软雅黑" w:eastAsia="仿宋_GB2312" w:cs="宋体"/>
          <w:color w:val="000000"/>
          <w:kern w:val="0"/>
          <w:sz w:val="32"/>
          <w:szCs w:val="32"/>
          <w:lang w:eastAsia="zh-CN"/>
        </w:rPr>
        <w:t>公开</w:t>
      </w:r>
      <w:r>
        <w:rPr>
          <w:rFonts w:hint="eastAsia" w:ascii="仿宋_GB2312" w:hAnsi="微软雅黑" w:eastAsia="仿宋_GB2312" w:cs="宋体"/>
          <w:color w:val="000000"/>
          <w:kern w:val="0"/>
          <w:sz w:val="32"/>
          <w:szCs w:val="32"/>
        </w:rPr>
        <w:t>信息审核发布管理工作有序推进，公示信息涵盖</w:t>
      </w:r>
      <w:r>
        <w:rPr>
          <w:rFonts w:hint="eastAsia" w:ascii="仿宋_GB2312" w:hAnsi="微软雅黑" w:eastAsia="仿宋_GB2312" w:cs="宋体"/>
          <w:color w:val="000000"/>
          <w:kern w:val="0"/>
          <w:sz w:val="32"/>
          <w:szCs w:val="32"/>
          <w:lang w:val="en-US" w:eastAsia="zh-CN"/>
        </w:rPr>
        <w:t>全年</w:t>
      </w:r>
      <w:r>
        <w:rPr>
          <w:rFonts w:hint="eastAsia" w:ascii="仿宋_GB2312" w:hAnsi="微软雅黑" w:eastAsia="仿宋_GB2312" w:cs="宋体"/>
          <w:color w:val="000000"/>
          <w:kern w:val="0"/>
          <w:sz w:val="32"/>
          <w:szCs w:val="32"/>
        </w:rPr>
        <w:t>双随机抽查结果、执法检查</w:t>
      </w:r>
      <w:r>
        <w:rPr>
          <w:rFonts w:hint="eastAsia" w:ascii="仿宋_GB2312" w:hAnsi="微软雅黑" w:eastAsia="仿宋_GB2312" w:cs="宋体"/>
          <w:color w:val="000000"/>
          <w:kern w:val="0"/>
          <w:sz w:val="32"/>
          <w:szCs w:val="32"/>
          <w:lang w:val="en-US" w:eastAsia="zh-CN"/>
        </w:rPr>
        <w:t>单</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太阳宫乡执法人员信息、新版执法证件、分级执法信息公示表、</w:t>
      </w:r>
      <w:r>
        <w:rPr>
          <w:rFonts w:hint="eastAsia" w:ascii="仿宋_GB2312" w:hAnsi="微软雅黑" w:eastAsia="仿宋_GB2312" w:cs="宋体"/>
          <w:color w:val="000000"/>
          <w:kern w:val="0"/>
          <w:sz w:val="32"/>
          <w:szCs w:val="32"/>
          <w:lang w:val="en-US" w:eastAsia="zh-CN"/>
        </w:rPr>
        <w:t>2022年全年度执法检查公示、双随机结果、行政违法行为分类目录、朝阳区乡政府权力清单等</w:t>
      </w:r>
      <w:r>
        <w:rPr>
          <w:rFonts w:hint="eastAsia" w:ascii="仿宋_GB2312" w:hAnsi="Times New Roman" w:eastAsia="仿宋_GB2312"/>
          <w:sz w:val="32"/>
          <w:szCs w:val="32"/>
        </w:rPr>
        <w:t>；</w:t>
      </w:r>
      <w:r>
        <w:rPr>
          <w:rFonts w:hint="eastAsia" w:ascii="仿宋_GB2312" w:hAnsi="微软雅黑" w:eastAsia="仿宋_GB2312" w:cs="宋体"/>
          <w:b/>
          <w:bCs/>
          <w:color w:val="000000"/>
          <w:kern w:val="0"/>
          <w:sz w:val="32"/>
          <w:szCs w:val="32"/>
          <w:lang w:eastAsia="zh-CN"/>
        </w:rPr>
        <w:t>二是</w:t>
      </w:r>
      <w:r>
        <w:rPr>
          <w:rFonts w:hint="eastAsia" w:ascii="仿宋_GB2312" w:hAnsi="微软雅黑" w:eastAsia="仿宋_GB2312" w:cs="宋体"/>
          <w:color w:val="000000"/>
          <w:kern w:val="0"/>
          <w:sz w:val="32"/>
          <w:szCs w:val="32"/>
          <w:lang w:val="en-US" w:eastAsia="zh-CN"/>
        </w:rPr>
        <w:t>规范案卷制作方面，组织参与区司法局开展的“北京市行政处罚案卷标准解读培训会”，在对比新旧行政处罚案卷标准中加深学习，深化执法案卷记录工作规范和标准；</w:t>
      </w:r>
      <w:r>
        <w:rPr>
          <w:rFonts w:hint="eastAsia" w:ascii="仿宋_GB2312" w:hAnsi="微软雅黑" w:eastAsia="仿宋_GB2312" w:cs="宋体"/>
          <w:b/>
          <w:bCs/>
          <w:color w:val="000000"/>
          <w:kern w:val="0"/>
          <w:sz w:val="32"/>
          <w:szCs w:val="32"/>
          <w:lang w:val="en-US" w:eastAsia="zh-CN"/>
        </w:rPr>
        <w:t>三是</w:t>
      </w:r>
      <w:r>
        <w:rPr>
          <w:rFonts w:hint="eastAsia" w:ascii="Times New Roman" w:hAnsi="Times New Roman" w:eastAsia="仿宋_GB2312" w:cs="Times New Roman"/>
          <w:b w:val="0"/>
          <w:bCs w:val="0"/>
          <w:kern w:val="2"/>
          <w:sz w:val="32"/>
          <w:szCs w:val="32"/>
          <w:lang w:val="en-US" w:eastAsia="zh-CN"/>
        </w:rPr>
        <w:t>加强行政执法人员管理。组织3名队员参与行政执法考试，完成18名队员的统一换证工作，办理1名退休执法队员的证件销毁和2名执法队员的转岗离任的证件留存，全面落实行政执法人员持证上岗和资格管理制度，明确未获执法资格人员不得从事执法活动，确保“一人一证”，坚决杜绝“持双证”执法。</w:t>
      </w:r>
    </w:p>
    <w:p>
      <w:pPr>
        <w:ind w:left="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强化对行政权力的监督，助推法治政府建设</w:t>
      </w:r>
    </w:p>
    <w:p>
      <w:pPr>
        <w:pStyle w:val="2"/>
        <w:ind w:firstLine="643" w:firstLineChars="200"/>
        <w:rPr>
          <w:rFonts w:ascii="仿宋_GB2312" w:hAnsi="Times New Roman" w:eastAsia="仿宋_GB2312"/>
          <w:sz w:val="32"/>
          <w:szCs w:val="32"/>
        </w:rPr>
      </w:pPr>
      <w:r>
        <w:rPr>
          <w:rFonts w:hint="eastAsia" w:ascii="仿宋_GB2312" w:hAnsi="Times New Roman" w:eastAsia="仿宋_GB2312" w:cs="Times New Roman"/>
          <w:b/>
          <w:sz w:val="32"/>
          <w:szCs w:val="32"/>
        </w:rPr>
        <w:t>1.接受党内监督。</w:t>
      </w:r>
      <w:r>
        <w:rPr>
          <w:rFonts w:hint="eastAsia" w:ascii="仿宋_GB2312" w:hAnsi="Times New Roman" w:eastAsia="仿宋_GB2312" w:cs="Times New Roman"/>
          <w:b/>
          <w:color w:val="000000" w:themeColor="text1"/>
          <w:sz w:val="32"/>
          <w:szCs w:val="32"/>
        </w:rPr>
        <w:t>一是</w:t>
      </w:r>
      <w:r>
        <w:rPr>
          <w:rFonts w:hint="eastAsia" w:ascii="仿宋_GB2312" w:hAnsi="Times New Roman" w:eastAsia="仿宋_GB2312" w:cs="Times New Roman"/>
          <w:color w:val="000000" w:themeColor="text1"/>
          <w:sz w:val="32"/>
          <w:szCs w:val="32"/>
        </w:rPr>
        <w:t>坚持全面从严治党，加强党风廉政建设，</w:t>
      </w:r>
      <w:r>
        <w:rPr>
          <w:rFonts w:hint="eastAsia" w:ascii="仿宋_GB2312" w:hAnsi="Times New Roman" w:eastAsia="仿宋_GB2312" w:cs="Times New Roman"/>
          <w:color w:val="000000" w:themeColor="text1"/>
          <w:sz w:val="32"/>
          <w:szCs w:val="32"/>
          <w:lang w:val="en-US" w:eastAsia="zh-CN"/>
        </w:rPr>
        <w:t>于年初部署全年</w:t>
      </w:r>
      <w:r>
        <w:rPr>
          <w:rFonts w:hint="eastAsia" w:ascii="仿宋_GB2312" w:hAnsi="Times New Roman" w:eastAsia="仿宋_GB2312"/>
          <w:sz w:val="32"/>
          <w:szCs w:val="32"/>
        </w:rPr>
        <w:t>党风廉政建设工作，对本年度党风廉政建设和反腐败工作作出重要部署，全力抓好党风廉政建设责任制的落实</w:t>
      </w:r>
      <w:r>
        <w:rPr>
          <w:rFonts w:hint="eastAsia" w:ascii="仿宋_GB2312" w:hAnsi="Times New Roman" w:eastAsia="仿宋_GB2312" w:cs="Times New Roman"/>
          <w:color w:val="000000" w:themeColor="text1"/>
          <w:sz w:val="32"/>
          <w:szCs w:val="32"/>
        </w:rPr>
        <w:t>，制定全面从严治党主体责任清单，召开处级领导班子全面从严治党主体责任落实情况逐级汇报会，推动主体责任落实；</w:t>
      </w:r>
      <w:r>
        <w:rPr>
          <w:rFonts w:hint="eastAsia" w:ascii="仿宋_GB2312" w:hAnsi="Times New Roman" w:eastAsia="仿宋_GB2312" w:cs="Times New Roman"/>
          <w:b/>
          <w:color w:val="000000" w:themeColor="text1"/>
          <w:sz w:val="32"/>
          <w:szCs w:val="32"/>
        </w:rPr>
        <w:t>二是</w:t>
      </w:r>
      <w:r>
        <w:rPr>
          <w:rFonts w:hint="eastAsia" w:ascii="仿宋_GB2312" w:hAnsi="Times New Roman" w:eastAsia="仿宋_GB2312" w:cs="Times New Roman"/>
          <w:color w:val="000000" w:themeColor="text1"/>
          <w:sz w:val="32"/>
          <w:szCs w:val="32"/>
        </w:rPr>
        <w:t>持续巩固和深化作风建设成果，紧盯传统节日等重要节点，组织观看廉政专题片、通报违纪案件案例、开展“以案为鉴、以案促改”警示教育宣传活动；</w:t>
      </w:r>
      <w:r>
        <w:rPr>
          <w:rFonts w:hint="eastAsia" w:ascii="仿宋_GB2312" w:hAnsi="Times New Roman" w:eastAsia="仿宋_GB2312"/>
          <w:b/>
          <w:sz w:val="32"/>
          <w:szCs w:val="32"/>
        </w:rPr>
        <w:t>三是</w:t>
      </w:r>
      <w:r>
        <w:rPr>
          <w:rFonts w:hint="eastAsia" w:ascii="仿宋_GB2312" w:hAnsi="Times New Roman" w:eastAsia="仿宋_GB2312"/>
          <w:sz w:val="32"/>
          <w:szCs w:val="32"/>
        </w:rPr>
        <w:t>完善监督机制。以党风廉政建设为牵引，强化内部廉政风险防控，动态管理权责清单。采取设置意见箱、召开民主座谈会、开展组织谈话等多种办法，完成自我监督，听取群众意见，接受群众监督。充分运用监督执纪“第一种形态”，对苗头性、倾向性问题及时开展提醒谈话，切实将问题消灭在萌芽状态。</w:t>
      </w:r>
    </w:p>
    <w:p>
      <w:pPr>
        <w:pStyle w:val="7"/>
        <w:shd w:val="clear" w:color="auto" w:fill="FFFFFF"/>
        <w:spacing w:before="0" w:beforeAutospacing="0" w:after="0" w:afterAutospacing="0"/>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2.接受人大监督。</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加强平台建设。依托“太阳宫地区人大代表之家”完成政策法律宣传、意见征集、学习研讨提出议案三大主要职能实现人大代表密切联系选民、接受选民监督目的；</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开展代表集中联系选民月</w:t>
      </w:r>
      <w:r>
        <w:rPr>
          <w:rFonts w:hint="eastAsia" w:ascii="仿宋_GB2312" w:hAnsi="仿宋_GB2312" w:eastAsia="仿宋_GB2312" w:cs="仿宋_GB2312"/>
          <w:sz w:val="32"/>
          <w:szCs w:val="32"/>
          <w:lang w:val="en-US" w:eastAsia="zh-CN"/>
        </w:rPr>
        <w:t>暨“万民代表下基层”活动，结合实际，采取“一上一下”形式，“一上”即走进人大代表之家，立法联络站，“一下”即下沉四个人大代表工作室（芍一、夏家园、太阳宫、乡联社），号召区、乡两级代表、地区相关职能部门及选民代表就《北京城市更新条例》（草案）、《北京市节水条例》（草案）方面和群众关心关注的《北京市接诉即办工作条例》情况、《北京市物业管理条例》工作情况、义务教育“双减”工作情况、老旧小区改造、社区治理共建共享等问题建言献策；</w:t>
      </w:r>
      <w:r>
        <w:rPr>
          <w:rFonts w:hint="eastAsia" w:ascii="仿宋_GB2312" w:hAnsi="仿宋_GB2312" w:eastAsia="仿宋_GB2312" w:cs="仿宋_GB2312"/>
          <w:b/>
          <w:bCs/>
          <w:kern w:val="2"/>
          <w:sz w:val="32"/>
          <w:szCs w:val="32"/>
          <w:lang w:val="en-US" w:eastAsia="zh-CN"/>
        </w:rPr>
        <w:t>三是</w:t>
      </w:r>
      <w:r>
        <w:rPr>
          <w:rFonts w:hint="eastAsia" w:ascii="仿宋_GB2312" w:hAnsi="仿宋_GB2312" w:eastAsia="仿宋_GB2312" w:cs="仿宋_GB2312"/>
          <w:kern w:val="2"/>
          <w:sz w:val="32"/>
          <w:szCs w:val="32"/>
          <w:lang w:val="en-US" w:eastAsia="zh-CN"/>
        </w:rPr>
        <w:t>每年向乡人大汇报法治政府建设情况，接受人大对于法治政府建设情况的监督。</w:t>
      </w:r>
    </w:p>
    <w:p>
      <w:pPr>
        <w:ind w:firstLine="643" w:firstLineChars="200"/>
        <w:rPr>
          <w:rFonts w:ascii="仿宋" w:hAnsi="仿宋" w:eastAsia="仿宋" w:cs="仿宋"/>
          <w:sz w:val="32"/>
          <w:szCs w:val="32"/>
        </w:rPr>
      </w:pPr>
      <w:r>
        <w:rPr>
          <w:rFonts w:hint="eastAsia" w:ascii="仿宋_GB2312" w:eastAsia="仿宋_GB2312" w:cs="Times New Roman"/>
          <w:b/>
          <w:sz w:val="32"/>
          <w:szCs w:val="32"/>
        </w:rPr>
        <w:t>3</w:t>
      </w:r>
      <w:r>
        <w:rPr>
          <w:rFonts w:hint="eastAsia" w:ascii="仿宋_GB2312" w:hAnsi="Times New Roman" w:eastAsia="仿宋_GB2312" w:cs="Times New Roman"/>
          <w:b/>
          <w:sz w:val="32"/>
          <w:szCs w:val="32"/>
        </w:rPr>
        <w:t>.全面推进政务公开</w:t>
      </w:r>
      <w:r>
        <w:rPr>
          <w:rFonts w:hint="eastAsia" w:ascii="仿宋_GB2312" w:eastAsia="仿宋_GB2312" w:cs="Times New Roman"/>
          <w:b/>
          <w:sz w:val="32"/>
          <w:szCs w:val="32"/>
        </w:rPr>
        <w:t>信息公开</w:t>
      </w:r>
      <w:r>
        <w:rPr>
          <w:rFonts w:hint="eastAsia" w:ascii="仿宋_GB2312" w:hAnsi="Times New Roman" w:eastAsia="仿宋_GB2312" w:cs="Times New Roman"/>
          <w:b/>
          <w:sz w:val="32"/>
          <w:szCs w:val="32"/>
        </w:rPr>
        <w:t>。</w:t>
      </w:r>
      <w:r>
        <w:rPr>
          <w:rFonts w:hint="eastAsia" w:ascii="仿宋_GB2312" w:hAnsi="微软雅黑" w:eastAsia="仿宋_GB2312" w:cs="宋体"/>
          <w:color w:val="000000"/>
          <w:kern w:val="0"/>
          <w:sz w:val="32"/>
          <w:szCs w:val="32"/>
        </w:rPr>
        <w:t>编纂政府信息公开目录，</w:t>
      </w:r>
      <w:r>
        <w:rPr>
          <w:rFonts w:ascii="仿宋_GB2312" w:hAnsi="仿宋_GB2312" w:eastAsia="仿宋_GB2312" w:cs="仿宋_GB2312"/>
          <w:sz w:val="32"/>
          <w:szCs w:val="32"/>
          <w:shd w:val="clear" w:color="auto" w:fill="FFFFFF"/>
        </w:rPr>
        <w:t>明确公告公示的具体内容、时间要求和工作程序，</w:t>
      </w:r>
      <w:r>
        <w:rPr>
          <w:rFonts w:hint="eastAsia" w:ascii="仿宋_GB2312" w:hAnsi="仿宋_GB2312" w:eastAsia="仿宋_GB2312" w:cs="仿宋_GB2312"/>
          <w:sz w:val="32"/>
          <w:szCs w:val="32"/>
          <w:shd w:val="clear" w:color="auto" w:fill="FFFFFF"/>
        </w:rPr>
        <w:t>加大政务公开和信息公开力度，全力打造公开型、服务型、高效型政府。我乡政府置信息主动公开清单于政务服务网并长期公示，</w:t>
      </w:r>
      <w:r>
        <w:rPr>
          <w:rFonts w:ascii="仿宋_GB2312" w:hAnsi="仿宋_GB2312" w:eastAsia="仿宋_GB2312" w:cs="仿宋_GB2312"/>
          <w:sz w:val="32"/>
          <w:szCs w:val="32"/>
          <w:shd w:val="clear" w:color="auto" w:fill="FFFFFF"/>
        </w:rPr>
        <w:t>为社会</w:t>
      </w:r>
      <w:r>
        <w:rPr>
          <w:rFonts w:hint="eastAsia" w:ascii="仿宋_GB2312" w:hAnsi="仿宋_GB2312" w:eastAsia="仿宋_GB2312" w:cs="仿宋_GB2312"/>
          <w:sz w:val="32"/>
          <w:szCs w:val="32"/>
          <w:shd w:val="clear" w:color="auto" w:fill="FFFFFF"/>
        </w:rPr>
        <w:t>公众</w:t>
      </w:r>
      <w:r>
        <w:rPr>
          <w:rFonts w:ascii="仿宋_GB2312" w:hAnsi="仿宋_GB2312" w:eastAsia="仿宋_GB2312" w:cs="仿宋_GB2312"/>
          <w:sz w:val="32"/>
          <w:szCs w:val="32"/>
          <w:shd w:val="clear" w:color="auto" w:fill="FFFFFF"/>
        </w:rPr>
        <w:t>提供丰富、准确、详实的政府信息资源</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做好政府信息公开申请办理工作，推动依申请公开向主动公开转化，及时更新政府信息公开指南和目录，提高、政府信息公开年度报告编制质量。</w:t>
      </w:r>
    </w:p>
    <w:p>
      <w:pPr>
        <w:pStyle w:val="7"/>
        <w:shd w:val="clear" w:color="auto" w:fill="FFFFFF"/>
        <w:spacing w:before="0" w:beforeAutospacing="0" w:after="0" w:afterAutospacing="0"/>
        <w:ind w:firstLine="643" w:firstLineChars="200"/>
        <w:jc w:val="both"/>
        <w:rPr>
          <w:rFonts w:ascii="仿宋_GB2312" w:hAnsi="Times New Roman" w:eastAsia="仿宋_GB2312" w:cstheme="minorBidi"/>
          <w:b/>
          <w:bCs/>
          <w:kern w:val="2"/>
          <w:sz w:val="32"/>
          <w:szCs w:val="32"/>
        </w:rPr>
      </w:pPr>
      <w:r>
        <w:rPr>
          <w:rFonts w:hint="eastAsia" w:ascii="楷体_GB2312" w:hAnsi="楷体_GB2312" w:eastAsia="楷体_GB2312" w:cs="楷体_GB2312"/>
          <w:b/>
          <w:bCs/>
          <w:kern w:val="2"/>
          <w:sz w:val="32"/>
          <w:szCs w:val="32"/>
        </w:rPr>
        <w:t>（五）全力化解矛盾纠纷，切实维护人民群众合法权益</w:t>
      </w:r>
    </w:p>
    <w:p>
      <w:pPr>
        <w:pStyle w:val="7"/>
        <w:spacing w:before="0" w:beforeAutospacing="0" w:after="0" w:afterAutospacing="0" w:line="450" w:lineRule="atLeast"/>
        <w:ind w:firstLine="643" w:firstLineChars="200"/>
        <w:jc w:val="both"/>
        <w:rPr>
          <w:rFonts w:hint="default"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FFFFFF"/>
        </w:rPr>
        <w:t>1.加强信访和多元调解工作。</w:t>
      </w:r>
      <w:r>
        <w:rPr>
          <w:rFonts w:hint="eastAsia" w:ascii="仿宋_GB2312" w:hAnsi="仿宋_GB2312" w:eastAsia="仿宋_GB2312" w:cs="仿宋_GB2312"/>
          <w:kern w:val="2"/>
          <w:sz w:val="32"/>
          <w:szCs w:val="32"/>
          <w:shd w:val="clear" w:color="auto" w:fill="FFFFFF"/>
        </w:rPr>
        <w:t>以多元调解矛盾纠纷为切入点，着力健全矛盾纠纷化解机制，坚持运用法治思维和法治方式解决信访问题；推进诉前调解与人民调解对接，人民调解与行政调解衔接，完善人民调解、行政调解、司法调解联动工作体系。做好行政复议案件的答复工作，充分发挥行政复议在解决行政争议中的重要作用。贯彻落实《人民调解法》，健全人民调解组织网络，</w:t>
      </w:r>
      <w:r>
        <w:rPr>
          <w:rFonts w:hint="eastAsia" w:ascii="仿宋_GB2312" w:hAnsi="仿宋_GB2312" w:eastAsia="仿宋_GB2312" w:cs="仿宋_GB2312"/>
          <w:kern w:val="2"/>
          <w:sz w:val="32"/>
          <w:szCs w:val="32"/>
          <w:shd w:val="clear" w:color="auto" w:fill="FFFFFF"/>
          <w:lang w:val="en-US" w:eastAsia="zh-CN"/>
        </w:rPr>
        <w:t>于今年完成</w:t>
      </w:r>
      <w:r>
        <w:rPr>
          <w:rFonts w:hint="eastAsia" w:ascii="仿宋_GB2312" w:hAnsi="仿宋_GB2312" w:eastAsia="仿宋_GB2312" w:cs="仿宋_GB2312"/>
          <w:kern w:val="2"/>
          <w:sz w:val="32"/>
          <w:szCs w:val="32"/>
          <w:shd w:val="clear" w:color="auto" w:fill="FFFFFF"/>
        </w:rPr>
        <w:t>12个社区居委会人民调解组织</w:t>
      </w:r>
      <w:r>
        <w:rPr>
          <w:rFonts w:hint="eastAsia" w:ascii="仿宋_GB2312" w:hAnsi="仿宋_GB2312" w:eastAsia="仿宋_GB2312" w:cs="仿宋_GB2312"/>
          <w:kern w:val="2"/>
          <w:sz w:val="32"/>
          <w:szCs w:val="32"/>
          <w:shd w:val="clear" w:color="auto" w:fill="FFFFFF"/>
          <w:lang w:val="en-US" w:eastAsia="zh-CN"/>
        </w:rPr>
        <w:t>的换届工作</w:t>
      </w:r>
      <w:r>
        <w:rPr>
          <w:rFonts w:hint="eastAsia" w:ascii="仿宋_GB2312" w:hAnsi="仿宋_GB2312" w:eastAsia="仿宋_GB2312" w:cs="仿宋_GB2312"/>
          <w:kern w:val="2"/>
          <w:sz w:val="32"/>
          <w:szCs w:val="32"/>
          <w:shd w:val="clear" w:color="auto" w:fill="FFFFFF"/>
        </w:rPr>
        <w:t>，配齐配强乡人民调解委员会力量，鼓励村居法律顾问参与纠纷调解和业务指导</w:t>
      </w:r>
      <w:r>
        <w:rPr>
          <w:rFonts w:hint="eastAsia" w:ascii="仿宋_GB2312" w:hAnsi="仿宋_GB2312" w:eastAsia="仿宋_GB2312" w:cs="仿宋_GB2312"/>
          <w:kern w:val="2"/>
          <w:sz w:val="32"/>
          <w:szCs w:val="32"/>
          <w:shd w:val="clear" w:color="auto" w:fill="FFFFFF"/>
          <w:lang w:eastAsia="zh-CN"/>
        </w:rPr>
        <w:t>。</w:t>
      </w:r>
      <w:r>
        <w:rPr>
          <w:rFonts w:hint="eastAsia" w:ascii="仿宋_GB2312" w:hAnsi="仿宋_GB2312" w:eastAsia="仿宋_GB2312" w:cs="仿宋_GB2312"/>
          <w:kern w:val="2"/>
          <w:sz w:val="32"/>
          <w:szCs w:val="32"/>
          <w:shd w:val="clear" w:color="auto" w:fill="FFFFFF"/>
          <w:lang w:val="en-US" w:eastAsia="zh-CN"/>
        </w:rPr>
        <w:t>探索矛盾纠纷源头化解调处新机制，大力推动矛盾纠纷化解分平台建设，于地区设立“矛盾调解分平台”，将专业力量与行业规范充分结合，将人民调解与诉前调解充分结合，</w:t>
      </w:r>
      <w:r>
        <w:rPr>
          <w:rFonts w:hint="eastAsia" w:ascii="仿宋_GB2312" w:eastAsia="仿宋_GB2312"/>
          <w:sz w:val="32"/>
          <w:szCs w:val="32"/>
        </w:rPr>
        <w:t>遇有重大矛盾纠纷，司法、信访、城乡、纪检、综合执法等部门</w:t>
      </w:r>
      <w:r>
        <w:rPr>
          <w:rFonts w:hint="eastAsia" w:ascii="仿宋_GB2312" w:eastAsia="仿宋_GB2312"/>
          <w:sz w:val="32"/>
          <w:szCs w:val="32"/>
          <w:lang w:val="en-US" w:eastAsia="zh-CN"/>
        </w:rPr>
        <w:t>共同协商，</w:t>
      </w:r>
      <w:r>
        <w:rPr>
          <w:rFonts w:hint="eastAsia" w:ascii="仿宋_GB2312" w:hAnsi="仿宋_GB2312" w:eastAsia="仿宋_GB2312" w:cs="仿宋_GB2312"/>
          <w:kern w:val="2"/>
          <w:sz w:val="32"/>
          <w:szCs w:val="32"/>
          <w:shd w:val="clear" w:color="auto" w:fill="FFFFFF"/>
          <w:lang w:val="en-US" w:eastAsia="zh-CN"/>
        </w:rPr>
        <w:t>实现</w:t>
      </w:r>
      <w:r>
        <w:rPr>
          <w:rFonts w:hint="eastAsia" w:ascii="仿宋_GB2312" w:eastAsia="仿宋_GB2312"/>
          <w:sz w:val="32"/>
          <w:szCs w:val="32"/>
        </w:rPr>
        <w:t>多主体参与、多领域汇集，打破各管一块、各自为战的传统做法，</w:t>
      </w:r>
      <w:r>
        <w:rPr>
          <w:rFonts w:hint="eastAsia" w:ascii="仿宋_GB2312" w:eastAsia="仿宋_GB2312"/>
          <w:sz w:val="32"/>
          <w:szCs w:val="32"/>
          <w:lang w:val="en-US" w:eastAsia="zh-CN"/>
        </w:rPr>
        <w:t>将接诉即办与人民调解充分融合，实现早矛盾一步化解矛盾。</w:t>
      </w:r>
    </w:p>
    <w:p>
      <w:pPr>
        <w:widowControl/>
        <w:autoSpaceDE w:val="0"/>
        <w:adjustRightInd w:val="0"/>
        <w:snapToGrid w:val="0"/>
        <w:spacing w:line="560" w:lineRule="exact"/>
        <w:ind w:firstLine="643" w:firstLineChars="200"/>
        <w:jc w:val="left"/>
        <w:rPr>
          <w:rFonts w:ascii="仿宋_GB2312" w:hAnsi="Times New Roman" w:eastAsia="仿宋_GB2312" w:cs="Times New Roman"/>
          <w:sz w:val="32"/>
          <w:szCs w:val="32"/>
        </w:rPr>
      </w:pPr>
      <w:r>
        <w:rPr>
          <w:rFonts w:hint="eastAsia" w:ascii="仿宋_GB2312" w:hAnsi="仿宋_GB2312" w:eastAsia="仿宋_GB2312" w:cs="仿宋_GB2312"/>
          <w:b/>
          <w:bCs/>
          <w:sz w:val="32"/>
          <w:szCs w:val="32"/>
          <w:shd w:val="clear" w:color="auto" w:fill="FFFFFF"/>
        </w:rPr>
        <w:t>2.</w:t>
      </w:r>
      <w:r>
        <w:rPr>
          <w:rFonts w:ascii="仿宋_GB2312" w:hAnsi="仿宋_GB2312" w:eastAsia="仿宋_GB2312" w:cs="仿宋_GB2312"/>
          <w:b/>
          <w:bCs/>
          <w:sz w:val="32"/>
          <w:szCs w:val="32"/>
          <w:shd w:val="clear" w:color="auto" w:fill="FFFFFF"/>
        </w:rPr>
        <w:t>加强行政复议、应诉工作。</w:t>
      </w:r>
      <w:r>
        <w:rPr>
          <w:rFonts w:hint="eastAsia" w:ascii="仿宋_GB2312" w:hAnsi="仿宋" w:eastAsia="仿宋_GB2312" w:cs="华文仿宋"/>
          <w:color w:val="000000"/>
          <w:sz w:val="32"/>
          <w:szCs w:val="32"/>
          <w:shd w:val="clear" w:color="auto" w:fill="FFFFFF"/>
        </w:rPr>
        <w:t>严格按照《行政诉讼法</w:t>
      </w:r>
      <w:r>
        <w:rPr>
          <w:rFonts w:hint="eastAsia" w:ascii="仿宋_GB2312" w:hAnsi="仿宋" w:eastAsia="仿宋_GB2312" w:cs="华文仿宋"/>
          <w:color w:val="000000"/>
          <w:sz w:val="32"/>
          <w:szCs w:val="32"/>
          <w:shd w:val="clear" w:color="auto" w:fill="FFFFFF"/>
          <w:lang w:eastAsia="zh-CN"/>
        </w:rPr>
        <w:t>》《</w:t>
      </w:r>
      <w:r>
        <w:rPr>
          <w:rFonts w:hint="eastAsia" w:ascii="仿宋_GB2312" w:hAnsi="仿宋" w:eastAsia="仿宋_GB2312" w:cs="华文仿宋"/>
          <w:color w:val="000000"/>
          <w:sz w:val="32"/>
          <w:szCs w:val="32"/>
          <w:shd w:val="clear" w:color="auto" w:fill="FFFFFF"/>
        </w:rPr>
        <w:t>行政复议法</w:t>
      </w:r>
      <w:r>
        <w:rPr>
          <w:rFonts w:hint="eastAsia" w:ascii="仿宋_GB2312" w:hAnsi="仿宋" w:eastAsia="仿宋_GB2312" w:cs="华文仿宋"/>
          <w:color w:val="000000"/>
          <w:sz w:val="32"/>
          <w:szCs w:val="32"/>
          <w:shd w:val="clear" w:color="auto" w:fill="FFFFFF"/>
          <w:lang w:eastAsia="zh-CN"/>
        </w:rPr>
        <w:t>》《</w:t>
      </w:r>
      <w:r>
        <w:rPr>
          <w:rFonts w:hint="eastAsia" w:ascii="仿宋_GB2312" w:hAnsi="仿宋" w:eastAsia="仿宋_GB2312" w:cs="华文仿宋"/>
          <w:color w:val="000000"/>
          <w:sz w:val="32"/>
          <w:szCs w:val="32"/>
          <w:shd w:val="clear" w:color="auto" w:fill="FFFFFF"/>
        </w:rPr>
        <w:t>北京市人民政府办公厅关于加强和改进行政应诉工作的实施意见》（京政办发[2016]59号）以及北京市行政机关负责人出庭应诉相关文件规定处理行政案件，认真落实行政机关出庭应诉相关规定，</w:t>
      </w:r>
      <w:r>
        <w:rPr>
          <w:rFonts w:ascii="仿宋_GB2312" w:hAnsi="仿宋" w:eastAsia="仿宋_GB2312" w:cs="华文仿宋"/>
          <w:color w:val="000000"/>
          <w:sz w:val="32"/>
          <w:szCs w:val="32"/>
          <w:shd w:val="clear" w:color="auto" w:fill="FFFFFF"/>
        </w:rPr>
        <w:t>积极配合公检法等部门完成调查取证工作</w:t>
      </w:r>
      <w:r>
        <w:rPr>
          <w:rFonts w:hint="eastAsia" w:ascii="仿宋_GB2312" w:hAnsi="仿宋" w:eastAsia="仿宋_GB2312" w:cs="华文仿宋"/>
          <w:color w:val="000000"/>
          <w:sz w:val="32"/>
          <w:szCs w:val="32"/>
          <w:shd w:val="clear" w:color="auto" w:fill="FFFFFF"/>
        </w:rPr>
        <w:t>。202</w:t>
      </w:r>
      <w:r>
        <w:rPr>
          <w:rFonts w:hint="eastAsia" w:ascii="仿宋_GB2312" w:hAnsi="仿宋" w:eastAsia="仿宋_GB2312" w:cs="华文仿宋"/>
          <w:color w:val="000000"/>
          <w:sz w:val="32"/>
          <w:szCs w:val="32"/>
          <w:shd w:val="clear" w:color="auto" w:fill="FFFFFF"/>
          <w:lang w:val="en-US" w:eastAsia="zh-CN"/>
        </w:rPr>
        <w:t>2</w:t>
      </w:r>
      <w:r>
        <w:rPr>
          <w:rFonts w:hint="eastAsia" w:ascii="仿宋_GB2312" w:hAnsi="仿宋" w:eastAsia="仿宋_GB2312" w:cs="华文仿宋"/>
          <w:color w:val="000000"/>
          <w:sz w:val="32"/>
          <w:szCs w:val="32"/>
          <w:shd w:val="clear" w:color="auto" w:fill="FFFFFF"/>
        </w:rPr>
        <w:t>年乡政府应诉行政诉讼</w:t>
      </w:r>
      <w:r>
        <w:rPr>
          <w:rFonts w:hint="eastAsia" w:ascii="仿宋_GB2312" w:hAnsi="仿宋" w:eastAsia="仿宋_GB2312" w:cs="华文仿宋"/>
          <w:color w:val="000000"/>
          <w:sz w:val="32"/>
          <w:szCs w:val="32"/>
          <w:shd w:val="clear" w:color="auto" w:fill="FFFFFF"/>
          <w:lang w:val="en-US" w:eastAsia="zh-CN"/>
        </w:rPr>
        <w:t>3</w:t>
      </w:r>
      <w:r>
        <w:rPr>
          <w:rFonts w:hint="eastAsia" w:ascii="仿宋_GB2312" w:hAnsi="仿宋" w:eastAsia="仿宋_GB2312" w:cs="华文仿宋"/>
          <w:color w:val="000000"/>
          <w:sz w:val="32"/>
          <w:szCs w:val="32"/>
          <w:shd w:val="clear" w:color="auto" w:fill="FFFFFF"/>
        </w:rPr>
        <w:t>件，接收行政复议</w:t>
      </w:r>
      <w:r>
        <w:rPr>
          <w:rFonts w:hint="eastAsia" w:ascii="仿宋_GB2312" w:hAnsi="仿宋" w:eastAsia="仿宋_GB2312" w:cs="华文仿宋"/>
          <w:color w:val="000000"/>
          <w:sz w:val="32"/>
          <w:szCs w:val="32"/>
          <w:shd w:val="clear" w:color="auto" w:fill="FFFFFF"/>
          <w:lang w:val="en-US" w:eastAsia="zh-CN"/>
        </w:rPr>
        <w:t>2</w:t>
      </w:r>
      <w:r>
        <w:rPr>
          <w:rFonts w:hint="eastAsia" w:ascii="仿宋_GB2312" w:hAnsi="仿宋" w:eastAsia="仿宋_GB2312" w:cs="华文仿宋"/>
          <w:color w:val="000000"/>
          <w:sz w:val="32"/>
          <w:szCs w:val="32"/>
          <w:shd w:val="clear" w:color="auto" w:fill="FFFFFF"/>
        </w:rPr>
        <w:t>件，本年度未有败诉案件，</w:t>
      </w:r>
      <w:r>
        <w:rPr>
          <w:rFonts w:ascii="仿宋_GB2312" w:hAnsi="Times New Roman" w:eastAsia="仿宋_GB2312" w:cs="Times New Roman"/>
          <w:sz w:val="32"/>
          <w:szCs w:val="32"/>
        </w:rPr>
        <w:t>行政机关负责人安排出庭</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次，出庭次数安排达到行政诉讼案件行政机关负责人出庭应诉要求</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我乡严格依照法定程序、法定时限规范应诉行为，落实行政机关负责人出庭应诉制度，严格遵守庭审要求，及时执行法院生效的裁判文书。</w:t>
      </w:r>
    </w:p>
    <w:p>
      <w:pPr>
        <w:ind w:firstLine="643" w:firstLineChars="200"/>
        <w:jc w:val="left"/>
      </w:pPr>
      <w:r>
        <w:rPr>
          <w:rFonts w:hint="eastAsia" w:ascii="仿宋_GB2312" w:hAnsi="Times New Roman" w:eastAsia="仿宋_GB2312" w:cs="Times New Roman"/>
          <w:b/>
          <w:bCs/>
          <w:sz w:val="32"/>
          <w:szCs w:val="32"/>
        </w:rPr>
        <w:t>3.加大法治宣传力度。</w:t>
      </w:r>
      <w:r>
        <w:rPr>
          <w:rFonts w:hint="eastAsia" w:ascii="仿宋_GB2312" w:hAnsi="仿宋_GB2312" w:eastAsia="仿宋_GB2312" w:cs="仿宋_GB2312"/>
          <w:sz w:val="32"/>
          <w:szCs w:val="32"/>
        </w:rPr>
        <w:t>紧紧围绕法治政府建设总体目标要求，不断推进普法宣传向纵深发展。</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以《宪法》和基本法为重点，围绕法律“十进”开展全方位、多层次的普法送法活动，在普法形式上，以现代媒体扩大普法教育覆盖面，形成了覆盖全地区的普法宣传教育格局；</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不断丰富普法内容，总结、巩固和发展地区普法宣传教育成果。充分利用法律服务工作站（室）的作用，在各社区（村）广泛开展普法宣传教育活动，并为居民提供各种法律服务，最大限度满足了地区居民的法律需求，以规范法律顾问工作和完善涉诉矛盾纠纷管理制度为抓手，不断推进普法与依法治理建设进程；</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推动“谁执法谁普法 谁主管谁普法 谁服务谁普法”</w:t>
      </w:r>
      <w:r>
        <w:rPr>
          <w:rFonts w:hint="eastAsia" w:ascii="仿宋_GB2312" w:hAnsi="仿宋_GB2312" w:eastAsia="仿宋_GB2312" w:cs="仿宋_GB2312"/>
          <w:sz w:val="32"/>
          <w:szCs w:val="32"/>
          <w:lang w:eastAsia="zh-CN"/>
        </w:rPr>
        <w:t>普法</w:t>
      </w:r>
      <w:r>
        <w:rPr>
          <w:rFonts w:hint="eastAsia" w:ascii="仿宋_GB2312" w:hAnsi="仿宋_GB2312" w:eastAsia="仿宋_GB2312" w:cs="仿宋_GB2312"/>
          <w:sz w:val="32"/>
          <w:szCs w:val="32"/>
        </w:rPr>
        <w:t>责任制落实，明确各执法部门具体普法“责任田”，各普法责任主体利用法律颁布实施日、重要节日等时间节点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通过举办法治讲座、法律知识竞赛、法律咨询、播放法治电影等形式开展“法律十进”活动。</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推动民主法治示范社区建设工作，完成太阳宫社区民主法治示范社区的申报，用局部实践有效带动普法工作的整体推进。全年，全地区举办普法知识讲座</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0余场，宣传活动</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0余场，参与居民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000余人次，累计张贴宣传海报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00余张，发放宣传材料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0000余份，提供法律咨询</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00余人次。</w:t>
      </w:r>
    </w:p>
    <w:p>
      <w:pPr>
        <w:pStyle w:val="7"/>
        <w:shd w:val="clear" w:color="auto" w:fill="FFFFFF"/>
        <w:spacing w:before="0" w:beforeAutospacing="0" w:after="0" w:afterAutospacing="0"/>
        <w:ind w:firstLine="643" w:firstLineChars="20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w:t>
      </w:r>
      <w:r>
        <w:rPr>
          <w:rFonts w:hint="eastAsia" w:ascii="楷体_GB2312" w:hAnsi="楷体_GB2312" w:eastAsia="楷体_GB2312" w:cs="楷体_GB2312"/>
          <w:b/>
          <w:bCs/>
          <w:kern w:val="2"/>
          <w:sz w:val="32"/>
          <w:szCs w:val="32"/>
          <w:lang w:val="en-US" w:eastAsia="zh-CN"/>
        </w:rPr>
        <w:t>六</w:t>
      </w:r>
      <w:r>
        <w:rPr>
          <w:rFonts w:hint="eastAsia" w:ascii="楷体_GB2312" w:hAnsi="楷体_GB2312" w:eastAsia="楷体_GB2312" w:cs="楷体_GB2312"/>
          <w:b/>
          <w:bCs/>
          <w:kern w:val="2"/>
          <w:sz w:val="32"/>
          <w:szCs w:val="32"/>
        </w:rPr>
        <w:t>）全面提高政府工作人员法治思维和依法行政能力</w:t>
      </w:r>
    </w:p>
    <w:p>
      <w:pPr>
        <w:pStyle w:val="7"/>
        <w:shd w:val="clear" w:color="auto" w:fill="FFFFFF"/>
        <w:spacing w:before="0" w:beforeAutospacing="0" w:after="0" w:afterAutospacing="0"/>
        <w:ind w:firstLine="640" w:firstLineChars="200"/>
        <w:jc w:val="both"/>
        <w:rPr>
          <w:rFonts w:hint="eastAsia" w:ascii="仿宋_GB2312" w:hAnsi="仿宋" w:eastAsia="仿宋_GB2312" w:cs="华文仿宋"/>
          <w:color w:val="000000"/>
          <w:sz w:val="32"/>
          <w:szCs w:val="32"/>
          <w:shd w:val="clear" w:color="auto" w:fill="FFFFFF"/>
        </w:rPr>
      </w:pPr>
      <w:r>
        <w:rPr>
          <w:rFonts w:hint="eastAsia" w:ascii="仿宋_GB2312" w:hAnsi="Times New Roman" w:eastAsia="仿宋_GB2312" w:cs="Times New Roman"/>
          <w:kern w:val="2"/>
          <w:sz w:val="32"/>
          <w:szCs w:val="32"/>
        </w:rPr>
        <w:t>坚持重视法治素养和法治能力的用人导向，把能不能遵守法律、能不能依法办事作为考察干部的重要内容。</w:t>
      </w:r>
      <w:r>
        <w:rPr>
          <w:rFonts w:hint="eastAsia" w:ascii="仿宋_GB2312" w:hAnsi="Times New Roman" w:eastAsia="仿宋_GB2312" w:cs="Times New Roman"/>
          <w:b/>
          <w:kern w:val="2"/>
          <w:sz w:val="32"/>
          <w:szCs w:val="32"/>
        </w:rPr>
        <w:t>一是</w:t>
      </w:r>
      <w:r>
        <w:rPr>
          <w:rFonts w:hint="eastAsia" w:ascii="仿宋_GB2312" w:hAnsi="Times New Roman" w:eastAsia="仿宋_GB2312" w:cs="Times New Roman"/>
          <w:kern w:val="2"/>
          <w:sz w:val="32"/>
          <w:szCs w:val="32"/>
        </w:rPr>
        <w:t>领导干部带头学法用法讲法，利用领导干部这个“关键少数”带动普通干部这个“绝大多数”，借助理论学习中心组扩大会形式，带动全体干部学法律、梳职责、履职责；</w:t>
      </w:r>
      <w:r>
        <w:rPr>
          <w:rFonts w:hint="eastAsia" w:ascii="仿宋_GB2312" w:hAnsi="Times New Roman" w:eastAsia="仿宋_GB2312" w:cs="Times New Roman"/>
          <w:b/>
          <w:kern w:val="2"/>
          <w:sz w:val="32"/>
          <w:szCs w:val="32"/>
        </w:rPr>
        <w:t>二是</w:t>
      </w:r>
      <w:r>
        <w:rPr>
          <w:rFonts w:hint="eastAsia" w:ascii="仿宋_GB2312" w:hAnsi="Times New Roman" w:eastAsia="仿宋_GB2312" w:cs="Times New Roman"/>
          <w:kern w:val="2"/>
          <w:sz w:val="32"/>
          <w:szCs w:val="32"/>
        </w:rPr>
        <w:t>落实干部学法制度。严</w:t>
      </w:r>
      <w:r>
        <w:rPr>
          <w:rFonts w:hint="eastAsia" w:ascii="仿宋_GB2312" w:hAnsi="微软雅黑" w:eastAsia="仿宋_GB2312"/>
          <w:color w:val="000000"/>
          <w:sz w:val="32"/>
          <w:szCs w:val="32"/>
        </w:rPr>
        <w:t>格落实《北京市行政机关领导干部学法办法》文件精神，将干部学法情况纳入年底绩效考核，利用开展法治讲座和工作群推送普法宣传知识等形式教育引导广大领导干部带头学法用法，不断提高运用法治思维和法治方式发现问题和解决问题的能力。截至目前，组织机关干部、社区（村）书记、主任开展法治培训</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次</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b/>
          <w:kern w:val="2"/>
          <w:sz w:val="32"/>
          <w:szCs w:val="32"/>
        </w:rPr>
        <w:t>三是</w:t>
      </w:r>
      <w:r>
        <w:rPr>
          <w:rFonts w:hint="eastAsia" w:ascii="仿宋_GB2312" w:hAnsi="仿宋" w:eastAsia="仿宋_GB2312" w:cs="华文仿宋"/>
          <w:color w:val="000000"/>
          <w:sz w:val="32"/>
          <w:szCs w:val="32"/>
          <w:shd w:val="clear" w:color="auto" w:fill="FFFFFF"/>
        </w:rPr>
        <w:t>注重通过法治实践提高政府工作人员法治思维和依法行政能力，在落实“谁执法谁普法”的普法责任制过程中，加强执法人员以案释法能力，使执法人员在执法普法的同时不断提高自身法治素养和依法行政能力，带动干部自觉运用法治思维和法治方式推动发展经济、创新社会治理、化解矛盾，促进机关干部学会在解决问题中总结经验。</w:t>
      </w:r>
    </w:p>
    <w:p>
      <w:pPr>
        <w:pStyle w:val="7"/>
        <w:numPr>
          <w:ilvl w:val="0"/>
          <w:numId w:val="1"/>
        </w:numPr>
        <w:shd w:val="clear" w:color="auto" w:fill="FFFFFF"/>
        <w:spacing w:before="0" w:beforeAutospacing="0" w:after="0" w:afterAutospacing="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法治政府建设工作亮点</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eastAsia="仿宋_GB2312"/>
          <w:sz w:val="32"/>
          <w:szCs w:val="32"/>
        </w:rPr>
        <w:t>7月14日，太阳宫乡作为诉源治理试点单位，在区委政法委以及区法院、区司法局等有关部门的指导支持下，不断探索矛盾纠纷源头化解调处新机制，</w:t>
      </w:r>
      <w:r>
        <w:rPr>
          <w:rFonts w:hint="eastAsia" w:ascii="仿宋_GB2312" w:eastAsia="仿宋_GB2312"/>
          <w:sz w:val="32"/>
          <w:szCs w:val="32"/>
          <w:lang w:val="en-US" w:eastAsia="zh-CN"/>
        </w:rPr>
        <w:t>于地区设立朝阳区社会矛盾纠纷源头化解分平台</w:t>
      </w:r>
      <w:r>
        <w:rPr>
          <w:rFonts w:hint="eastAsia" w:ascii="仿宋_GB2312" w:eastAsia="仿宋_GB2312"/>
          <w:sz w:val="32"/>
          <w:szCs w:val="32"/>
        </w:rPr>
        <w:t>。</w:t>
      </w:r>
      <w:r>
        <w:rPr>
          <w:rFonts w:hint="eastAsia" w:ascii="仿宋_GB2312" w:eastAsia="仿宋_GB2312"/>
          <w:sz w:val="32"/>
          <w:szCs w:val="32"/>
          <w:lang w:val="en-US" w:eastAsia="zh-CN"/>
        </w:rPr>
        <w:t>分平台</w:t>
      </w:r>
      <w:r>
        <w:rPr>
          <w:rFonts w:hint="eastAsia" w:ascii="仿宋_GB2312" w:eastAsia="仿宋_GB2312"/>
          <w:sz w:val="32"/>
          <w:szCs w:val="32"/>
        </w:rPr>
        <w:t>在原有矛盾纠纷化解体系的基础上，充分依托司法资源和专业调解力量，强化联调联动机制</w:t>
      </w:r>
      <w:r>
        <w:rPr>
          <w:rFonts w:hint="eastAsia" w:ascii="仿宋_GB2312" w:eastAsia="仿宋_GB2312"/>
          <w:sz w:val="32"/>
          <w:szCs w:val="32"/>
          <w:lang w:eastAsia="zh-CN"/>
        </w:rPr>
        <w:t>、</w:t>
      </w:r>
      <w:r>
        <w:rPr>
          <w:rFonts w:hint="eastAsia" w:ascii="仿宋_GB2312" w:eastAsia="仿宋_GB2312"/>
          <w:sz w:val="32"/>
          <w:szCs w:val="32"/>
        </w:rPr>
        <w:t>建立精准分析研判</w:t>
      </w:r>
      <w:r>
        <w:rPr>
          <w:rFonts w:hint="eastAsia" w:ascii="仿宋_GB2312" w:eastAsia="仿宋_GB2312"/>
          <w:sz w:val="32"/>
          <w:szCs w:val="32"/>
          <w:lang w:val="en-US" w:eastAsia="zh-CN"/>
        </w:rPr>
        <w:t>和</w:t>
      </w:r>
      <w:r>
        <w:rPr>
          <w:rFonts w:hint="eastAsia" w:ascii="仿宋_GB2312" w:eastAsia="仿宋_GB2312"/>
          <w:sz w:val="32"/>
          <w:szCs w:val="32"/>
        </w:rPr>
        <w:t>分级分类化解机制</w:t>
      </w:r>
      <w:r>
        <w:rPr>
          <w:rFonts w:hint="eastAsia" w:ascii="仿宋_GB2312" w:eastAsia="仿宋_GB2312"/>
          <w:sz w:val="32"/>
          <w:szCs w:val="32"/>
          <w:lang w:eastAsia="zh-CN"/>
        </w:rPr>
        <w:t>，</w:t>
      </w:r>
      <w:r>
        <w:rPr>
          <w:rFonts w:hint="eastAsia" w:ascii="仿宋_GB2312" w:eastAsia="仿宋_GB2312"/>
          <w:sz w:val="32"/>
          <w:szCs w:val="32"/>
        </w:rPr>
        <w:t>推动矛盾纠纷源头化解工作。发挥分平台核心作用，遇有重大矛盾纠纷，司法、信访、城乡、纪检、综合执法等部门多主体参与、多领域汇集，打破各管一块、各自为战的传统做法，由</w:t>
      </w:r>
      <w:r>
        <w:rPr>
          <w:rFonts w:ascii="仿宋_GB2312" w:eastAsia="仿宋_GB2312"/>
          <w:sz w:val="32"/>
          <w:szCs w:val="32"/>
        </w:rPr>
        <w:t>过去依靠单一手段、单个部门、单兵作战的工作方式</w:t>
      </w:r>
      <w:r>
        <w:rPr>
          <w:rFonts w:hint="eastAsia" w:ascii="仿宋_GB2312" w:eastAsia="仿宋_GB2312"/>
          <w:sz w:val="32"/>
          <w:szCs w:val="32"/>
        </w:rPr>
        <w:t>，向专业力量、部门联动、联合作战的方式转变</w:t>
      </w:r>
      <w:r>
        <w:rPr>
          <w:rFonts w:hint="eastAsia" w:ascii="仿宋_GB2312" w:eastAsia="仿宋_GB2312"/>
          <w:sz w:val="32"/>
          <w:szCs w:val="32"/>
          <w:lang w:eastAsia="zh-CN"/>
        </w:rPr>
        <w:t>，</w:t>
      </w:r>
      <w:r>
        <w:rPr>
          <w:rFonts w:hint="eastAsia" w:ascii="仿宋_GB2312" w:eastAsia="仿宋_GB2312"/>
          <w:sz w:val="32"/>
          <w:szCs w:val="32"/>
          <w:lang w:val="en-US" w:eastAsia="zh-CN"/>
        </w:rPr>
        <w:t>实现了将</w:t>
      </w:r>
      <w:r>
        <w:rPr>
          <w:rFonts w:hint="eastAsia" w:ascii="仿宋_GB2312" w:eastAsia="仿宋_GB2312"/>
          <w:sz w:val="32"/>
          <w:szCs w:val="32"/>
        </w:rPr>
        <w:t>专业力量与行业规范充分结合，将人民调解与诉前调处充分结合，</w:t>
      </w:r>
      <w:r>
        <w:rPr>
          <w:rFonts w:hint="eastAsia" w:ascii="仿宋_GB2312" w:eastAsia="仿宋_GB2312"/>
          <w:sz w:val="32"/>
          <w:szCs w:val="32"/>
          <w:lang w:val="en-US" w:eastAsia="zh-CN"/>
        </w:rPr>
        <w:t>将调解与“接诉即办”相融合，促进</w:t>
      </w:r>
      <w:r>
        <w:rPr>
          <w:rFonts w:hint="eastAsia" w:ascii="仿宋_GB2312" w:eastAsia="仿宋_GB2312"/>
          <w:sz w:val="32"/>
          <w:szCs w:val="32"/>
        </w:rPr>
        <w:t>以专业的手段</w:t>
      </w:r>
      <w:r>
        <w:rPr>
          <w:rFonts w:ascii="仿宋_GB2312" w:eastAsia="仿宋_GB2312"/>
          <w:sz w:val="32"/>
          <w:szCs w:val="32"/>
        </w:rPr>
        <w:t>引导群众合法有序表达意愿和诉求</w:t>
      </w:r>
      <w:r>
        <w:rPr>
          <w:rFonts w:hint="eastAsia" w:ascii="仿宋_GB2312" w:eastAsia="仿宋_GB2312"/>
          <w:sz w:val="32"/>
          <w:szCs w:val="32"/>
        </w:rPr>
        <w:t>，合理化解矛盾纠纷</w:t>
      </w:r>
      <w:r>
        <w:rPr>
          <w:rFonts w:hint="eastAsia" w:ascii="仿宋_GB2312" w:eastAsia="仿宋_GB2312"/>
          <w:sz w:val="32"/>
          <w:szCs w:val="32"/>
          <w:lang w:eastAsia="zh-CN"/>
        </w:rPr>
        <w:t>，</w:t>
      </w:r>
      <w:r>
        <w:rPr>
          <w:rFonts w:hint="eastAsia" w:ascii="仿宋_GB2312" w:eastAsia="仿宋_GB2312"/>
          <w:sz w:val="32"/>
          <w:szCs w:val="32"/>
        </w:rPr>
        <w:t>强化诉源治理和矛盾纠纷多元治理体系建设，有效化解各类矛盾纠纷，切实维护太阳宫地区社会稳定</w:t>
      </w:r>
      <w:r>
        <w:rPr>
          <w:rFonts w:hint="eastAsia" w:ascii="仿宋_GB2312" w:eastAsia="仿宋_GB2312"/>
          <w:sz w:val="32"/>
          <w:szCs w:val="32"/>
          <w:lang w:eastAsia="zh-CN"/>
        </w:rPr>
        <w:t>。</w:t>
      </w:r>
    </w:p>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法治政府建设中存在的不足</w:t>
      </w:r>
    </w:p>
    <w:p>
      <w:pPr>
        <w:pStyle w:val="2"/>
        <w:ind w:firstLine="643" w:firstLineChars="200"/>
        <w:rPr>
          <w:rFonts w:ascii="仿宋_GB2312" w:eastAsia="仿宋_GB2312" w:hAnsiTheme="minorHAnsi"/>
          <w:sz w:val="32"/>
          <w:szCs w:val="32"/>
        </w:rPr>
      </w:pPr>
      <w:r>
        <w:rPr>
          <w:rFonts w:hint="eastAsia" w:ascii="仿宋_GB2312" w:eastAsia="仿宋_GB2312" w:hAnsiTheme="minorHAnsi"/>
          <w:b/>
          <w:sz w:val="32"/>
          <w:szCs w:val="32"/>
        </w:rPr>
        <w:t>一是</w:t>
      </w:r>
      <w:r>
        <w:rPr>
          <w:rFonts w:hint="eastAsia" w:ascii="仿宋_GB2312" w:eastAsia="仿宋_GB2312" w:hAnsiTheme="minorHAnsi"/>
          <w:sz w:val="32"/>
          <w:szCs w:val="32"/>
        </w:rPr>
        <w:t>少数干部对法治政府建设认识还不够，法治观念相对淡薄，行政执法人员依法行政能力有待进一步提升。</w:t>
      </w:r>
    </w:p>
    <w:p>
      <w:pPr>
        <w:pStyle w:val="2"/>
        <w:ind w:firstLine="643" w:firstLineChars="200"/>
        <w:rPr>
          <w:rFonts w:ascii="仿宋_GB2312" w:eastAsia="仿宋_GB2312" w:hAnsiTheme="minorHAnsi"/>
          <w:sz w:val="32"/>
          <w:szCs w:val="32"/>
        </w:rPr>
      </w:pPr>
      <w:r>
        <w:rPr>
          <w:rFonts w:hint="eastAsia" w:ascii="仿宋_GB2312" w:eastAsia="仿宋_GB2312" w:hAnsiTheme="minorHAnsi"/>
          <w:b/>
          <w:sz w:val="32"/>
          <w:szCs w:val="32"/>
        </w:rPr>
        <w:t>二是</w:t>
      </w:r>
      <w:r>
        <w:rPr>
          <w:rFonts w:hint="eastAsia" w:ascii="仿宋_GB2312" w:eastAsia="仿宋_GB2312" w:hAnsiTheme="minorHAnsi"/>
          <w:sz w:val="32"/>
          <w:szCs w:val="32"/>
        </w:rPr>
        <w:t>法治宣传氛围还不够浓厚。在普法宣传的氛围营造、宣传方式和内容上仍需进一步提高。</w:t>
      </w:r>
    </w:p>
    <w:p>
      <w:pPr>
        <w:pStyle w:val="2"/>
        <w:ind w:firstLine="643" w:firstLineChars="200"/>
        <w:rPr>
          <w:rFonts w:ascii="仿宋_GB2312" w:eastAsia="仿宋_GB2312" w:hAnsiTheme="minorHAnsi"/>
          <w:sz w:val="32"/>
          <w:szCs w:val="32"/>
        </w:rPr>
      </w:pPr>
      <w:r>
        <w:rPr>
          <w:rFonts w:hint="eastAsia" w:ascii="仿宋_GB2312" w:eastAsia="仿宋_GB2312" w:hAnsiTheme="minorHAnsi"/>
          <w:b/>
          <w:sz w:val="32"/>
          <w:szCs w:val="32"/>
        </w:rPr>
        <w:t>三要</w:t>
      </w:r>
      <w:r>
        <w:rPr>
          <w:rFonts w:hint="eastAsia" w:ascii="仿宋_GB2312" w:eastAsia="仿宋_GB2312" w:hAnsiTheme="minorHAnsi"/>
          <w:sz w:val="32"/>
          <w:szCs w:val="32"/>
        </w:rPr>
        <w:t>对当前重点工作的新要求理解、学习和研讨还不够充分。特别是对行政执法权下放的理解、学习和探讨还不足。</w:t>
      </w:r>
    </w:p>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党政主要负责人履行推进法治政府建设第一责任人职责情况</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太阳宫乡认真执行北京市委、市政府和朝阳区委、区政府关于法治政府建设的各项决策部署，严格落实《党政主要负责人履行推进法治建设第一责任人职责规定》的要求，自觉将建设法治政府摆在工作全局和重要位置，切实做到党政主要负责人对法治政府建设重要工作亲自部署、重大问题亲自过问、重点环节亲自协调、重要任务亲自督办，发挥了“关键少数”的引领带动作用，有效履行推进法治政府建设第一责任人职责。</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(一)强化组织领导，注重整体谋划</w:t>
      </w:r>
    </w:p>
    <w:p>
      <w:pPr>
        <w:ind w:firstLine="640" w:firstLineChars="200"/>
        <w:rPr>
          <w:rFonts w:ascii="仿宋_GB2312" w:eastAsia="仿宋_GB2312"/>
          <w:sz w:val="32"/>
          <w:szCs w:val="32"/>
        </w:rPr>
      </w:pPr>
      <w:r>
        <w:rPr>
          <w:rFonts w:hint="eastAsia" w:ascii="仿宋_GB2312" w:hAnsi="微软雅黑" w:eastAsia="仿宋_GB2312"/>
          <w:color w:val="000000"/>
          <w:sz w:val="32"/>
          <w:szCs w:val="32"/>
        </w:rPr>
        <w:t>结合领导岗位调整，及时调整依法治乡领导小组成员，形成以书记、乡长为组长，班子成员为副组长，各科室、社区（村）负责人为成员的领导小组，形成了主要领导抓总体，分管领导抓具体，相关科室相互配合落实的工作局面，</w:t>
      </w:r>
      <w:r>
        <w:rPr>
          <w:rFonts w:hint="eastAsia" w:ascii="仿宋_GB2312" w:eastAsia="仿宋_GB2312"/>
          <w:sz w:val="32"/>
          <w:szCs w:val="32"/>
        </w:rPr>
        <w:t>切实加强法治政府建设工作的领导和统筹协调。</w:t>
      </w:r>
    </w:p>
    <w:p>
      <w:pPr>
        <w:pStyle w:val="7"/>
        <w:spacing w:before="0" w:beforeAutospacing="0" w:after="0" w:afterAutospacing="0" w:line="450" w:lineRule="atLeast"/>
        <w:ind w:firstLine="643" w:firstLineChars="20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（二）加强理论学习，发挥示范作用</w:t>
      </w:r>
    </w:p>
    <w:p>
      <w:pPr>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通过组织党委理论中心组专题学习会</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乡长办公会</w:t>
      </w:r>
      <w:r>
        <w:rPr>
          <w:rFonts w:hint="eastAsia" w:ascii="仿宋_GB2312" w:hAnsi="微软雅黑" w:eastAsia="仿宋_GB2312"/>
          <w:color w:val="000000"/>
          <w:sz w:val="32"/>
          <w:szCs w:val="32"/>
        </w:rPr>
        <w:t>等形式推进领导干部学法长效机制，认真学习习近平总书记全面依法治国新理念新思想新战略、</w:t>
      </w:r>
      <w:r>
        <w:fldChar w:fldCharType="begin"/>
      </w:r>
      <w:r>
        <w:instrText xml:space="preserve"> HYPERLINK "https://www.so.com/link?m=akY115DzS9iG+yXJd3wRyMPyfgZd8Wb84zPsdrai2GuVXkvyVKKJx+JYUXDss2rQQTgf3x8fthG63uBO/zDZlGfPAbaKvjVpKKCyIO4OnKKVTdqZ6AY/O0z/NfSD+GF57lI5r2rNByae6Fxvn8kbEETImWOu9NgsncoEAHahuxE77OJkQrdKc2nbnTfwz0XUgTW4hxymy+kdbkL1UlyjWmGosrU8w0J4WYBe4S4wnfmo9/fSpOdBMK78fqPekK16mhj4vncIh+uqub3pH" \t "https://www.so.com/_blank" </w:instrText>
      </w:r>
      <w:r>
        <w:fldChar w:fldCharType="separate"/>
      </w:r>
      <w:r>
        <w:rPr>
          <w:rFonts w:ascii="仿宋_GB2312" w:hAnsi="微软雅黑" w:eastAsia="仿宋_GB2312"/>
          <w:color w:val="000000"/>
          <w:sz w:val="32"/>
          <w:szCs w:val="32"/>
        </w:rPr>
        <w:t>中央全面依法治国委员会</w:t>
      </w:r>
      <w:r>
        <w:rPr>
          <w:rFonts w:hint="eastAsia" w:ascii="仿宋_GB2312" w:hAnsi="微软雅黑" w:eastAsia="仿宋_GB2312"/>
          <w:color w:val="000000"/>
          <w:sz w:val="32"/>
          <w:szCs w:val="32"/>
        </w:rPr>
        <w:t>历次</w:t>
      </w:r>
      <w:r>
        <w:rPr>
          <w:rFonts w:ascii="仿宋_GB2312" w:hAnsi="微软雅黑" w:eastAsia="仿宋_GB2312"/>
          <w:color w:val="000000"/>
          <w:sz w:val="32"/>
          <w:szCs w:val="32"/>
        </w:rPr>
        <w:t>会议</w:t>
      </w:r>
      <w:r>
        <w:rPr>
          <w:rFonts w:ascii="仿宋_GB2312" w:hAnsi="微软雅黑" w:eastAsia="仿宋_GB2312"/>
          <w:color w:val="000000"/>
          <w:sz w:val="32"/>
          <w:szCs w:val="32"/>
        </w:rPr>
        <w:fldChar w:fldCharType="end"/>
      </w:r>
      <w:r>
        <w:rPr>
          <w:rFonts w:hint="eastAsia" w:ascii="仿宋_GB2312" w:hAnsi="微软雅黑" w:eastAsia="仿宋_GB2312"/>
          <w:color w:val="000000"/>
          <w:sz w:val="32"/>
          <w:szCs w:val="32"/>
        </w:rPr>
        <w:t>精神，凝聚共识。以理论学习中心组学习、</w:t>
      </w:r>
      <w:r>
        <w:rPr>
          <w:rFonts w:hint="eastAsia" w:ascii="仿宋_GB2312" w:hAnsi="微软雅黑" w:eastAsia="仿宋_GB2312"/>
          <w:color w:val="000000"/>
          <w:sz w:val="32"/>
          <w:szCs w:val="32"/>
          <w:lang w:val="en-US" w:eastAsia="zh-CN"/>
        </w:rPr>
        <w:t>乡长办公会</w:t>
      </w:r>
      <w:r>
        <w:rPr>
          <w:rFonts w:hint="eastAsia" w:ascii="仿宋_GB2312" w:hAnsi="微软雅黑" w:eastAsia="仿宋_GB2312"/>
          <w:color w:val="000000"/>
          <w:sz w:val="32"/>
          <w:szCs w:val="32"/>
        </w:rPr>
        <w:t>学习等方式，组织学习了</w:t>
      </w:r>
      <w:r>
        <w:rPr>
          <w:rFonts w:hint="eastAsia" w:ascii="仿宋_GB2312" w:hAnsi="微软雅黑" w:eastAsia="仿宋_GB2312"/>
          <w:color w:val="000000"/>
          <w:sz w:val="32"/>
          <w:szCs w:val="32"/>
          <w:lang w:val="en-US" w:eastAsia="zh-CN"/>
        </w:rPr>
        <w:t>习近平法治思想、</w:t>
      </w:r>
      <w:r>
        <w:rPr>
          <w:rFonts w:hint="eastAsia" w:ascii="仿宋_GB2312" w:hAnsi="微软雅黑" w:eastAsia="仿宋_GB2312"/>
          <w:color w:val="000000"/>
          <w:sz w:val="32"/>
          <w:szCs w:val="32"/>
        </w:rPr>
        <w:t>《法治</w:t>
      </w:r>
      <w:r>
        <w:rPr>
          <w:rFonts w:hint="eastAsia" w:ascii="仿宋_GB2312" w:hAnsi="微软雅黑" w:eastAsia="仿宋_GB2312"/>
          <w:color w:val="000000"/>
          <w:sz w:val="32"/>
          <w:szCs w:val="32"/>
          <w:lang w:eastAsia="zh-CN"/>
        </w:rPr>
        <w:t>政府</w:t>
      </w:r>
      <w:r>
        <w:rPr>
          <w:rFonts w:hint="eastAsia" w:ascii="仿宋_GB2312" w:hAnsi="微软雅黑" w:eastAsia="仿宋_GB2312"/>
          <w:color w:val="000000"/>
          <w:sz w:val="32"/>
          <w:szCs w:val="32"/>
        </w:rPr>
        <w:t>建设</w:t>
      </w:r>
      <w:r>
        <w:rPr>
          <w:rFonts w:hint="eastAsia" w:ascii="仿宋_GB2312" w:hAnsi="微软雅黑" w:eastAsia="仿宋_GB2312"/>
          <w:color w:val="000000"/>
          <w:sz w:val="32"/>
          <w:szCs w:val="32"/>
          <w:lang w:eastAsia="zh-CN"/>
        </w:rPr>
        <w:t>实施纲要（</w:t>
      </w:r>
      <w:r>
        <w:rPr>
          <w:rFonts w:hint="eastAsia" w:ascii="仿宋_GB2312" w:hAnsi="微软雅黑" w:eastAsia="仿宋_GB2312"/>
          <w:color w:val="000000"/>
          <w:sz w:val="32"/>
          <w:szCs w:val="32"/>
        </w:rPr>
        <w:t>202</w:t>
      </w:r>
      <w:r>
        <w:rPr>
          <w:rFonts w:hint="eastAsia" w:ascii="仿宋_GB2312" w:hAnsi="微软雅黑" w:eastAsia="仿宋_GB2312"/>
          <w:color w:val="000000"/>
          <w:sz w:val="32"/>
          <w:szCs w:val="32"/>
          <w:lang w:val="en-US" w:eastAsia="zh-CN"/>
        </w:rPr>
        <w:t>1</w:t>
      </w:r>
      <w:r>
        <w:rPr>
          <w:rFonts w:hint="eastAsia" w:ascii="仿宋_GB2312" w:hAnsi="微软雅黑" w:eastAsia="仿宋_GB2312"/>
          <w:color w:val="000000"/>
          <w:sz w:val="32"/>
          <w:szCs w:val="32"/>
        </w:rPr>
        <w:t>-2025</w:t>
      </w:r>
      <w:r>
        <w:rPr>
          <w:rFonts w:hint="eastAsia" w:ascii="仿宋_GB2312" w:hAnsi="微软雅黑" w:eastAsia="仿宋_GB2312"/>
          <w:color w:val="000000"/>
          <w:sz w:val="32"/>
          <w:szCs w:val="32"/>
          <w:lang w:eastAsia="zh-CN"/>
        </w:rPr>
        <w:t>年）</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习近平法治思想学习纲要</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党的二十大报告关于依法治国部分内容</w:t>
      </w:r>
      <w:r>
        <w:rPr>
          <w:rFonts w:hint="eastAsia" w:ascii="仿宋_GB2312" w:hAnsi="微软雅黑" w:eastAsia="仿宋_GB2312"/>
          <w:color w:val="000000"/>
          <w:sz w:val="32"/>
          <w:szCs w:val="32"/>
        </w:rPr>
        <w:t>等</w:t>
      </w:r>
      <w:r>
        <w:rPr>
          <w:rFonts w:hint="eastAsia" w:ascii="仿宋_GB2312" w:hAnsi="微软雅黑" w:eastAsia="仿宋_GB2312"/>
          <w:color w:val="000000"/>
          <w:sz w:val="32"/>
          <w:szCs w:val="32"/>
          <w:lang w:val="en-US" w:eastAsia="zh-CN"/>
        </w:rPr>
        <w:t>相关政策、</w:t>
      </w:r>
      <w:r>
        <w:rPr>
          <w:rFonts w:hint="eastAsia" w:ascii="仿宋_GB2312" w:hAnsi="微软雅黑" w:eastAsia="仿宋_GB2312"/>
          <w:color w:val="000000"/>
          <w:sz w:val="32"/>
          <w:szCs w:val="32"/>
        </w:rPr>
        <w:t>法律法规条例，推进领导干部以身作则，以上率下，带头尊法学法守法用法，截至目前</w:t>
      </w:r>
      <w:r>
        <w:rPr>
          <w:rFonts w:hint="eastAsia" w:ascii="仿宋_GB2312" w:hAnsi="微软雅黑" w:eastAsia="仿宋_GB2312"/>
          <w:color w:val="000000"/>
          <w:sz w:val="32"/>
          <w:szCs w:val="32"/>
          <w:lang w:val="en-US" w:eastAsia="zh-CN"/>
        </w:rPr>
        <w:t>开展乡长办公会会前学法4次，</w:t>
      </w:r>
      <w:r>
        <w:rPr>
          <w:rFonts w:hint="eastAsia" w:ascii="仿宋_GB2312" w:hAnsi="微软雅黑" w:eastAsia="仿宋_GB2312"/>
          <w:color w:val="000000"/>
          <w:sz w:val="32"/>
          <w:szCs w:val="32"/>
        </w:rPr>
        <w:t>学习各类法律法规条例报告讲话。</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(三)研究重大问题，注重整体谋划</w:t>
      </w:r>
    </w:p>
    <w:p>
      <w:pPr>
        <w:ind w:firstLine="640" w:firstLineChars="200"/>
        <w:rPr>
          <w:rFonts w:ascii="仿宋_GB2312" w:hAnsi="微软雅黑" w:eastAsia="仿宋_GB2312"/>
          <w:color w:val="000000"/>
          <w:sz w:val="32"/>
          <w:szCs w:val="32"/>
        </w:rPr>
      </w:pPr>
      <w:r>
        <w:rPr>
          <w:rFonts w:hint="eastAsia" w:ascii="仿宋_GB2312" w:eastAsia="仿宋_GB2312"/>
          <w:sz w:val="32"/>
          <w:szCs w:val="32"/>
        </w:rPr>
        <w:t>党政主要负责人认真贯彻《中共北京市朝阳区委关于全面推进朝阳区法治建设的实施意见》，对法治政府建设重大工作亲自部署、重大问题亲自过问、重点环节亲自协调、重点环节亲自督办，把法治建设纳入地区年度工作计划</w:t>
      </w:r>
      <w:r>
        <w:rPr>
          <w:rFonts w:hint="eastAsia" w:ascii="仿宋_GB2312" w:eastAsia="仿宋_GB2312"/>
          <w:sz w:val="32"/>
          <w:szCs w:val="32"/>
          <w:lang w:eastAsia="zh-CN"/>
        </w:rPr>
        <w:t>，督促法治政府建设各环节各步骤有效落实，于年底撰写《</w:t>
      </w:r>
      <w:r>
        <w:rPr>
          <w:rFonts w:hint="eastAsia" w:ascii="仿宋_GB2312" w:eastAsia="仿宋_GB2312"/>
          <w:sz w:val="32"/>
          <w:szCs w:val="32"/>
          <w:lang w:val="en-US" w:eastAsia="zh-CN"/>
        </w:rPr>
        <w:t>2022年太阳宫乡法治政府建设情况报告</w:t>
      </w:r>
      <w:r>
        <w:rPr>
          <w:rFonts w:hint="eastAsia" w:ascii="仿宋_GB2312" w:eastAsia="仿宋_GB2312"/>
          <w:sz w:val="32"/>
          <w:szCs w:val="32"/>
          <w:lang w:eastAsia="zh-CN"/>
        </w:rPr>
        <w:t>》提交乡党委审议</w:t>
      </w:r>
      <w:r>
        <w:rPr>
          <w:rFonts w:hint="eastAsia" w:ascii="仿宋_GB2312" w:eastAsia="仿宋_GB2312"/>
          <w:sz w:val="32"/>
          <w:szCs w:val="32"/>
        </w:rPr>
        <w:t>。</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(四)严格源头规范，推进依法决策</w:t>
      </w:r>
    </w:p>
    <w:p>
      <w:pPr>
        <w:widowControl/>
        <w:ind w:firstLine="640" w:firstLineChars="200"/>
        <w:jc w:val="left"/>
      </w:pPr>
      <w:r>
        <w:rPr>
          <w:rFonts w:hint="eastAsia" w:ascii="仿宋_GB2312" w:eastAsia="仿宋_GB2312"/>
          <w:sz w:val="32"/>
          <w:szCs w:val="32"/>
        </w:rPr>
        <w:t>认真贯彻《重大行政决策程序暂行条例》，</w:t>
      </w:r>
      <w:r>
        <w:rPr>
          <w:rFonts w:hint="eastAsia" w:ascii="仿宋_GB2312" w:hAnsi="仿宋_GB2312" w:eastAsia="仿宋_GB2312" w:cs="仿宋_GB2312"/>
          <w:sz w:val="32"/>
          <w:szCs w:val="32"/>
          <w:lang w:val="zh-CN"/>
        </w:rPr>
        <w:t>领导班子严格执行重大行政决策法定程序，坚持贯彻和落实“三重一大”民主决策制度；</w:t>
      </w:r>
      <w:r>
        <w:rPr>
          <w:rFonts w:hint="eastAsia" w:ascii="仿宋_GB2312" w:hAnsi="仿宋_GB2312" w:eastAsia="仿宋_GB2312" w:cs="仿宋_GB2312"/>
          <w:sz w:val="32"/>
          <w:szCs w:val="32"/>
        </w:rPr>
        <w:t>积极推进政府法律顾问制度。确保</w:t>
      </w:r>
      <w:r>
        <w:rPr>
          <w:rFonts w:hint="eastAsia" w:ascii="仿宋_GB2312" w:hAnsi="仿宋_GB2312" w:eastAsia="仿宋_GB2312" w:cs="仿宋_GB2312"/>
          <w:sz w:val="32"/>
          <w:szCs w:val="32"/>
          <w:lang w:val="zh-CN"/>
        </w:rPr>
        <w:t>法律顾问在制定重大行政决策、推进依法行政中发挥积极作用。</w:t>
      </w:r>
      <w:r>
        <w:rPr>
          <w:rFonts w:hint="eastAsia" w:ascii="仿宋_GB2312" w:hAnsi="仿宋_GB2312" w:eastAsia="仿宋_GB2312" w:cs="仿宋_GB2312"/>
          <w:sz w:val="32"/>
          <w:szCs w:val="32"/>
        </w:rPr>
        <w:t>督促做好重大决策合法性审查，推进政府法律顾问制度建设和聘请内审机构等专家论证程序。</w:t>
      </w:r>
    </w:p>
    <w:p>
      <w:pPr>
        <w:widowControl/>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(五)强化内外监督，规范行政行为</w:t>
      </w:r>
    </w:p>
    <w:p>
      <w:pPr>
        <w:widowControl/>
        <w:ind w:firstLine="643" w:firstLineChars="200"/>
        <w:jc w:val="left"/>
      </w:pPr>
      <w:r>
        <w:rPr>
          <w:rFonts w:hint="eastAsia" w:ascii="仿宋_GB2312" w:hAnsi="微软雅黑" w:eastAsia="仿宋_GB2312" w:cs="Times New Roman"/>
          <w:b/>
          <w:color w:val="000000"/>
          <w:sz w:val="32"/>
          <w:szCs w:val="32"/>
        </w:rPr>
        <w:t>一是</w:t>
      </w:r>
      <w:r>
        <w:rPr>
          <w:rFonts w:hint="eastAsia" w:ascii="仿宋_GB2312" w:hAnsi="微软雅黑" w:eastAsia="仿宋_GB2312" w:cs="Times New Roman"/>
          <w:color w:val="000000"/>
          <w:sz w:val="32"/>
          <w:szCs w:val="32"/>
        </w:rPr>
        <w:t>坚持全面从严治党、依规治党，</w:t>
      </w:r>
      <w:r>
        <w:rPr>
          <w:rFonts w:hint="eastAsia" w:ascii="仿宋_GB2312" w:hAnsi="Times New Roman" w:eastAsia="仿宋_GB2312" w:cs="Times New Roman"/>
          <w:color w:val="000000" w:themeColor="text1"/>
          <w:sz w:val="32"/>
          <w:szCs w:val="32"/>
        </w:rPr>
        <w:t>理论中心组专题学习领会习近平总书记“七一”重要讲话精神，</w:t>
      </w:r>
      <w:r>
        <w:rPr>
          <w:rFonts w:hint="eastAsia" w:ascii="仿宋_GB2312" w:hAnsi="微软雅黑" w:eastAsia="仿宋_GB2312" w:cs="Times New Roman"/>
          <w:color w:val="000000"/>
          <w:sz w:val="32"/>
          <w:szCs w:val="32"/>
        </w:rPr>
        <w:t>推动党史学习教育不断走深走实，增加领导干部的党性修养，把全面从严治党向纵深推进；</w:t>
      </w:r>
      <w:r>
        <w:rPr>
          <w:rFonts w:hint="eastAsia" w:ascii="仿宋_GB2312" w:hAnsi="微软雅黑" w:eastAsia="仿宋_GB2312" w:cs="Times New Roman"/>
          <w:b/>
          <w:color w:val="000000"/>
          <w:sz w:val="32"/>
          <w:szCs w:val="32"/>
        </w:rPr>
        <w:t>二是</w:t>
      </w:r>
      <w:r>
        <w:rPr>
          <w:rFonts w:hint="eastAsia" w:ascii="仿宋_GB2312" w:hAnsi="微软雅黑" w:eastAsia="仿宋_GB2312" w:cs="Times New Roman"/>
          <w:color w:val="000000"/>
          <w:sz w:val="32"/>
          <w:szCs w:val="32"/>
        </w:rPr>
        <w:t>自觉维护司法权威，督促相关人员依法行政，我乡党政主要负责人坚持宪法法律至上，反对以言代法、以权压法、徇私枉法。督促领导班子其他成员和下级党政主要负责人依法办事，不得违规干预司法活动、插手具体案件处理；</w:t>
      </w:r>
      <w:r>
        <w:rPr>
          <w:rFonts w:hint="eastAsia" w:ascii="仿宋_GB2312" w:hAnsi="微软雅黑" w:eastAsia="仿宋_GB2312" w:cs="Times New Roman"/>
          <w:b/>
          <w:color w:val="000000"/>
          <w:sz w:val="32"/>
          <w:szCs w:val="32"/>
        </w:rPr>
        <w:t>三是</w:t>
      </w:r>
      <w:r>
        <w:rPr>
          <w:rFonts w:hint="eastAsia" w:ascii="仿宋_GB2312" w:hAnsi="微软雅黑" w:eastAsia="仿宋_GB2312" w:cs="Times New Roman"/>
          <w:color w:val="000000"/>
          <w:sz w:val="32"/>
          <w:szCs w:val="32"/>
        </w:rPr>
        <w:t>推进政务公开，接受公众监督，通过公开咨询电话、监督电话等方式，为群众投诉举报、反映问题提供便利；</w:t>
      </w:r>
      <w:r>
        <w:rPr>
          <w:rFonts w:hint="eastAsia" w:ascii="仿宋_GB2312" w:hAnsi="微软雅黑" w:eastAsia="仿宋_GB2312" w:cs="Times New Roman"/>
          <w:b/>
          <w:color w:val="000000"/>
          <w:sz w:val="32"/>
          <w:szCs w:val="32"/>
        </w:rPr>
        <w:t>四是</w:t>
      </w:r>
      <w:r>
        <w:rPr>
          <w:rFonts w:hint="eastAsia" w:ascii="仿宋_GB2312" w:hAnsi="微软雅黑" w:eastAsia="仿宋_GB2312" w:cs="Times New Roman"/>
          <w:color w:val="000000"/>
          <w:sz w:val="32"/>
          <w:szCs w:val="32"/>
        </w:rPr>
        <w:t>设立领导信访接待，推动问题化解。党政主要负责人带头坐班信访接待室，坚持公开接待上访群众，受理矛盾纠纷，实手解决群众困难和历史遗留问题。</w:t>
      </w:r>
    </w:p>
    <w:p>
      <w:pPr>
        <w:pStyle w:val="2"/>
        <w:ind w:firstLine="640" w:firstLineChars="200"/>
        <w:rPr>
          <w:rFonts w:hint="eastAsia" w:ascii="黑体" w:hAnsi="黑体" w:eastAsia="黑体" w:cs="黑体"/>
          <w:color w:val="000000"/>
          <w:kern w:val="0"/>
          <w:sz w:val="32"/>
          <w:szCs w:val="32"/>
          <w:lang w:eastAsia="zh-CN"/>
        </w:rPr>
      </w:pPr>
    </w:p>
    <w:p>
      <w:pPr>
        <w:pStyle w:val="2"/>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、202</w:t>
      </w:r>
      <w:r>
        <w:rPr>
          <w:rFonts w:hint="eastAsia" w:ascii="黑体" w:hAnsi="黑体" w:eastAsia="黑体" w:cs="黑体"/>
          <w:color w:val="000000"/>
          <w:kern w:val="0"/>
          <w:sz w:val="32"/>
          <w:szCs w:val="32"/>
          <w:lang w:val="en-US" w:eastAsia="zh-CN"/>
        </w:rPr>
        <w:t>3</w:t>
      </w:r>
      <w:r>
        <w:rPr>
          <w:rFonts w:hint="eastAsia" w:ascii="黑体" w:hAnsi="黑体" w:eastAsia="黑体" w:cs="黑体"/>
          <w:color w:val="000000"/>
          <w:kern w:val="0"/>
          <w:sz w:val="32"/>
          <w:szCs w:val="32"/>
        </w:rPr>
        <w:t>年工作思路</w:t>
      </w:r>
    </w:p>
    <w:p>
      <w:pPr>
        <w:pStyle w:val="2"/>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（一）切实提高法治建设水平。</w:t>
      </w:r>
      <w:r>
        <w:rPr>
          <w:rFonts w:hint="eastAsia" w:ascii="仿宋_GB2312" w:hAnsi="微软雅黑" w:eastAsia="仿宋_GB2312" w:cs="宋体"/>
          <w:color w:val="000000"/>
          <w:kern w:val="0"/>
          <w:sz w:val="32"/>
          <w:szCs w:val="32"/>
        </w:rPr>
        <w:t>进一步配齐配强依法治乡工作人员，</w:t>
      </w:r>
      <w:r>
        <w:rPr>
          <w:rFonts w:hint="eastAsia" w:ascii="仿宋_GB2312" w:hAnsi="微软雅黑" w:eastAsia="仿宋_GB2312" w:cs="宋体"/>
          <w:color w:val="000000"/>
          <w:kern w:val="0"/>
          <w:sz w:val="32"/>
          <w:szCs w:val="32"/>
          <w:lang w:eastAsia="zh-CN"/>
        </w:rPr>
        <w:t>建立健全</w:t>
      </w:r>
      <w:r>
        <w:rPr>
          <w:rFonts w:hint="eastAsia" w:ascii="仿宋_GB2312" w:hAnsi="微软雅黑" w:eastAsia="仿宋_GB2312" w:cs="宋体"/>
          <w:color w:val="000000"/>
          <w:kern w:val="0"/>
          <w:sz w:val="32"/>
          <w:szCs w:val="32"/>
        </w:rPr>
        <w:t>依法治乡工作网，强化法治工作培训，把法治工作不断引向深入；强化依法治乡工作的督导考核，把依法治乡工作纳入年度目标考核，联合各部门，对依法治乡工作情况进行不定期督导检查，督查结果将作为年度考核评先评优的依据。</w:t>
      </w:r>
    </w:p>
    <w:p>
      <w:pPr>
        <w:pStyle w:val="2"/>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（二）扎实抓好法治宣传教育。</w:t>
      </w:r>
      <w:r>
        <w:rPr>
          <w:rFonts w:hint="eastAsia" w:ascii="仿宋_GB2312" w:hAnsi="微软雅黑" w:eastAsia="仿宋_GB2312" w:cs="宋体"/>
          <w:b/>
          <w:color w:val="000000"/>
          <w:kern w:val="0"/>
          <w:sz w:val="32"/>
          <w:szCs w:val="32"/>
        </w:rPr>
        <w:t>一是</w:t>
      </w:r>
      <w:r>
        <w:rPr>
          <w:rFonts w:hint="eastAsia" w:ascii="仿宋_GB2312" w:hAnsi="微软雅黑" w:eastAsia="仿宋_GB2312" w:cs="宋体"/>
          <w:color w:val="000000"/>
          <w:kern w:val="0"/>
          <w:sz w:val="32"/>
          <w:szCs w:val="32"/>
        </w:rPr>
        <w:t>切实抓好“八五”普法的规划组织，广泛开展“法律十进”活动。</w:t>
      </w:r>
      <w:r>
        <w:rPr>
          <w:rFonts w:hint="eastAsia" w:ascii="仿宋_GB2312" w:hAnsi="微软雅黑" w:eastAsia="仿宋_GB2312" w:cs="宋体"/>
          <w:b/>
          <w:color w:val="000000"/>
          <w:kern w:val="0"/>
          <w:sz w:val="32"/>
          <w:szCs w:val="32"/>
        </w:rPr>
        <w:t>二是</w:t>
      </w:r>
      <w:r>
        <w:rPr>
          <w:rFonts w:hint="eastAsia" w:ascii="仿宋_GB2312" w:hAnsi="微软雅黑" w:eastAsia="仿宋_GB2312" w:cs="宋体"/>
          <w:color w:val="000000"/>
          <w:kern w:val="0"/>
          <w:sz w:val="32"/>
          <w:szCs w:val="32"/>
        </w:rPr>
        <w:t>加大全民普法宣传力度，深入学习宣传宪法、民法典等法律，深入学习宣传与维护社会稳定与促进社会公平正义密切相关的法律法规。坚持以领导干部、公务员、青少年等为重点对象，进一步提高公民的法律意识和法律素质，进一步增强公务员的依法行政观念和依法行政能力。</w:t>
      </w:r>
      <w:r>
        <w:rPr>
          <w:rFonts w:hint="eastAsia" w:ascii="仿宋_GB2312" w:hAnsi="微软雅黑" w:eastAsia="仿宋_GB2312" w:cs="宋体"/>
          <w:b/>
          <w:color w:val="000000"/>
          <w:kern w:val="0"/>
          <w:sz w:val="32"/>
          <w:szCs w:val="32"/>
        </w:rPr>
        <w:t>三是</w:t>
      </w:r>
      <w:r>
        <w:rPr>
          <w:rFonts w:hint="eastAsia" w:ascii="仿宋_GB2312" w:hAnsi="微软雅黑" w:eastAsia="仿宋_GB2312" w:cs="宋体"/>
          <w:color w:val="000000"/>
          <w:kern w:val="0"/>
          <w:sz w:val="32"/>
          <w:szCs w:val="32"/>
        </w:rPr>
        <w:t>落实“谁执法谁普法”责任制，抓好特定对象的法治宣传教育，不断提高法治宣传的覆盖面、专业性、有效性。</w:t>
      </w:r>
    </w:p>
    <w:p>
      <w:pPr>
        <w:pStyle w:val="2"/>
        <w:ind w:left="640"/>
        <w:rPr>
          <w:rFonts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（三）促进严格规范公正文明执法。</w:t>
      </w:r>
      <w:r>
        <w:rPr>
          <w:rFonts w:hint="eastAsia" w:ascii="仿宋_GB2312" w:hAnsi="微软雅黑" w:eastAsia="仿宋_GB2312" w:cs="宋体"/>
          <w:b/>
          <w:color w:val="000000"/>
          <w:kern w:val="0"/>
          <w:sz w:val="32"/>
          <w:szCs w:val="32"/>
        </w:rPr>
        <w:t>一是</w:t>
      </w:r>
      <w:r>
        <w:rPr>
          <w:rFonts w:hint="eastAsia" w:ascii="仿宋_GB2312" w:hAnsi="微软雅黑" w:eastAsia="仿宋_GB2312" w:cs="宋体"/>
          <w:color w:val="000000"/>
          <w:kern w:val="0"/>
          <w:sz w:val="32"/>
          <w:szCs w:val="32"/>
        </w:rPr>
        <w:t>严格规范行政</w:t>
      </w:r>
    </w:p>
    <w:p>
      <w:pPr>
        <w:pStyle w:val="2"/>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执法，严格落实执法监督工作，进一步健全完善行政执法监督机制，强化行政执法监督。</w:t>
      </w:r>
      <w:r>
        <w:rPr>
          <w:rFonts w:hint="eastAsia" w:ascii="仿宋_GB2312" w:hAnsi="微软雅黑" w:eastAsia="仿宋_GB2312" w:cs="宋体"/>
          <w:b/>
          <w:color w:val="000000"/>
          <w:kern w:val="0"/>
          <w:sz w:val="32"/>
          <w:szCs w:val="32"/>
        </w:rPr>
        <w:t>二是</w:t>
      </w:r>
      <w:r>
        <w:rPr>
          <w:rFonts w:hint="eastAsia" w:ascii="仿宋_GB2312" w:hAnsi="微软雅黑" w:eastAsia="仿宋_GB2312" w:cs="宋体"/>
          <w:color w:val="000000"/>
          <w:kern w:val="0"/>
          <w:sz w:val="32"/>
          <w:szCs w:val="32"/>
        </w:rPr>
        <w:t>加强行政执法案卷评查工作落实，定期组织全体行政执法人员开展培训，以查促改促规范，进一步提高行政执法人员的能力和水平。</w:t>
      </w:r>
      <w:r>
        <w:rPr>
          <w:rFonts w:hint="eastAsia" w:ascii="仿宋_GB2312" w:hAnsi="微软雅黑" w:eastAsia="仿宋_GB2312" w:cs="宋体"/>
          <w:b/>
          <w:color w:val="000000"/>
          <w:kern w:val="0"/>
          <w:sz w:val="32"/>
          <w:szCs w:val="32"/>
        </w:rPr>
        <w:t>三是</w:t>
      </w:r>
      <w:r>
        <w:rPr>
          <w:rFonts w:hint="eastAsia" w:ascii="仿宋_GB2312" w:hAnsi="微软雅黑" w:eastAsia="仿宋_GB2312" w:cs="宋体"/>
          <w:color w:val="000000"/>
          <w:kern w:val="0"/>
          <w:sz w:val="32"/>
          <w:szCs w:val="32"/>
        </w:rPr>
        <w:t>严格执行行政执法“三项制度”，加大行政执法公示力度，发挥法制审核流程对于作出重大执法决定的重要前置作用，为执法决定的合法性合规性提供法律支撑。</w:t>
      </w: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bookmarkStart w:id="0" w:name="_GoBack"/>
      <w:bookmarkEnd w:id="0"/>
    </w:p>
    <w:p>
      <w:pPr>
        <w:widowControl/>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朝阳区太阳宫乡人民政府</w:t>
      </w:r>
    </w:p>
    <w:p>
      <w:pPr>
        <w:widowControl/>
        <w:ind w:firstLine="5120" w:firstLineChars="1600"/>
        <w:jc w:val="lef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387C"/>
    <w:multiLevelType w:val="singleLevel"/>
    <w:tmpl w:val="CBD338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zYmE3ZGVlNDI4NWM3ZWJhZTcwNmNiNDY0MzM2MTEifQ=="/>
  </w:docVars>
  <w:rsids>
    <w:rsidRoot w:val="5CFA65E9"/>
    <w:rsid w:val="00092509"/>
    <w:rsid w:val="00107438"/>
    <w:rsid w:val="001E4817"/>
    <w:rsid w:val="006455DB"/>
    <w:rsid w:val="006826D7"/>
    <w:rsid w:val="008B54F2"/>
    <w:rsid w:val="008B5614"/>
    <w:rsid w:val="00923BC5"/>
    <w:rsid w:val="00AE7518"/>
    <w:rsid w:val="00CB54C6"/>
    <w:rsid w:val="00DA55F3"/>
    <w:rsid w:val="00FB7054"/>
    <w:rsid w:val="00FD7DD1"/>
    <w:rsid w:val="02111B48"/>
    <w:rsid w:val="022A49B8"/>
    <w:rsid w:val="02A46519"/>
    <w:rsid w:val="02BA21E0"/>
    <w:rsid w:val="039D33F2"/>
    <w:rsid w:val="03C62F78"/>
    <w:rsid w:val="03EB7101"/>
    <w:rsid w:val="04381C1C"/>
    <w:rsid w:val="046A683D"/>
    <w:rsid w:val="0476467D"/>
    <w:rsid w:val="04B74366"/>
    <w:rsid w:val="04BF52B3"/>
    <w:rsid w:val="04E93DAC"/>
    <w:rsid w:val="05562BF2"/>
    <w:rsid w:val="058E0A79"/>
    <w:rsid w:val="05943354"/>
    <w:rsid w:val="059F7DDE"/>
    <w:rsid w:val="05C50C80"/>
    <w:rsid w:val="06055520"/>
    <w:rsid w:val="062067FE"/>
    <w:rsid w:val="068D0452"/>
    <w:rsid w:val="06C43D64"/>
    <w:rsid w:val="06C7528D"/>
    <w:rsid w:val="06D3112C"/>
    <w:rsid w:val="06DF5D71"/>
    <w:rsid w:val="07750484"/>
    <w:rsid w:val="07941E2A"/>
    <w:rsid w:val="07D26499"/>
    <w:rsid w:val="08234384"/>
    <w:rsid w:val="084E2D02"/>
    <w:rsid w:val="089B03BE"/>
    <w:rsid w:val="094001B5"/>
    <w:rsid w:val="09896B71"/>
    <w:rsid w:val="0992356F"/>
    <w:rsid w:val="09C1065F"/>
    <w:rsid w:val="0A3D532E"/>
    <w:rsid w:val="0A4A3C4C"/>
    <w:rsid w:val="0A6B3BD1"/>
    <w:rsid w:val="0AE217DD"/>
    <w:rsid w:val="0B0E57A5"/>
    <w:rsid w:val="0B57235E"/>
    <w:rsid w:val="0B980BE5"/>
    <w:rsid w:val="0BCD5120"/>
    <w:rsid w:val="0C0028DE"/>
    <w:rsid w:val="0C1D7ECC"/>
    <w:rsid w:val="0C442205"/>
    <w:rsid w:val="0CA061EC"/>
    <w:rsid w:val="0CAF4438"/>
    <w:rsid w:val="0CEA08B0"/>
    <w:rsid w:val="0D13242E"/>
    <w:rsid w:val="0D305043"/>
    <w:rsid w:val="0DA00351"/>
    <w:rsid w:val="0DFF43FB"/>
    <w:rsid w:val="101A606C"/>
    <w:rsid w:val="10651B06"/>
    <w:rsid w:val="106A53AB"/>
    <w:rsid w:val="10B244F7"/>
    <w:rsid w:val="10BE1637"/>
    <w:rsid w:val="10D206F5"/>
    <w:rsid w:val="11827B5A"/>
    <w:rsid w:val="11877731"/>
    <w:rsid w:val="11AD363C"/>
    <w:rsid w:val="11AE33D8"/>
    <w:rsid w:val="11CC15E8"/>
    <w:rsid w:val="122C31C7"/>
    <w:rsid w:val="129160B9"/>
    <w:rsid w:val="12F70251"/>
    <w:rsid w:val="131E7C21"/>
    <w:rsid w:val="135B4D29"/>
    <w:rsid w:val="137F2B03"/>
    <w:rsid w:val="139F17AD"/>
    <w:rsid w:val="13E27CC1"/>
    <w:rsid w:val="13FC37AF"/>
    <w:rsid w:val="141C5C55"/>
    <w:rsid w:val="14430E14"/>
    <w:rsid w:val="15193B7B"/>
    <w:rsid w:val="1562750C"/>
    <w:rsid w:val="157F5FBC"/>
    <w:rsid w:val="158E0DFF"/>
    <w:rsid w:val="169D6626"/>
    <w:rsid w:val="16AB2114"/>
    <w:rsid w:val="170640A9"/>
    <w:rsid w:val="180F58A4"/>
    <w:rsid w:val="185D2B9E"/>
    <w:rsid w:val="1865607E"/>
    <w:rsid w:val="18D40791"/>
    <w:rsid w:val="18E53468"/>
    <w:rsid w:val="19177B2E"/>
    <w:rsid w:val="19290BEF"/>
    <w:rsid w:val="199B211E"/>
    <w:rsid w:val="19CD5F2C"/>
    <w:rsid w:val="19F733C3"/>
    <w:rsid w:val="19FC700F"/>
    <w:rsid w:val="1A9E4E5F"/>
    <w:rsid w:val="1C580648"/>
    <w:rsid w:val="1C7B67E3"/>
    <w:rsid w:val="1C932A5B"/>
    <w:rsid w:val="1C9456B8"/>
    <w:rsid w:val="1CAC6D58"/>
    <w:rsid w:val="1CB87BEC"/>
    <w:rsid w:val="1CCD222B"/>
    <w:rsid w:val="1CE7453B"/>
    <w:rsid w:val="1D142E25"/>
    <w:rsid w:val="1D350989"/>
    <w:rsid w:val="1E1B192D"/>
    <w:rsid w:val="1E744035"/>
    <w:rsid w:val="1E8E0351"/>
    <w:rsid w:val="1F2D7B6A"/>
    <w:rsid w:val="1F431180"/>
    <w:rsid w:val="1F5161AE"/>
    <w:rsid w:val="1FD8411C"/>
    <w:rsid w:val="1FEA7809"/>
    <w:rsid w:val="20545EF4"/>
    <w:rsid w:val="206F7D0E"/>
    <w:rsid w:val="208234F0"/>
    <w:rsid w:val="20B56069"/>
    <w:rsid w:val="210A4F69"/>
    <w:rsid w:val="21BE2CFB"/>
    <w:rsid w:val="21FC3944"/>
    <w:rsid w:val="220A23E4"/>
    <w:rsid w:val="220C2143"/>
    <w:rsid w:val="22602004"/>
    <w:rsid w:val="22815A8D"/>
    <w:rsid w:val="22AA2394"/>
    <w:rsid w:val="22C12EF7"/>
    <w:rsid w:val="22E57426"/>
    <w:rsid w:val="23843AD1"/>
    <w:rsid w:val="23DA3FD0"/>
    <w:rsid w:val="24B959FC"/>
    <w:rsid w:val="24CB5C0B"/>
    <w:rsid w:val="25257535"/>
    <w:rsid w:val="25277A52"/>
    <w:rsid w:val="256B5F3E"/>
    <w:rsid w:val="26C863CA"/>
    <w:rsid w:val="26FC3D7C"/>
    <w:rsid w:val="270D135C"/>
    <w:rsid w:val="27AD070C"/>
    <w:rsid w:val="28212236"/>
    <w:rsid w:val="286A5AB8"/>
    <w:rsid w:val="29C42595"/>
    <w:rsid w:val="29F86FC6"/>
    <w:rsid w:val="2A027E45"/>
    <w:rsid w:val="2A0D390F"/>
    <w:rsid w:val="2AED1449"/>
    <w:rsid w:val="2B106037"/>
    <w:rsid w:val="2B2151EF"/>
    <w:rsid w:val="2B4D32E7"/>
    <w:rsid w:val="2B9146EE"/>
    <w:rsid w:val="2C1B49F8"/>
    <w:rsid w:val="2C696789"/>
    <w:rsid w:val="2CAC0DEA"/>
    <w:rsid w:val="2CF11027"/>
    <w:rsid w:val="2D092718"/>
    <w:rsid w:val="2D0A244C"/>
    <w:rsid w:val="2D23435A"/>
    <w:rsid w:val="2D7050C6"/>
    <w:rsid w:val="2DA134D1"/>
    <w:rsid w:val="2DCF6290"/>
    <w:rsid w:val="2DFE2157"/>
    <w:rsid w:val="2E081C4F"/>
    <w:rsid w:val="2E1974FC"/>
    <w:rsid w:val="2F146650"/>
    <w:rsid w:val="2F2A4A62"/>
    <w:rsid w:val="2F3B59A0"/>
    <w:rsid w:val="2F7F19E0"/>
    <w:rsid w:val="2FA2465D"/>
    <w:rsid w:val="2FF524D3"/>
    <w:rsid w:val="31396AC1"/>
    <w:rsid w:val="314159BA"/>
    <w:rsid w:val="31912C62"/>
    <w:rsid w:val="31F16FD4"/>
    <w:rsid w:val="32610017"/>
    <w:rsid w:val="332E1CAB"/>
    <w:rsid w:val="33A930DF"/>
    <w:rsid w:val="342F3450"/>
    <w:rsid w:val="349266BC"/>
    <w:rsid w:val="34D20E7F"/>
    <w:rsid w:val="34F92AFA"/>
    <w:rsid w:val="356674DA"/>
    <w:rsid w:val="35747E49"/>
    <w:rsid w:val="361569EA"/>
    <w:rsid w:val="363657DD"/>
    <w:rsid w:val="368C0D23"/>
    <w:rsid w:val="36A80D9D"/>
    <w:rsid w:val="36D6512A"/>
    <w:rsid w:val="37160A8C"/>
    <w:rsid w:val="38033706"/>
    <w:rsid w:val="3809276A"/>
    <w:rsid w:val="382416E3"/>
    <w:rsid w:val="382472D1"/>
    <w:rsid w:val="38815D01"/>
    <w:rsid w:val="389B595C"/>
    <w:rsid w:val="38F83CED"/>
    <w:rsid w:val="39EB26A4"/>
    <w:rsid w:val="3A3556CD"/>
    <w:rsid w:val="3B836660"/>
    <w:rsid w:val="3BD97807"/>
    <w:rsid w:val="3BDE3A31"/>
    <w:rsid w:val="3C8742C2"/>
    <w:rsid w:val="3CF41DDE"/>
    <w:rsid w:val="3D37175C"/>
    <w:rsid w:val="3D9A2417"/>
    <w:rsid w:val="3E1D6822"/>
    <w:rsid w:val="3E235CFC"/>
    <w:rsid w:val="3E5D6A1E"/>
    <w:rsid w:val="3E777343"/>
    <w:rsid w:val="3EAD7905"/>
    <w:rsid w:val="3EE6343A"/>
    <w:rsid w:val="3EE653F4"/>
    <w:rsid w:val="401C7396"/>
    <w:rsid w:val="405D2336"/>
    <w:rsid w:val="40CD508D"/>
    <w:rsid w:val="413E130B"/>
    <w:rsid w:val="426F4FA0"/>
    <w:rsid w:val="42B705DC"/>
    <w:rsid w:val="433B319B"/>
    <w:rsid w:val="434A3F97"/>
    <w:rsid w:val="438D5133"/>
    <w:rsid w:val="43A231D4"/>
    <w:rsid w:val="43EA2920"/>
    <w:rsid w:val="43EC5D68"/>
    <w:rsid w:val="44444E8A"/>
    <w:rsid w:val="444906F3"/>
    <w:rsid w:val="45336CAD"/>
    <w:rsid w:val="459834E2"/>
    <w:rsid w:val="45C73FC5"/>
    <w:rsid w:val="463476FE"/>
    <w:rsid w:val="47BE31A6"/>
    <w:rsid w:val="47BE6D02"/>
    <w:rsid w:val="47CB7CCB"/>
    <w:rsid w:val="47E55AB9"/>
    <w:rsid w:val="4871646A"/>
    <w:rsid w:val="48831CF9"/>
    <w:rsid w:val="488F0DE5"/>
    <w:rsid w:val="49401895"/>
    <w:rsid w:val="49804BB7"/>
    <w:rsid w:val="49841E27"/>
    <w:rsid w:val="498C0390"/>
    <w:rsid w:val="49AF52A5"/>
    <w:rsid w:val="49D55D26"/>
    <w:rsid w:val="49F46332"/>
    <w:rsid w:val="4A1B668D"/>
    <w:rsid w:val="4A9F60A6"/>
    <w:rsid w:val="4AB56AE2"/>
    <w:rsid w:val="4B4C1B77"/>
    <w:rsid w:val="4B7324F9"/>
    <w:rsid w:val="4B956F5E"/>
    <w:rsid w:val="4BA80C9D"/>
    <w:rsid w:val="4C5C6FAF"/>
    <w:rsid w:val="4CFB0474"/>
    <w:rsid w:val="4E1D00B4"/>
    <w:rsid w:val="4E8C2515"/>
    <w:rsid w:val="4EAA4484"/>
    <w:rsid w:val="4ED53A9B"/>
    <w:rsid w:val="4F405D22"/>
    <w:rsid w:val="4F4414ED"/>
    <w:rsid w:val="506256B2"/>
    <w:rsid w:val="514F3310"/>
    <w:rsid w:val="517B4E84"/>
    <w:rsid w:val="51F1550F"/>
    <w:rsid w:val="52301786"/>
    <w:rsid w:val="527B3B23"/>
    <w:rsid w:val="52AD5B4C"/>
    <w:rsid w:val="53214D94"/>
    <w:rsid w:val="53296874"/>
    <w:rsid w:val="53303822"/>
    <w:rsid w:val="53B536AF"/>
    <w:rsid w:val="53D46EFA"/>
    <w:rsid w:val="54260108"/>
    <w:rsid w:val="543C73D2"/>
    <w:rsid w:val="5508203C"/>
    <w:rsid w:val="55137CC4"/>
    <w:rsid w:val="55A16646"/>
    <w:rsid w:val="55F36FE3"/>
    <w:rsid w:val="56B82C08"/>
    <w:rsid w:val="56DB6E5F"/>
    <w:rsid w:val="56E2580A"/>
    <w:rsid w:val="573E1C0D"/>
    <w:rsid w:val="579C32FD"/>
    <w:rsid w:val="57A06424"/>
    <w:rsid w:val="57C57C3E"/>
    <w:rsid w:val="584F05EC"/>
    <w:rsid w:val="586D0C97"/>
    <w:rsid w:val="58873140"/>
    <w:rsid w:val="58AF026F"/>
    <w:rsid w:val="59037D58"/>
    <w:rsid w:val="59044790"/>
    <w:rsid w:val="59215342"/>
    <w:rsid w:val="59AB7D86"/>
    <w:rsid w:val="59BF29D9"/>
    <w:rsid w:val="59DD42CA"/>
    <w:rsid w:val="5A545AC3"/>
    <w:rsid w:val="5AB044E2"/>
    <w:rsid w:val="5AD4179F"/>
    <w:rsid w:val="5AE25BB0"/>
    <w:rsid w:val="5C5A01B9"/>
    <w:rsid w:val="5CE059E4"/>
    <w:rsid w:val="5CFA65E9"/>
    <w:rsid w:val="5D3513BC"/>
    <w:rsid w:val="5D577585"/>
    <w:rsid w:val="5D6C7940"/>
    <w:rsid w:val="5D8D11F8"/>
    <w:rsid w:val="5DC10EA2"/>
    <w:rsid w:val="5DE3706A"/>
    <w:rsid w:val="5DF9063C"/>
    <w:rsid w:val="5E136319"/>
    <w:rsid w:val="5F25343D"/>
    <w:rsid w:val="5F2B2A77"/>
    <w:rsid w:val="5F461D36"/>
    <w:rsid w:val="5F7855C9"/>
    <w:rsid w:val="5F8717CF"/>
    <w:rsid w:val="5F9C3BD3"/>
    <w:rsid w:val="5FC5399A"/>
    <w:rsid w:val="5FFB15EE"/>
    <w:rsid w:val="60130B0B"/>
    <w:rsid w:val="60234096"/>
    <w:rsid w:val="6037369D"/>
    <w:rsid w:val="60856051"/>
    <w:rsid w:val="609D4E6C"/>
    <w:rsid w:val="60EE04CB"/>
    <w:rsid w:val="61007F33"/>
    <w:rsid w:val="610C6B75"/>
    <w:rsid w:val="612754C0"/>
    <w:rsid w:val="61A44D62"/>
    <w:rsid w:val="61B24CA5"/>
    <w:rsid w:val="61EB473F"/>
    <w:rsid w:val="61F07FA8"/>
    <w:rsid w:val="62E65CC6"/>
    <w:rsid w:val="62E91642"/>
    <w:rsid w:val="641C2F18"/>
    <w:rsid w:val="641C5084"/>
    <w:rsid w:val="643109D0"/>
    <w:rsid w:val="647D75ED"/>
    <w:rsid w:val="648373FE"/>
    <w:rsid w:val="64C179D9"/>
    <w:rsid w:val="64C37BF6"/>
    <w:rsid w:val="658F36BC"/>
    <w:rsid w:val="65DE74F1"/>
    <w:rsid w:val="660440B1"/>
    <w:rsid w:val="66A67349"/>
    <w:rsid w:val="66EC30DB"/>
    <w:rsid w:val="677027C6"/>
    <w:rsid w:val="679B0132"/>
    <w:rsid w:val="686A23AC"/>
    <w:rsid w:val="691702AA"/>
    <w:rsid w:val="69651B46"/>
    <w:rsid w:val="697B1215"/>
    <w:rsid w:val="69984FFC"/>
    <w:rsid w:val="6ACE4BFE"/>
    <w:rsid w:val="6ADB7A47"/>
    <w:rsid w:val="6B625809"/>
    <w:rsid w:val="6C00269D"/>
    <w:rsid w:val="6D6D1DA3"/>
    <w:rsid w:val="6DA551EE"/>
    <w:rsid w:val="6E57633D"/>
    <w:rsid w:val="6E9C74ED"/>
    <w:rsid w:val="6FCF744E"/>
    <w:rsid w:val="6FF43359"/>
    <w:rsid w:val="70112EB3"/>
    <w:rsid w:val="7027728A"/>
    <w:rsid w:val="709F341F"/>
    <w:rsid w:val="70F9040F"/>
    <w:rsid w:val="71351DB7"/>
    <w:rsid w:val="71A02C3B"/>
    <w:rsid w:val="71CF1ADF"/>
    <w:rsid w:val="7217679E"/>
    <w:rsid w:val="724D65B6"/>
    <w:rsid w:val="725C7355"/>
    <w:rsid w:val="72803220"/>
    <w:rsid w:val="729D1A86"/>
    <w:rsid w:val="72A9042B"/>
    <w:rsid w:val="72DB435C"/>
    <w:rsid w:val="72DF209E"/>
    <w:rsid w:val="72EA5653"/>
    <w:rsid w:val="73263829"/>
    <w:rsid w:val="746F7452"/>
    <w:rsid w:val="74C94A0F"/>
    <w:rsid w:val="75433FDB"/>
    <w:rsid w:val="75510906"/>
    <w:rsid w:val="758C63E9"/>
    <w:rsid w:val="760D6F22"/>
    <w:rsid w:val="76634790"/>
    <w:rsid w:val="76D8308D"/>
    <w:rsid w:val="77035D50"/>
    <w:rsid w:val="77065E4C"/>
    <w:rsid w:val="77110705"/>
    <w:rsid w:val="773C15B9"/>
    <w:rsid w:val="778B6351"/>
    <w:rsid w:val="77980A6E"/>
    <w:rsid w:val="7842430C"/>
    <w:rsid w:val="785D5F3F"/>
    <w:rsid w:val="78D15FE5"/>
    <w:rsid w:val="78E4686E"/>
    <w:rsid w:val="794E424D"/>
    <w:rsid w:val="795D1F6F"/>
    <w:rsid w:val="799A3E51"/>
    <w:rsid w:val="7A66756B"/>
    <w:rsid w:val="7AE44C95"/>
    <w:rsid w:val="7AEA122F"/>
    <w:rsid w:val="7B0E478F"/>
    <w:rsid w:val="7BCF76DB"/>
    <w:rsid w:val="7C3F3F13"/>
    <w:rsid w:val="7CA0464C"/>
    <w:rsid w:val="7D1A3515"/>
    <w:rsid w:val="7D1B74A7"/>
    <w:rsid w:val="7D4F1BCF"/>
    <w:rsid w:val="7DB1712E"/>
    <w:rsid w:val="7E10052B"/>
    <w:rsid w:val="7E745D91"/>
    <w:rsid w:val="7EDE320A"/>
    <w:rsid w:val="7EFB0260"/>
    <w:rsid w:val="7EFC18E2"/>
    <w:rsid w:val="7F2331AA"/>
    <w:rsid w:val="7F404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lock Text"/>
    <w:basedOn w:val="1"/>
    <w:qFormat/>
    <w:uiPriority w:val="0"/>
    <w:pPr>
      <w:spacing w:after="120"/>
      <w:ind w:left="1440" w:leftChars="700" w:right="1440" w:rightChars="7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7873</Words>
  <Characters>7978</Characters>
  <Lines>64</Lines>
  <Paragraphs>18</Paragraphs>
  <TotalTime>2</TotalTime>
  <ScaleCrop>false</ScaleCrop>
  <LinksUpToDate>false</LinksUpToDate>
  <CharactersWithSpaces>7987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2021-11-26T07:28:00Z</dcterms:created>
  <dc:creator>HHDN</dc:creator>
  <cp:lastModifiedBy>王圣晨</cp:lastModifiedBy>
  <cp:lastPrinted>2021-12-13T06:13:00Z</cp:lastPrinted>
  <dcterms:modified xsi:type="dcterms:W3CDTF">2022-12-29T01:19:51Z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71D84FB19C124FF4BBCFC34E25EE7D06</vt:lpwstr>
  </property>
</Properties>
</file>