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微软雅黑" w:hAnsi="微软雅黑" w:eastAsia="微软雅黑" w:cs="宋体"/>
          <w:kern w:val="36"/>
          <w:sz w:val="47"/>
          <w:szCs w:val="47"/>
        </w:rPr>
      </w:pPr>
      <w:r>
        <w:rPr>
          <w:rFonts w:hint="eastAsia" w:ascii="微软雅黑" w:hAnsi="微软雅黑" w:eastAsia="微软雅黑" w:cs="宋体"/>
          <w:kern w:val="36"/>
          <w:sz w:val="47"/>
          <w:szCs w:val="47"/>
        </w:rPr>
        <w:t>行政处罚立案依据</w:t>
      </w:r>
    </w:p>
    <w:p>
      <w:pPr>
        <w:pStyle w:val="5"/>
        <w:shd w:val="clear" w:color="auto" w:fill="FFFFFF"/>
        <w:spacing w:before="251" w:beforeAutospacing="0" w:after="251" w:afterAutospacing="0"/>
        <w:ind w:firstLine="480"/>
        <w:rPr>
          <w:rFonts w:ascii="微软雅黑" w:hAnsi="微软雅黑" w:eastAsia="微软雅黑"/>
          <w:color w:val="404040"/>
          <w:sz w:val="27"/>
          <w:szCs w:val="27"/>
        </w:rPr>
      </w:pPr>
      <w:r>
        <w:rPr>
          <w:rFonts w:hint="eastAsia" w:ascii="微软雅黑" w:hAnsi="微软雅黑" w:eastAsia="微软雅黑"/>
          <w:color w:val="404040"/>
          <w:sz w:val="27"/>
          <w:szCs w:val="27"/>
        </w:rPr>
        <w:t>北京市朝阳区人民政府麦子店街道办事处行政处罚立案依据是《中华人民共和国行政处罚法》第五十四条“行政机关发现公民、法人或者其他组织有依法应当给予行政处罚的行为的，必须全面、客观、公正地调查，收集有关证据，必要时，依照法律、法规的规定，可以进行检查。符合立案标准的，行政机关应当及时立案”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069"/>
    <w:rsid w:val="003F2069"/>
    <w:rsid w:val="007A4A5E"/>
    <w:rsid w:val="7800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ScaleCrop>false</ScaleCrop>
  <LinksUpToDate>false</LinksUpToDate>
  <CharactersWithSpaces>239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2023-01-10T08:40:00Z</dcterms:created>
  <dc:creator>sfs-liu-pc</dc:creator>
  <cp:lastModifiedBy>user</cp:lastModifiedBy>
  <dcterms:modified xsi:type="dcterms:W3CDTF">2025-04-15T06:57:54Z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