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政府工作报告重点工作落实情况表（第二季度）</w:t>
      </w:r>
    </w:p>
    <w:tbl>
      <w:tblPr>
        <w:tblStyle w:val="13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第118项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加大住房保障力度，建设筹集公租房、共有产权房等各类政策性住房5万套（间），竣工8万套（间），新增市场租房补贴户5000户，补贴发放户不低于2万户。支持发展集体土地租赁住房，鼓励存量闲置商业、办公楼宇等改造为租赁型宿舍或公寓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截至2021年6月底，本年度新增市场租房保障家庭598户。其中，本月新增发放55户。本月市场租房补贴发放1730户，1739户次。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80AF2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B53587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0E973-CB5A-42F4-BCA2-57F3F788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196</Words>
  <Characters>1119</Characters>
  <Lines>9</Lines>
  <Paragraphs>2</Paragraphs>
  <ScaleCrop>false</ScaleCrop>
  <LinksUpToDate>false</LinksUpToDate>
  <CharactersWithSpaces>1313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2021-11-09T11:39:00Z</dcterms:created>
  <dc:creator>lidong</dc:creator>
  <cp:lastModifiedBy>赵广辉</cp:lastModifiedBy>
  <cp:lastPrinted>2019-04-03T03:16:00Z</cp:lastPrinted>
  <dcterms:modified xsi:type="dcterms:W3CDTF">2021-11-29T02:59:36Z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