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D0E0C">
      <w:pPr>
        <w:keepNext w:val="0"/>
        <w:keepLines w:val="0"/>
        <w:pageBreakBefore w:val="0"/>
        <w:widowControl w:val="0"/>
        <w:kinsoku/>
        <w:wordWrap/>
        <w:overflowPunct/>
        <w:topLinePunct w:val="0"/>
        <w:autoSpaceDE/>
        <w:autoSpaceDN/>
        <w:bidi w:val="0"/>
        <w:adjustRightInd/>
        <w:snapToGrid/>
        <w:spacing w:before="159" w:beforeLines="50" w:line="400" w:lineRule="exact"/>
        <w:jc w:val="both"/>
        <w:textAlignment w:val="auto"/>
        <w:rPr>
          <w:rFonts w:hint="eastAsia" w:ascii="黑体" w:hAnsi="黑体" w:eastAsia="黑体" w:cs="黑体"/>
          <w:spacing w:val="-10"/>
          <w:sz w:val="32"/>
          <w:szCs w:val="32"/>
          <w:lang w:eastAsia="zh-CN"/>
        </w:rPr>
      </w:pPr>
      <w:r>
        <w:rPr>
          <w:rFonts w:hint="eastAsia" w:ascii="黑体" w:hAnsi="黑体" w:eastAsia="黑体" w:cs="黑体"/>
          <w:spacing w:val="-10"/>
          <w:sz w:val="32"/>
          <w:szCs w:val="32"/>
          <w:lang w:eastAsia="zh-CN"/>
        </w:rPr>
        <w:t>附件</w:t>
      </w:r>
    </w:p>
    <w:p w14:paraId="25C936D3">
      <w:pPr>
        <w:spacing w:before="159" w:beforeLines="50" w:line="620" w:lineRule="exact"/>
        <w:jc w:val="center"/>
        <w:rPr>
          <w:rFonts w:eastAsia="楷体_GB2312"/>
          <w:spacing w:val="-10"/>
          <w:sz w:val="36"/>
          <w:szCs w:val="36"/>
        </w:rPr>
      </w:pPr>
    </w:p>
    <w:p w14:paraId="6E0EB866">
      <w:pPr>
        <w:spacing w:before="159" w:beforeLines="50" w:line="620" w:lineRule="exact"/>
        <w:jc w:val="center"/>
        <w:rPr>
          <w:rFonts w:eastAsia="楷体_GB2312"/>
          <w:spacing w:val="-10"/>
          <w:sz w:val="36"/>
          <w:szCs w:val="36"/>
        </w:rPr>
      </w:pPr>
    </w:p>
    <w:p w14:paraId="7092C014">
      <w:pPr>
        <w:pBdr>
          <w:top w:val="none" w:color="auto" w:sz="0" w:space="1"/>
          <w:left w:val="none" w:color="auto" w:sz="0" w:space="4"/>
          <w:bottom w:val="none" w:color="auto" w:sz="0" w:space="1"/>
          <w:right w:val="none" w:color="auto" w:sz="0" w:space="4"/>
        </w:pBdr>
        <w:spacing w:after="0" w:line="640" w:lineRule="exact"/>
        <w:jc w:val="center"/>
        <w:rPr>
          <w:rFonts w:hint="eastAsia" w:eastAsia="方正小标宋简体"/>
          <w:sz w:val="48"/>
          <w:szCs w:val="48"/>
        </w:rPr>
      </w:pPr>
      <w:r>
        <w:rPr>
          <w:rFonts w:hint="eastAsia" w:eastAsia="方正小标宋简体"/>
          <w:sz w:val="48"/>
          <w:szCs w:val="48"/>
          <w:lang w:eastAsia="zh-CN"/>
        </w:rPr>
        <w:t>北京市</w:t>
      </w:r>
      <w:r>
        <w:rPr>
          <w:rFonts w:hint="eastAsia" w:eastAsia="方正小标宋简体"/>
          <w:sz w:val="48"/>
          <w:szCs w:val="48"/>
        </w:rPr>
        <w:t>朝阳区</w:t>
      </w:r>
    </w:p>
    <w:p w14:paraId="3D48E6DA">
      <w:pPr>
        <w:pBdr>
          <w:top w:val="none" w:color="auto" w:sz="0" w:space="1"/>
          <w:left w:val="none" w:color="auto" w:sz="0" w:space="4"/>
          <w:bottom w:val="none" w:color="auto" w:sz="0" w:space="1"/>
          <w:right w:val="none" w:color="auto" w:sz="0" w:space="4"/>
        </w:pBdr>
        <w:spacing w:after="0" w:line="640" w:lineRule="exact"/>
        <w:jc w:val="center"/>
        <w:rPr>
          <w:rFonts w:hint="eastAsia" w:eastAsia="方正小标宋简体"/>
          <w:sz w:val="48"/>
          <w:szCs w:val="48"/>
        </w:rPr>
      </w:pPr>
      <w:r>
        <w:rPr>
          <w:rFonts w:hint="eastAsia" w:eastAsia="方正小标宋简体"/>
          <w:sz w:val="48"/>
          <w:szCs w:val="48"/>
        </w:rPr>
        <w:t>“十五五”时期</w:t>
      </w:r>
      <w:r>
        <w:rPr>
          <w:rFonts w:hint="eastAsia" w:eastAsia="方正小标宋简体"/>
          <w:sz w:val="48"/>
          <w:szCs w:val="48"/>
          <w:lang w:val="en-US" w:eastAsia="zh-CN"/>
        </w:rPr>
        <w:t>气象</w:t>
      </w:r>
      <w:r>
        <w:rPr>
          <w:rFonts w:hint="eastAsia" w:eastAsia="方正小标宋简体"/>
          <w:sz w:val="48"/>
          <w:szCs w:val="48"/>
        </w:rPr>
        <w:t>事业发展规划</w:t>
      </w:r>
    </w:p>
    <w:p w14:paraId="56B41C5F">
      <w:pPr>
        <w:pStyle w:val="2"/>
        <w:pBdr>
          <w:top w:val="none" w:color="auto" w:sz="0" w:space="1"/>
          <w:left w:val="none" w:color="auto" w:sz="0" w:space="4"/>
          <w:bottom w:val="none" w:color="auto" w:sz="0" w:space="1"/>
          <w:right w:val="none" w:color="auto" w:sz="0" w:space="4"/>
        </w:pBdr>
        <w:rPr>
          <w:rFonts w:eastAsia="楷体_GB2312"/>
          <w:spacing w:val="-10"/>
          <w:sz w:val="36"/>
          <w:szCs w:val="36"/>
        </w:rPr>
      </w:pPr>
    </w:p>
    <w:p w14:paraId="0DD2D5C8">
      <w:pPr>
        <w:pStyle w:val="2"/>
        <w:pBdr>
          <w:top w:val="none" w:color="auto" w:sz="0" w:space="1"/>
          <w:left w:val="none" w:color="auto" w:sz="0" w:space="4"/>
          <w:bottom w:val="none" w:color="auto" w:sz="0" w:space="1"/>
          <w:right w:val="none" w:color="auto" w:sz="0" w:space="4"/>
        </w:pBdr>
        <w:rPr>
          <w:rFonts w:eastAsia="楷体_GB2312"/>
          <w:spacing w:val="-10"/>
          <w:sz w:val="36"/>
          <w:szCs w:val="36"/>
        </w:rPr>
      </w:pPr>
    </w:p>
    <w:p w14:paraId="04A87907">
      <w:pPr>
        <w:pStyle w:val="2"/>
        <w:pBdr>
          <w:top w:val="none" w:color="auto" w:sz="0" w:space="1"/>
          <w:left w:val="none" w:color="auto" w:sz="0" w:space="4"/>
          <w:bottom w:val="none" w:color="auto" w:sz="0" w:space="1"/>
          <w:right w:val="none" w:color="auto" w:sz="0" w:space="4"/>
        </w:pBdr>
        <w:rPr>
          <w:rFonts w:eastAsia="楷体_GB2312"/>
          <w:spacing w:val="-10"/>
          <w:sz w:val="36"/>
          <w:szCs w:val="36"/>
        </w:rPr>
      </w:pPr>
    </w:p>
    <w:p w14:paraId="23292446">
      <w:pPr>
        <w:pStyle w:val="2"/>
        <w:pBdr>
          <w:top w:val="none" w:color="auto" w:sz="0" w:space="1"/>
          <w:left w:val="none" w:color="auto" w:sz="0" w:space="4"/>
          <w:bottom w:val="none" w:color="auto" w:sz="0" w:space="1"/>
          <w:right w:val="none" w:color="auto" w:sz="0" w:space="4"/>
        </w:pBdr>
        <w:rPr>
          <w:rFonts w:eastAsia="楷体_GB2312"/>
          <w:spacing w:val="-10"/>
          <w:sz w:val="36"/>
          <w:szCs w:val="36"/>
        </w:rPr>
      </w:pPr>
    </w:p>
    <w:p w14:paraId="44319D35">
      <w:pPr>
        <w:pStyle w:val="2"/>
        <w:pBdr>
          <w:top w:val="none" w:color="auto" w:sz="0" w:space="1"/>
          <w:left w:val="none" w:color="auto" w:sz="0" w:space="4"/>
          <w:bottom w:val="none" w:color="auto" w:sz="0" w:space="1"/>
          <w:right w:val="none" w:color="auto" w:sz="0" w:space="4"/>
        </w:pBdr>
        <w:rPr>
          <w:rFonts w:eastAsia="楷体_GB2312"/>
          <w:spacing w:val="-10"/>
          <w:sz w:val="36"/>
          <w:szCs w:val="36"/>
        </w:rPr>
      </w:pPr>
    </w:p>
    <w:p w14:paraId="203FB5C7">
      <w:pPr>
        <w:pStyle w:val="2"/>
        <w:pBdr>
          <w:top w:val="none" w:color="auto" w:sz="0" w:space="1"/>
          <w:left w:val="none" w:color="auto" w:sz="0" w:space="4"/>
          <w:bottom w:val="none" w:color="auto" w:sz="0" w:space="1"/>
          <w:right w:val="none" w:color="auto" w:sz="0" w:space="4"/>
        </w:pBdr>
        <w:rPr>
          <w:rFonts w:eastAsia="楷体_GB2312"/>
          <w:spacing w:val="-10"/>
          <w:sz w:val="36"/>
          <w:szCs w:val="36"/>
        </w:rPr>
      </w:pPr>
    </w:p>
    <w:p w14:paraId="0B522971">
      <w:pPr>
        <w:pStyle w:val="2"/>
        <w:pBdr>
          <w:top w:val="none" w:color="auto" w:sz="0" w:space="1"/>
          <w:left w:val="none" w:color="auto" w:sz="0" w:space="4"/>
          <w:bottom w:val="none" w:color="auto" w:sz="0" w:space="1"/>
          <w:right w:val="none" w:color="auto" w:sz="0" w:space="4"/>
        </w:pBdr>
        <w:rPr>
          <w:rFonts w:eastAsia="楷体_GB2312"/>
          <w:spacing w:val="-10"/>
          <w:sz w:val="36"/>
          <w:szCs w:val="36"/>
        </w:rPr>
      </w:pPr>
    </w:p>
    <w:p w14:paraId="2CA2CD45">
      <w:pPr>
        <w:pStyle w:val="2"/>
        <w:pBdr>
          <w:top w:val="none" w:color="auto" w:sz="0" w:space="1"/>
          <w:left w:val="none" w:color="auto" w:sz="0" w:space="4"/>
          <w:bottom w:val="none" w:color="auto" w:sz="0" w:space="1"/>
          <w:right w:val="none" w:color="auto" w:sz="0" w:space="4"/>
        </w:pBdr>
        <w:rPr>
          <w:rFonts w:eastAsia="楷体_GB2312"/>
          <w:spacing w:val="-10"/>
          <w:sz w:val="36"/>
          <w:szCs w:val="36"/>
        </w:rPr>
      </w:pPr>
    </w:p>
    <w:p w14:paraId="7BD1132A">
      <w:pPr>
        <w:pStyle w:val="2"/>
        <w:pBdr>
          <w:top w:val="none" w:color="auto" w:sz="0" w:space="1"/>
          <w:left w:val="none" w:color="auto" w:sz="0" w:space="4"/>
          <w:bottom w:val="none" w:color="auto" w:sz="0" w:space="1"/>
          <w:right w:val="none" w:color="auto" w:sz="0" w:space="4"/>
        </w:pBdr>
        <w:rPr>
          <w:rFonts w:eastAsia="楷体_GB2312"/>
          <w:spacing w:val="-10"/>
          <w:sz w:val="36"/>
          <w:szCs w:val="36"/>
        </w:rPr>
      </w:pPr>
    </w:p>
    <w:p w14:paraId="2D9A340A">
      <w:pPr>
        <w:pStyle w:val="2"/>
        <w:pBdr>
          <w:top w:val="none" w:color="auto" w:sz="0" w:space="1"/>
          <w:left w:val="none" w:color="auto" w:sz="0" w:space="4"/>
          <w:bottom w:val="none" w:color="auto" w:sz="0" w:space="1"/>
          <w:right w:val="none" w:color="auto" w:sz="0" w:space="4"/>
        </w:pBdr>
        <w:jc w:val="center"/>
        <w:rPr>
          <w:rFonts w:eastAsia="楷体_GB2312"/>
          <w:kern w:val="0"/>
          <w:sz w:val="32"/>
          <w:szCs w:val="32"/>
        </w:rPr>
      </w:pPr>
      <w:r>
        <w:rPr>
          <w:rFonts w:eastAsia="楷体_GB2312"/>
          <w:spacing w:val="-10"/>
          <w:sz w:val="36"/>
          <w:szCs w:val="36"/>
        </w:rPr>
        <w:t>202</w:t>
      </w:r>
      <w:r>
        <w:rPr>
          <w:rFonts w:hint="eastAsia" w:eastAsia="楷体_GB2312"/>
          <w:spacing w:val="-10"/>
          <w:sz w:val="36"/>
          <w:szCs w:val="36"/>
        </w:rPr>
        <w:t>6</w:t>
      </w:r>
      <w:r>
        <w:rPr>
          <w:rFonts w:eastAsia="楷体_GB2312"/>
          <w:spacing w:val="-10"/>
          <w:sz w:val="36"/>
          <w:szCs w:val="36"/>
        </w:rPr>
        <w:t>年</w:t>
      </w:r>
      <w:r>
        <w:rPr>
          <w:rFonts w:hint="eastAsia" w:eastAsia="楷体_GB2312"/>
          <w:spacing w:val="-10"/>
          <w:sz w:val="36"/>
          <w:szCs w:val="36"/>
          <w:lang w:val="en-US" w:eastAsia="zh-CN"/>
        </w:rPr>
        <w:t>10</w:t>
      </w:r>
      <w:r>
        <w:rPr>
          <w:rFonts w:eastAsia="楷体_GB2312"/>
          <w:spacing w:val="-10"/>
          <w:sz w:val="36"/>
          <w:szCs w:val="36"/>
        </w:rPr>
        <w:t>月</w:t>
      </w:r>
    </w:p>
    <w:p w14:paraId="02C3ACFA">
      <w:pPr>
        <w:pStyle w:val="6"/>
        <w:wordWrap w:val="0"/>
        <w:jc w:val="both"/>
        <w:rPr>
          <w:rFonts w:hint="eastAsia" w:eastAsia="方正小标宋简体"/>
          <w:bCs/>
          <w:sz w:val="44"/>
          <w:szCs w:val="44"/>
        </w:rPr>
      </w:pPr>
      <w:r>
        <w:rPr>
          <w:rFonts w:hint="eastAsia" w:eastAsia="方正小标宋简体"/>
          <w:bCs/>
          <w:sz w:val="44"/>
          <w:szCs w:val="44"/>
        </w:rPr>
        <w:br w:type="page"/>
      </w:r>
    </w:p>
    <w:p w14:paraId="6387CEAF">
      <w:pPr>
        <w:keepNext w:val="0"/>
        <w:keepLines w:val="0"/>
        <w:pageBreakBefore w:val="0"/>
        <w:widowControl w:val="0"/>
        <w:pBdr>
          <w:top w:val="none" w:color="auto" w:sz="0" w:space="1"/>
          <w:left w:val="none" w:color="auto" w:sz="0" w:space="4"/>
          <w:bottom w:val="none" w:color="auto" w:sz="0" w:space="1"/>
          <w:right w:val="none" w:color="auto" w:sz="0" w:space="4"/>
        </w:pBdr>
        <w:suppressAutoHyphens/>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eastAsia="黑体"/>
          <w:sz w:val="36"/>
          <w:szCs w:val="36"/>
        </w:rPr>
      </w:pPr>
      <w:r>
        <w:rPr>
          <w:rFonts w:hint="eastAsia" w:eastAsia="黑体"/>
          <w:sz w:val="36"/>
          <w:szCs w:val="36"/>
        </w:rPr>
        <w:t>序  言</w:t>
      </w:r>
    </w:p>
    <w:p w14:paraId="1D02716D">
      <w:pPr>
        <w:keepNext w:val="0"/>
        <w:keepLines w:val="0"/>
        <w:pageBreakBefore w:val="0"/>
        <w:widowControl w:val="0"/>
        <w:kinsoku/>
        <w:wordWrap/>
        <w:overflowPunct/>
        <w:topLinePunct w:val="0"/>
        <w:autoSpaceDE/>
        <w:autoSpaceDN/>
        <w:bidi w:val="0"/>
        <w:adjustRightInd/>
        <w:spacing w:line="560" w:lineRule="exact"/>
        <w:ind w:left="0" w:leftChars="0" w:right="0" w:rightChars="0" w:firstLine="0" w:firstLineChars="0"/>
        <w:jc w:val="center"/>
        <w:textAlignment w:val="auto"/>
        <w:outlineLvl w:val="9"/>
        <w:rPr>
          <w:rFonts w:hint="eastAsia"/>
          <w:lang w:eastAsia="zh-CN"/>
        </w:rPr>
      </w:pPr>
    </w:p>
    <w:p w14:paraId="4B4A291A">
      <w:pPr>
        <w:pStyle w:val="12"/>
        <w:rPr>
          <w:rFonts w:hint="eastAsia" w:ascii="Times New Roman" w:hAnsi="Times New Roman" w:cs="仿宋_GB2312"/>
          <w:kern w:val="2"/>
          <w:sz w:val="32"/>
          <w:szCs w:val="32"/>
          <w:lang w:eastAsia="zh-CN"/>
        </w:rPr>
      </w:pPr>
      <w:r>
        <w:rPr>
          <w:rFonts w:hint="eastAsia" w:ascii="Times New Roman" w:hAnsi="Times New Roman" w:cs="仿宋_GB2312"/>
          <w:kern w:val="2"/>
          <w:sz w:val="32"/>
          <w:szCs w:val="32"/>
          <w:lang w:val="en-US" w:eastAsia="zh-CN"/>
        </w:rPr>
        <w:t>“十五五”时期是朝阳区深入贯彻落实习近平总书记关于气象工作重要指示精神，服务国家发展大局、紧扣首都发展新方向、落实北京市委“四个走在前”要求的关键阶段。本规划坚持“首善”标准，围绕北京超大城市现代化治理总体部署，聚焦“气象科技能力现代化和社会服务现代化”，系统推进监测精密、预报精准、服务精细能力建设，优化以预警为先导的气象防灾减灾机制，健全气象赋能行业发展的多元保障体系，为提升“五区”功能、建好“五宜”朝阳提供坚实气象支撑。规划编制严格遵循《中华人民共和国气象法》《北京市气象灾害防御条例》等法律法规，衔接《北京城市总体规划（2016年—2035年）》《京津冀协同发展规划纲要》《北京市朝阳区国民经济和社会发展第十五个五年规划纲要》等区域战略，以《气象高质量发展纲要（2022—2035年）》《北京市人民政府关于加快推进气象事业高质量发展的意见》为纲领，依托区“十五五”规划目标，参照《气象观测技术发展引领计划（2020—2035年）》等技术指引，系统谋划朝阳区气象事业高质量发展的实施路径，为提升防灾减灾能力、保障城市安全运行、服务经济社会发展和民生幸福提供坚实支撑。</w:t>
      </w:r>
    </w:p>
    <w:p w14:paraId="6D45311E">
      <w:pPr>
        <w:rPr>
          <w:rFonts w:hint="eastAsia"/>
          <w:lang w:eastAsia="zh-CN"/>
        </w:rPr>
      </w:pPr>
      <w:r>
        <w:rPr>
          <w:rFonts w:hint="eastAsia"/>
          <w:lang w:eastAsia="zh-CN"/>
        </w:rPr>
        <w:br w:type="page"/>
      </w:r>
    </w:p>
    <w:p w14:paraId="2F7A2754">
      <w:pPr>
        <w:pStyle w:val="24"/>
        <w:pageBreakBefore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0" w:beforeLines="0" w:after="0" w:afterLines="0" w:line="560" w:lineRule="exact"/>
        <w:ind w:left="0" w:leftChars="0" w:right="0" w:rightChars="0"/>
        <w:jc w:val="center"/>
        <w:textAlignment w:val="auto"/>
        <w:rPr>
          <w:rFonts w:ascii="Times New Roman" w:hAnsi="Times New Roman" w:eastAsia="方正小标宋简体" w:cs="Times New Roman"/>
          <w:color w:val="auto"/>
          <w:sz w:val="36"/>
          <w:szCs w:val="36"/>
          <w:lang w:val="zh-CN"/>
        </w:rPr>
      </w:pPr>
      <w:r>
        <w:rPr>
          <w:rFonts w:hint="eastAsia" w:ascii="Times New Roman" w:hAnsi="Times New Roman" w:eastAsia="方正小标宋简体" w:cs="Times New Roman"/>
          <w:color w:val="auto"/>
          <w:sz w:val="36"/>
          <w:szCs w:val="36"/>
          <w:lang w:val="zh-CN"/>
        </w:rPr>
        <w:t>目  录</w:t>
      </w:r>
    </w:p>
    <w:sdt>
      <w:sdtPr>
        <w:rPr>
          <w:rFonts w:ascii="宋体" w:hAnsi="宋体" w:eastAsia="宋体" w:cs="Times New Roman"/>
          <w:kern w:val="2"/>
          <w:sz w:val="21"/>
          <w:szCs w:val="24"/>
          <w:lang w:val="en-US" w:eastAsia="zh-CN" w:bidi="ar-SA"/>
        </w:rPr>
        <w:id w:val="147452245"/>
        <w15:color w:val="DBDBDB"/>
        <w:docPartObj>
          <w:docPartGallery w:val="Table of Contents"/>
          <w:docPartUnique/>
        </w:docPartObj>
      </w:sdtPr>
      <w:sdtEndPr>
        <w:rPr>
          <w:rFonts w:hint="eastAsia" w:ascii="Times New Roman" w:hAnsi="Times New Roman" w:eastAsia="方正小标宋简体" w:cs="Times New Roman"/>
          <w:kern w:val="44"/>
          <w:sz w:val="32"/>
          <w:szCs w:val="36"/>
          <w:lang w:val="en-US" w:eastAsia="zh-CN" w:bidi="ar-SA"/>
        </w:rPr>
      </w:sdtEndPr>
      <w:sdtContent>
        <w:p w14:paraId="474FE0B6">
          <w:pPr>
            <w:keepNext w:val="0"/>
            <w:keepLines w:val="0"/>
            <w:pageBreakBefore w:val="0"/>
            <w:widowControl w:val="0"/>
            <w:kinsoku/>
            <w:wordWrap/>
            <w:overflowPunct/>
            <w:topLinePunct w:val="0"/>
            <w:autoSpaceDE/>
            <w:autoSpaceDN/>
            <w:bidi w:val="0"/>
            <w:adjustRightInd/>
            <w:spacing w:line="560" w:lineRule="exact"/>
            <w:ind w:left="0" w:leftChars="0" w:right="0" w:rightChars="0" w:firstLine="0" w:firstLineChars="0"/>
            <w:jc w:val="center"/>
            <w:textAlignment w:val="auto"/>
            <w:outlineLvl w:val="9"/>
          </w:pPr>
          <w:bookmarkStart w:id="0" w:name="_Toc216339868"/>
          <w:bookmarkStart w:id="1" w:name="_Toc216686190"/>
          <w:bookmarkStart w:id="2" w:name="_Toc218869947"/>
        </w:p>
        <w:p w14:paraId="43EA4138">
          <w:pPr>
            <w:pStyle w:val="10"/>
            <w:keepNext w:val="0"/>
            <w:keepLines w:val="0"/>
            <w:pageBreakBefore w:val="0"/>
            <w:widowControl w:val="0"/>
            <w:tabs>
              <w:tab w:val="right" w:leader="dot" w:pos="8845"/>
            </w:tabs>
            <w:kinsoku/>
            <w:wordWrap/>
            <w:overflowPunct/>
            <w:topLinePunct w:val="0"/>
            <w:autoSpaceDE/>
            <w:autoSpaceDN/>
            <w:bidi w:val="0"/>
            <w:adjustRightInd/>
            <w:snapToGrid/>
            <w:ind w:firstLine="0" w:firstLineChars="0"/>
            <w:textAlignment w:val="auto"/>
          </w:pPr>
          <w:r>
            <w:rPr>
              <w:rFonts w:hint="eastAsia" w:ascii="Times New Roman" w:hAnsi="Times New Roman" w:eastAsia="方正小标宋简体"/>
              <w:kern w:val="44"/>
              <w:sz w:val="36"/>
              <w:szCs w:val="36"/>
            </w:rPr>
            <w:fldChar w:fldCharType="begin"/>
          </w:r>
          <w:r>
            <w:rPr>
              <w:rFonts w:hint="eastAsia" w:ascii="Times New Roman" w:hAnsi="Times New Roman" w:eastAsia="方正小标宋简体"/>
              <w:kern w:val="44"/>
              <w:sz w:val="36"/>
              <w:szCs w:val="36"/>
            </w:rPr>
            <w:instrText xml:space="preserve">TOC \o "1-2" \h \u </w:instrText>
          </w:r>
          <w:r>
            <w:rPr>
              <w:rFonts w:hint="eastAsia" w:ascii="Times New Roman" w:hAnsi="Times New Roman" w:eastAsia="方正小标宋简体"/>
              <w:kern w:val="44"/>
              <w:sz w:val="36"/>
              <w:szCs w:val="36"/>
            </w:rPr>
            <w:fldChar w:fldCharType="separate"/>
          </w:r>
          <w:r>
            <w:rPr>
              <w:rFonts w:hint="default" w:ascii="Times New Roman" w:hAnsi="Times New Roman" w:eastAsia="黑体" w:cs="Times New Roman"/>
              <w:kern w:val="44"/>
              <w:sz w:val="32"/>
              <w:szCs w:val="32"/>
            </w:rPr>
            <w:fldChar w:fldCharType="begin"/>
          </w:r>
          <w:r>
            <w:rPr>
              <w:rFonts w:hint="default" w:ascii="Times New Roman" w:hAnsi="Times New Roman" w:eastAsia="黑体" w:cs="Times New Roman"/>
              <w:kern w:val="44"/>
              <w:sz w:val="32"/>
              <w:szCs w:val="32"/>
            </w:rPr>
            <w:instrText xml:space="preserve"> HYPERLINK \l _Toc5679 </w:instrText>
          </w:r>
          <w:r>
            <w:rPr>
              <w:rFonts w:hint="default" w:ascii="Times New Roman" w:hAnsi="Times New Roman" w:eastAsia="黑体" w:cs="Times New Roman"/>
              <w:kern w:val="44"/>
              <w:sz w:val="32"/>
              <w:szCs w:val="32"/>
            </w:rPr>
            <w:fldChar w:fldCharType="separate"/>
          </w:r>
          <w:r>
            <w:rPr>
              <w:rFonts w:hint="default" w:ascii="Times New Roman" w:hAnsi="Times New Roman" w:eastAsia="黑体" w:cs="Times New Roman"/>
              <w:kern w:val="44"/>
              <w:sz w:val="32"/>
              <w:szCs w:val="32"/>
            </w:rPr>
            <w:t xml:space="preserve">第一篇 </w:t>
          </w:r>
          <w:r>
            <w:rPr>
              <w:rFonts w:hint="default" w:ascii="Times New Roman" w:hAnsi="Times New Roman" w:eastAsia="黑体" w:cs="Times New Roman"/>
              <w:kern w:val="44"/>
              <w:sz w:val="32"/>
              <w:szCs w:val="32"/>
              <w:lang w:val="en-US" w:eastAsia="zh-CN"/>
            </w:rPr>
            <w:t>“十四五”时期工作成效</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_Toc5679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1</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kern w:val="44"/>
              <w:sz w:val="32"/>
              <w:szCs w:val="32"/>
            </w:rPr>
            <w:fldChar w:fldCharType="end"/>
          </w:r>
        </w:p>
        <w:p w14:paraId="6F88BB24">
          <w:pPr>
            <w:pStyle w:val="13"/>
            <w:tabs>
              <w:tab w:val="right" w:leader="dot" w:pos="8845"/>
            </w:tabs>
            <w:rPr>
              <w:rFonts w:hint="default" w:ascii="Times New Roman" w:hAnsi="Times New Roman" w:eastAsia="楷体" w:cs="Times New Roman"/>
              <w:sz w:val="32"/>
              <w:szCs w:val="32"/>
            </w:rPr>
          </w:pP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HYPERLINK \l _Toc23808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0"/>
              <w:sz w:val="32"/>
              <w:szCs w:val="32"/>
              <w:lang w:val="en-US" w:eastAsia="zh-CN" w:bidi="ar-SA"/>
            </w:rPr>
            <w:t>第一章 体制机制健全完善</w:t>
          </w:r>
          <w:r>
            <w:rPr>
              <w:rFonts w:hint="default" w:ascii="Times New Roman" w:hAnsi="Times New Roman" w:eastAsia="楷体" w:cs="Times New Roman"/>
              <w:sz w:val="32"/>
              <w:szCs w:val="32"/>
            </w:rPr>
            <w:tab/>
          </w:r>
          <w:r>
            <w:rPr>
              <w:rFonts w:hint="default" w:ascii="Times New Roman" w:hAnsi="Times New Roman" w:eastAsia="楷体" w:cs="Times New Roman"/>
              <w:sz w:val="32"/>
              <w:szCs w:val="32"/>
            </w:rPr>
            <w:fldChar w:fldCharType="begin"/>
          </w:r>
          <w:r>
            <w:rPr>
              <w:rFonts w:hint="default" w:ascii="Times New Roman" w:hAnsi="Times New Roman" w:eastAsia="楷体" w:cs="Times New Roman"/>
              <w:sz w:val="32"/>
              <w:szCs w:val="32"/>
            </w:rPr>
            <w:instrText xml:space="preserve"> PAGEREF _Toc23808 \h </w:instrText>
          </w:r>
          <w:r>
            <w:rPr>
              <w:rFonts w:hint="default" w:ascii="Times New Roman" w:hAnsi="Times New Roman" w:eastAsia="楷体" w:cs="Times New Roman"/>
              <w:sz w:val="32"/>
              <w:szCs w:val="32"/>
            </w:rPr>
            <w:fldChar w:fldCharType="separate"/>
          </w:r>
          <w:r>
            <w:rPr>
              <w:rFonts w:hint="default" w:ascii="Times New Roman" w:hAnsi="Times New Roman" w:eastAsia="楷体" w:cs="Times New Roman"/>
              <w:sz w:val="32"/>
              <w:szCs w:val="32"/>
            </w:rPr>
            <w:t>1</w:t>
          </w:r>
          <w:r>
            <w:rPr>
              <w:rFonts w:hint="default" w:ascii="Times New Roman" w:hAnsi="Times New Roman" w:eastAsia="楷体" w:cs="Times New Roman"/>
              <w:sz w:val="32"/>
              <w:szCs w:val="32"/>
            </w:rPr>
            <w:fldChar w:fldCharType="end"/>
          </w:r>
          <w:r>
            <w:rPr>
              <w:rFonts w:hint="default" w:ascii="Times New Roman" w:hAnsi="Times New Roman" w:eastAsia="楷体" w:cs="Times New Roman"/>
              <w:kern w:val="44"/>
              <w:sz w:val="32"/>
              <w:szCs w:val="32"/>
            </w:rPr>
            <w:fldChar w:fldCharType="end"/>
          </w:r>
        </w:p>
        <w:p w14:paraId="5A53DED9">
          <w:pPr>
            <w:pStyle w:val="13"/>
            <w:tabs>
              <w:tab w:val="right" w:leader="dot" w:pos="8845"/>
            </w:tabs>
            <w:rPr>
              <w:rFonts w:hint="default" w:ascii="Times New Roman" w:hAnsi="Times New Roman" w:eastAsia="楷体" w:cs="Times New Roman"/>
              <w:sz w:val="32"/>
              <w:szCs w:val="32"/>
            </w:rPr>
          </w:pP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HYPERLINK \l _Toc13455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0"/>
              <w:sz w:val="32"/>
              <w:szCs w:val="32"/>
              <w:lang w:val="en-US" w:eastAsia="zh-CN" w:bidi="ar-SA"/>
            </w:rPr>
            <w:t>第二章 技术装备迭代升级</w:t>
          </w:r>
          <w:r>
            <w:rPr>
              <w:rFonts w:hint="default" w:ascii="Times New Roman" w:hAnsi="Times New Roman" w:eastAsia="楷体" w:cs="Times New Roman"/>
              <w:sz w:val="32"/>
              <w:szCs w:val="32"/>
            </w:rPr>
            <w:tab/>
          </w:r>
          <w:r>
            <w:rPr>
              <w:rFonts w:hint="default" w:ascii="Times New Roman" w:hAnsi="Times New Roman" w:eastAsia="楷体" w:cs="Times New Roman"/>
              <w:sz w:val="32"/>
              <w:szCs w:val="32"/>
            </w:rPr>
            <w:fldChar w:fldCharType="begin"/>
          </w:r>
          <w:r>
            <w:rPr>
              <w:rFonts w:hint="default" w:ascii="Times New Roman" w:hAnsi="Times New Roman" w:eastAsia="楷体" w:cs="Times New Roman"/>
              <w:sz w:val="32"/>
              <w:szCs w:val="32"/>
            </w:rPr>
            <w:instrText xml:space="preserve"> PAGEREF _Toc13455 \h </w:instrText>
          </w:r>
          <w:r>
            <w:rPr>
              <w:rFonts w:hint="default" w:ascii="Times New Roman" w:hAnsi="Times New Roman" w:eastAsia="楷体" w:cs="Times New Roman"/>
              <w:sz w:val="32"/>
              <w:szCs w:val="32"/>
            </w:rPr>
            <w:fldChar w:fldCharType="separate"/>
          </w:r>
          <w:r>
            <w:rPr>
              <w:rFonts w:hint="default" w:ascii="Times New Roman" w:hAnsi="Times New Roman" w:eastAsia="楷体" w:cs="Times New Roman"/>
              <w:sz w:val="32"/>
              <w:szCs w:val="32"/>
            </w:rPr>
            <w:t>2</w:t>
          </w:r>
          <w:r>
            <w:rPr>
              <w:rFonts w:hint="default" w:ascii="Times New Roman" w:hAnsi="Times New Roman" w:eastAsia="楷体" w:cs="Times New Roman"/>
              <w:sz w:val="32"/>
              <w:szCs w:val="32"/>
            </w:rPr>
            <w:fldChar w:fldCharType="end"/>
          </w:r>
          <w:r>
            <w:rPr>
              <w:rFonts w:hint="default" w:ascii="Times New Roman" w:hAnsi="Times New Roman" w:eastAsia="楷体" w:cs="Times New Roman"/>
              <w:kern w:val="44"/>
              <w:sz w:val="32"/>
              <w:szCs w:val="32"/>
            </w:rPr>
            <w:fldChar w:fldCharType="end"/>
          </w:r>
        </w:p>
        <w:p w14:paraId="078E3ED0">
          <w:pPr>
            <w:pStyle w:val="13"/>
            <w:tabs>
              <w:tab w:val="right" w:leader="dot" w:pos="8845"/>
            </w:tabs>
            <w:rPr>
              <w:rFonts w:hint="eastAsia" w:ascii="楷体" w:hAnsi="楷体" w:eastAsia="楷体" w:cs="楷体"/>
              <w:sz w:val="32"/>
              <w:szCs w:val="32"/>
            </w:rPr>
          </w:pP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HYPERLINK \l _Toc10063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0"/>
              <w:sz w:val="32"/>
              <w:szCs w:val="32"/>
              <w:lang w:val="en-US" w:eastAsia="zh-CN" w:bidi="ar-SA"/>
            </w:rPr>
            <w:t>第三章 预报预警能力跨越式提升</w:t>
          </w:r>
          <w:r>
            <w:rPr>
              <w:rFonts w:hint="default" w:ascii="Times New Roman" w:hAnsi="Times New Roman" w:eastAsia="楷体" w:cs="Times New Roman"/>
              <w:sz w:val="32"/>
              <w:szCs w:val="32"/>
            </w:rPr>
            <w:tab/>
          </w:r>
          <w:r>
            <w:rPr>
              <w:rFonts w:hint="default" w:ascii="Times New Roman" w:hAnsi="Times New Roman" w:eastAsia="楷体" w:cs="Times New Roman"/>
              <w:sz w:val="32"/>
              <w:szCs w:val="32"/>
            </w:rPr>
            <w:fldChar w:fldCharType="begin"/>
          </w:r>
          <w:r>
            <w:rPr>
              <w:rFonts w:hint="default" w:ascii="Times New Roman" w:hAnsi="Times New Roman" w:eastAsia="楷体" w:cs="Times New Roman"/>
              <w:sz w:val="32"/>
              <w:szCs w:val="32"/>
            </w:rPr>
            <w:instrText xml:space="preserve"> PAGEREF _Toc10063 \h </w:instrText>
          </w:r>
          <w:r>
            <w:rPr>
              <w:rFonts w:hint="default" w:ascii="Times New Roman" w:hAnsi="Times New Roman" w:eastAsia="楷体" w:cs="Times New Roman"/>
              <w:sz w:val="32"/>
              <w:szCs w:val="32"/>
            </w:rPr>
            <w:fldChar w:fldCharType="separate"/>
          </w:r>
          <w:r>
            <w:rPr>
              <w:rFonts w:hint="default" w:ascii="Times New Roman" w:hAnsi="Times New Roman" w:eastAsia="楷体" w:cs="Times New Roman"/>
              <w:sz w:val="32"/>
              <w:szCs w:val="32"/>
            </w:rPr>
            <w:t>3</w:t>
          </w:r>
          <w:r>
            <w:rPr>
              <w:rFonts w:hint="default" w:ascii="Times New Roman" w:hAnsi="Times New Roman" w:eastAsia="楷体" w:cs="Times New Roman"/>
              <w:sz w:val="32"/>
              <w:szCs w:val="32"/>
            </w:rPr>
            <w:fldChar w:fldCharType="end"/>
          </w:r>
          <w:r>
            <w:rPr>
              <w:rFonts w:hint="default" w:ascii="Times New Roman" w:hAnsi="Times New Roman" w:eastAsia="楷体" w:cs="Times New Roman"/>
              <w:kern w:val="44"/>
              <w:sz w:val="32"/>
              <w:szCs w:val="32"/>
            </w:rPr>
            <w:fldChar w:fldCharType="end"/>
          </w:r>
        </w:p>
        <w:p w14:paraId="731113E0">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_Toc10868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第四章 社会服务全方位提质</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_Toc10868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4</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75E45B86">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_Toc30661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第五章 科技研发攻关突破</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_Toc30661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5</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49D89224">
          <w:pPr>
            <w:pStyle w:val="10"/>
            <w:keepNext w:val="0"/>
            <w:keepLines w:val="0"/>
            <w:pageBreakBefore w:val="0"/>
            <w:widowControl w:val="0"/>
            <w:tabs>
              <w:tab w:val="right" w:leader="dot" w:pos="8845"/>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kern w:val="44"/>
              <w:sz w:val="32"/>
              <w:szCs w:val="32"/>
            </w:rPr>
          </w:pPr>
          <w:r>
            <w:rPr>
              <w:rFonts w:hint="eastAsia" w:ascii="Times New Roman" w:hAnsi="Times New Roman" w:eastAsia="黑体" w:cs="Times New Roman"/>
              <w:kern w:val="44"/>
              <w:sz w:val="32"/>
              <w:szCs w:val="32"/>
            </w:rPr>
            <w:fldChar w:fldCharType="begin"/>
          </w:r>
          <w:r>
            <w:rPr>
              <w:rFonts w:hint="eastAsia" w:ascii="Times New Roman" w:hAnsi="Times New Roman" w:eastAsia="黑体" w:cs="Times New Roman"/>
              <w:kern w:val="44"/>
              <w:sz w:val="32"/>
              <w:szCs w:val="32"/>
            </w:rPr>
            <w:instrText xml:space="preserve"> HYPERLINK \l _Toc4290 </w:instrText>
          </w:r>
          <w:r>
            <w:rPr>
              <w:rFonts w:hint="eastAsia" w:ascii="Times New Roman" w:hAnsi="Times New Roman" w:eastAsia="黑体" w:cs="Times New Roman"/>
              <w:kern w:val="44"/>
              <w:sz w:val="32"/>
              <w:szCs w:val="32"/>
            </w:rPr>
            <w:fldChar w:fldCharType="separate"/>
          </w:r>
          <w:r>
            <w:rPr>
              <w:rFonts w:hint="eastAsia" w:ascii="Times New Roman" w:hAnsi="Times New Roman" w:eastAsia="黑体" w:cs="Times New Roman"/>
              <w:kern w:val="44"/>
              <w:sz w:val="32"/>
              <w:szCs w:val="32"/>
              <w:lang w:val="en-US" w:eastAsia="zh-CN"/>
            </w:rPr>
            <w:t>第二篇 “十五五”</w:t>
          </w:r>
          <w:r>
            <w:rPr>
              <w:rFonts w:hint="eastAsia" w:ascii="Times New Roman" w:hAnsi="Times New Roman" w:cs="Times New Roman"/>
              <w:kern w:val="44"/>
              <w:sz w:val="32"/>
              <w:szCs w:val="32"/>
              <w:lang w:val="en-US" w:eastAsia="zh-CN"/>
            </w:rPr>
            <w:t>时期</w:t>
          </w:r>
          <w:r>
            <w:rPr>
              <w:rFonts w:hint="eastAsia" w:ascii="Times New Roman" w:hAnsi="Times New Roman" w:eastAsia="黑体" w:cs="Times New Roman"/>
              <w:kern w:val="44"/>
              <w:sz w:val="32"/>
              <w:szCs w:val="32"/>
              <w:lang w:val="en-US" w:eastAsia="zh-CN"/>
            </w:rPr>
            <w:t>面临的机遇与挑战</w:t>
          </w:r>
          <w:r>
            <w:rPr>
              <w:rFonts w:hint="default" w:ascii="Times New Roman" w:hAnsi="Times New Roman" w:eastAsia="黑体" w:cs="Times New Roman"/>
              <w:kern w:val="44"/>
              <w:sz w:val="32"/>
              <w:szCs w:val="32"/>
            </w:rPr>
            <w:tab/>
          </w:r>
          <w:r>
            <w:rPr>
              <w:rFonts w:hint="default" w:ascii="Times New Roman" w:hAnsi="Times New Roman" w:eastAsia="黑体" w:cs="Times New Roman"/>
              <w:kern w:val="44"/>
              <w:sz w:val="32"/>
              <w:szCs w:val="32"/>
            </w:rPr>
            <w:fldChar w:fldCharType="begin"/>
          </w:r>
          <w:r>
            <w:rPr>
              <w:rFonts w:hint="default" w:ascii="Times New Roman" w:hAnsi="Times New Roman" w:eastAsia="黑体" w:cs="Times New Roman"/>
              <w:kern w:val="44"/>
              <w:sz w:val="32"/>
              <w:szCs w:val="32"/>
            </w:rPr>
            <w:instrText xml:space="preserve"> PAGEREF _Toc4290 \h </w:instrText>
          </w:r>
          <w:r>
            <w:rPr>
              <w:rFonts w:hint="default" w:ascii="Times New Roman" w:hAnsi="Times New Roman" w:eastAsia="黑体" w:cs="Times New Roman"/>
              <w:kern w:val="44"/>
              <w:sz w:val="32"/>
              <w:szCs w:val="32"/>
            </w:rPr>
            <w:fldChar w:fldCharType="separate"/>
          </w:r>
          <w:r>
            <w:rPr>
              <w:rFonts w:hint="default" w:ascii="Times New Roman" w:hAnsi="Times New Roman" w:eastAsia="黑体" w:cs="Times New Roman"/>
              <w:kern w:val="44"/>
              <w:sz w:val="32"/>
              <w:szCs w:val="32"/>
            </w:rPr>
            <w:t>6</w:t>
          </w:r>
          <w:r>
            <w:rPr>
              <w:rFonts w:hint="default" w:ascii="Times New Roman" w:hAnsi="Times New Roman" w:eastAsia="黑体" w:cs="Times New Roman"/>
              <w:kern w:val="44"/>
              <w:sz w:val="32"/>
              <w:szCs w:val="32"/>
            </w:rPr>
            <w:fldChar w:fldCharType="end"/>
          </w:r>
          <w:r>
            <w:rPr>
              <w:rFonts w:hint="eastAsia" w:ascii="Times New Roman" w:hAnsi="Times New Roman" w:eastAsia="黑体" w:cs="Times New Roman"/>
              <w:kern w:val="44"/>
              <w:sz w:val="32"/>
              <w:szCs w:val="32"/>
            </w:rPr>
            <w:fldChar w:fldCharType="end"/>
          </w:r>
        </w:p>
        <w:p w14:paraId="264A47FD">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_Toc29543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第一章 面临机遇</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_Toc29543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6</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19646931">
          <w:pPr>
            <w:pStyle w:val="13"/>
            <w:tabs>
              <w:tab w:val="right" w:leader="dot" w:pos="8845"/>
            </w:tabs>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_Toc29013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第二章 面临挑战</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_Toc29013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8</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59C2B9DC">
          <w:pPr>
            <w:pStyle w:val="10"/>
            <w:keepNext w:val="0"/>
            <w:keepLines w:val="0"/>
            <w:pageBreakBefore w:val="0"/>
            <w:widowControl w:val="0"/>
            <w:tabs>
              <w:tab w:val="right" w:leader="dot" w:pos="8845"/>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kern w:val="44"/>
              <w:sz w:val="32"/>
              <w:szCs w:val="32"/>
            </w:rPr>
          </w:pPr>
          <w:r>
            <w:rPr>
              <w:rFonts w:hint="eastAsia" w:ascii="Times New Roman" w:hAnsi="Times New Roman" w:eastAsia="黑体" w:cs="Times New Roman"/>
              <w:kern w:val="44"/>
              <w:sz w:val="32"/>
              <w:szCs w:val="32"/>
            </w:rPr>
            <w:fldChar w:fldCharType="begin"/>
          </w:r>
          <w:r>
            <w:rPr>
              <w:rFonts w:hint="eastAsia" w:ascii="Times New Roman" w:hAnsi="Times New Roman" w:eastAsia="黑体" w:cs="Times New Roman"/>
              <w:kern w:val="44"/>
              <w:sz w:val="32"/>
              <w:szCs w:val="32"/>
            </w:rPr>
            <w:instrText xml:space="preserve"> HYPERLINK \l _Toc14824 </w:instrText>
          </w:r>
          <w:r>
            <w:rPr>
              <w:rFonts w:hint="eastAsia" w:ascii="Times New Roman" w:hAnsi="Times New Roman" w:eastAsia="黑体" w:cs="Times New Roman"/>
              <w:kern w:val="44"/>
              <w:sz w:val="32"/>
              <w:szCs w:val="32"/>
            </w:rPr>
            <w:fldChar w:fldCharType="separate"/>
          </w:r>
          <w:r>
            <w:rPr>
              <w:rFonts w:hint="eastAsia" w:ascii="Times New Roman" w:hAnsi="Times New Roman" w:eastAsia="黑体" w:cs="Times New Roman"/>
              <w:kern w:val="44"/>
              <w:sz w:val="32"/>
              <w:szCs w:val="32"/>
              <w:lang w:val="en-US" w:eastAsia="zh-CN"/>
            </w:rPr>
            <w:t>第三篇 总体要求</w:t>
          </w:r>
          <w:r>
            <w:rPr>
              <w:rFonts w:hint="default" w:ascii="Times New Roman" w:hAnsi="Times New Roman" w:eastAsia="黑体" w:cs="Times New Roman"/>
              <w:kern w:val="44"/>
              <w:sz w:val="32"/>
              <w:szCs w:val="32"/>
            </w:rPr>
            <w:tab/>
          </w:r>
          <w:r>
            <w:rPr>
              <w:rFonts w:hint="default" w:ascii="Times New Roman" w:hAnsi="Times New Roman" w:eastAsia="黑体" w:cs="Times New Roman"/>
              <w:kern w:val="44"/>
              <w:sz w:val="32"/>
              <w:szCs w:val="32"/>
            </w:rPr>
            <w:fldChar w:fldCharType="begin"/>
          </w:r>
          <w:r>
            <w:rPr>
              <w:rFonts w:hint="default" w:ascii="Times New Roman" w:hAnsi="Times New Roman" w:eastAsia="黑体" w:cs="Times New Roman"/>
              <w:kern w:val="44"/>
              <w:sz w:val="32"/>
              <w:szCs w:val="32"/>
            </w:rPr>
            <w:instrText xml:space="preserve"> PAGEREF _Toc14824 \h </w:instrText>
          </w:r>
          <w:r>
            <w:rPr>
              <w:rFonts w:hint="default" w:ascii="Times New Roman" w:hAnsi="Times New Roman" w:eastAsia="黑体" w:cs="Times New Roman"/>
              <w:kern w:val="44"/>
              <w:sz w:val="32"/>
              <w:szCs w:val="32"/>
            </w:rPr>
            <w:fldChar w:fldCharType="separate"/>
          </w:r>
          <w:r>
            <w:rPr>
              <w:rFonts w:hint="default" w:ascii="Times New Roman" w:hAnsi="Times New Roman" w:eastAsia="黑体" w:cs="Times New Roman"/>
              <w:kern w:val="44"/>
              <w:sz w:val="32"/>
              <w:szCs w:val="32"/>
            </w:rPr>
            <w:t>10</w:t>
          </w:r>
          <w:r>
            <w:rPr>
              <w:rFonts w:hint="default" w:ascii="Times New Roman" w:hAnsi="Times New Roman" w:eastAsia="黑体" w:cs="Times New Roman"/>
              <w:kern w:val="44"/>
              <w:sz w:val="32"/>
              <w:szCs w:val="32"/>
            </w:rPr>
            <w:fldChar w:fldCharType="end"/>
          </w:r>
          <w:r>
            <w:rPr>
              <w:rFonts w:hint="eastAsia" w:ascii="Times New Roman" w:hAnsi="Times New Roman" w:eastAsia="黑体" w:cs="Times New Roman"/>
              <w:kern w:val="44"/>
              <w:sz w:val="32"/>
              <w:szCs w:val="32"/>
            </w:rPr>
            <w:fldChar w:fldCharType="end"/>
          </w:r>
        </w:p>
        <w:p w14:paraId="4227CB27">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_Toc15693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第一章 指导思想</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_Toc15693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10</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2603324A">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_Toc28468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第二章 基本原则</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_Toc28468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10</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0B1BB428">
          <w:pPr>
            <w:pStyle w:val="13"/>
            <w:tabs>
              <w:tab w:val="right" w:leader="dot" w:pos="8845"/>
            </w:tabs>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_Toc27373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第三章 发展目标</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_Toc27373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11</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3A3DF4FF">
          <w:pPr>
            <w:pStyle w:val="10"/>
            <w:keepNext w:val="0"/>
            <w:keepLines w:val="0"/>
            <w:pageBreakBefore w:val="0"/>
            <w:widowControl w:val="0"/>
            <w:tabs>
              <w:tab w:val="right" w:leader="dot" w:pos="8845"/>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kern w:val="44"/>
              <w:sz w:val="32"/>
              <w:szCs w:val="32"/>
            </w:rPr>
          </w:pPr>
          <w:r>
            <w:rPr>
              <w:rFonts w:hint="eastAsia" w:ascii="Times New Roman" w:hAnsi="Times New Roman" w:eastAsia="黑体" w:cs="Times New Roman"/>
              <w:kern w:val="44"/>
              <w:sz w:val="32"/>
              <w:szCs w:val="32"/>
            </w:rPr>
            <w:fldChar w:fldCharType="begin"/>
          </w:r>
          <w:r>
            <w:rPr>
              <w:rFonts w:hint="eastAsia" w:ascii="Times New Roman" w:hAnsi="Times New Roman" w:eastAsia="黑体" w:cs="Times New Roman"/>
              <w:kern w:val="44"/>
              <w:sz w:val="32"/>
              <w:szCs w:val="32"/>
            </w:rPr>
            <w:instrText xml:space="preserve"> HYPERLINK \l _Toc12900 </w:instrText>
          </w:r>
          <w:r>
            <w:rPr>
              <w:rFonts w:hint="eastAsia" w:ascii="Times New Roman" w:hAnsi="Times New Roman" w:eastAsia="黑体" w:cs="Times New Roman"/>
              <w:kern w:val="44"/>
              <w:sz w:val="32"/>
              <w:szCs w:val="32"/>
            </w:rPr>
            <w:fldChar w:fldCharType="separate"/>
          </w:r>
          <w:r>
            <w:rPr>
              <w:rFonts w:hint="eastAsia" w:ascii="Times New Roman" w:hAnsi="Times New Roman" w:eastAsia="黑体" w:cs="Times New Roman"/>
              <w:kern w:val="44"/>
              <w:sz w:val="32"/>
              <w:szCs w:val="32"/>
              <w:lang w:val="en-US" w:eastAsia="zh-CN"/>
            </w:rPr>
            <w:t>第四篇 重点任务</w:t>
          </w:r>
          <w:r>
            <w:rPr>
              <w:rFonts w:hint="default" w:ascii="Times New Roman" w:hAnsi="Times New Roman" w:eastAsia="黑体" w:cs="Times New Roman"/>
              <w:kern w:val="44"/>
              <w:sz w:val="32"/>
              <w:szCs w:val="32"/>
            </w:rPr>
            <w:tab/>
          </w:r>
          <w:r>
            <w:rPr>
              <w:rFonts w:hint="default" w:ascii="Times New Roman" w:hAnsi="Times New Roman" w:eastAsia="黑体" w:cs="Times New Roman"/>
              <w:kern w:val="44"/>
              <w:sz w:val="32"/>
              <w:szCs w:val="32"/>
            </w:rPr>
            <w:fldChar w:fldCharType="begin"/>
          </w:r>
          <w:r>
            <w:rPr>
              <w:rFonts w:hint="default" w:ascii="Times New Roman" w:hAnsi="Times New Roman" w:eastAsia="黑体" w:cs="Times New Roman"/>
              <w:kern w:val="44"/>
              <w:sz w:val="32"/>
              <w:szCs w:val="32"/>
            </w:rPr>
            <w:instrText xml:space="preserve"> PAGEREF _Toc12900 \h </w:instrText>
          </w:r>
          <w:r>
            <w:rPr>
              <w:rFonts w:hint="default" w:ascii="Times New Roman" w:hAnsi="Times New Roman" w:eastAsia="黑体" w:cs="Times New Roman"/>
              <w:kern w:val="44"/>
              <w:sz w:val="32"/>
              <w:szCs w:val="32"/>
            </w:rPr>
            <w:fldChar w:fldCharType="separate"/>
          </w:r>
          <w:r>
            <w:rPr>
              <w:rFonts w:hint="default" w:ascii="Times New Roman" w:hAnsi="Times New Roman" w:eastAsia="黑体" w:cs="Times New Roman"/>
              <w:kern w:val="44"/>
              <w:sz w:val="32"/>
              <w:szCs w:val="32"/>
            </w:rPr>
            <w:t>14</w:t>
          </w:r>
          <w:r>
            <w:rPr>
              <w:rFonts w:hint="default" w:ascii="Times New Roman" w:hAnsi="Times New Roman" w:eastAsia="黑体" w:cs="Times New Roman"/>
              <w:kern w:val="44"/>
              <w:sz w:val="32"/>
              <w:szCs w:val="32"/>
            </w:rPr>
            <w:fldChar w:fldCharType="end"/>
          </w:r>
          <w:r>
            <w:rPr>
              <w:rFonts w:hint="eastAsia" w:ascii="Times New Roman" w:hAnsi="Times New Roman" w:eastAsia="黑体" w:cs="Times New Roman"/>
              <w:kern w:val="44"/>
              <w:sz w:val="32"/>
              <w:szCs w:val="32"/>
            </w:rPr>
            <w:fldChar w:fldCharType="end"/>
          </w:r>
        </w:p>
        <w:p w14:paraId="3F25D99B">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_Toc8006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第一章 筑牢气象防灾减灾第一道防线，全力保障人民生命安全</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_Toc8006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14</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5C5CC357">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_Toc30012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第二章 深化“气象+”赋能行动，服务区域经济社会高质量发展</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_Toc30012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15</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148E8983">
          <w:pPr>
            <w:pStyle w:val="13"/>
            <w:tabs>
              <w:tab w:val="right" w:leader="dot" w:pos="8845"/>
            </w:tabs>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_Toc10807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 xml:space="preserve">第三章 </w:t>
          </w:r>
          <w:r>
            <w:rPr>
              <w:rFonts w:hint="default" w:ascii="Times New Roman" w:hAnsi="Times New Roman" w:eastAsia="楷体" w:cs="Times New Roman"/>
              <w:kern w:val="44"/>
              <w:sz w:val="32"/>
              <w:szCs w:val="32"/>
              <w:lang w:val="en-US" w:eastAsia="zh-CN"/>
            </w:rPr>
            <w:t>推进气象业务能力现代化，夯实事业发展根基</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_Toc10807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17</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260836E2">
          <w:pPr>
            <w:pStyle w:val="10"/>
            <w:keepNext w:val="0"/>
            <w:keepLines w:val="0"/>
            <w:pageBreakBefore w:val="0"/>
            <w:widowControl w:val="0"/>
            <w:tabs>
              <w:tab w:val="right" w:leader="dot" w:pos="8845"/>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kern w:val="44"/>
              <w:sz w:val="32"/>
              <w:szCs w:val="32"/>
            </w:rPr>
          </w:pPr>
          <w:r>
            <w:rPr>
              <w:rFonts w:hint="eastAsia" w:ascii="Times New Roman" w:hAnsi="Times New Roman" w:eastAsia="黑体" w:cs="Times New Roman"/>
              <w:kern w:val="44"/>
              <w:sz w:val="32"/>
              <w:szCs w:val="32"/>
            </w:rPr>
            <w:fldChar w:fldCharType="begin"/>
          </w:r>
          <w:r>
            <w:rPr>
              <w:rFonts w:hint="eastAsia" w:ascii="Times New Roman" w:hAnsi="Times New Roman" w:eastAsia="黑体" w:cs="Times New Roman"/>
              <w:kern w:val="44"/>
              <w:sz w:val="32"/>
              <w:szCs w:val="32"/>
            </w:rPr>
            <w:instrText xml:space="preserve"> HYPERLINK \l _Toc157 </w:instrText>
          </w:r>
          <w:r>
            <w:rPr>
              <w:rFonts w:hint="eastAsia" w:ascii="Times New Roman" w:hAnsi="Times New Roman" w:eastAsia="黑体" w:cs="Times New Roman"/>
              <w:kern w:val="44"/>
              <w:sz w:val="32"/>
              <w:szCs w:val="32"/>
            </w:rPr>
            <w:fldChar w:fldCharType="separate"/>
          </w:r>
          <w:r>
            <w:rPr>
              <w:rFonts w:hint="eastAsia" w:ascii="Times New Roman" w:hAnsi="Times New Roman" w:cs="Times New Roman"/>
              <w:kern w:val="44"/>
              <w:sz w:val="32"/>
              <w:szCs w:val="32"/>
              <w:lang w:val="en-US" w:eastAsia="zh-CN"/>
            </w:rPr>
            <w:t xml:space="preserve">第五篇 </w:t>
          </w:r>
          <w:r>
            <w:rPr>
              <w:rFonts w:hint="eastAsia" w:ascii="Times New Roman" w:hAnsi="Times New Roman" w:eastAsia="黑体" w:cs="Times New Roman"/>
              <w:kern w:val="44"/>
              <w:sz w:val="32"/>
              <w:szCs w:val="32"/>
              <w:lang w:val="en-US" w:eastAsia="zh-CN"/>
            </w:rPr>
            <w:t>重点工程</w:t>
          </w:r>
          <w:r>
            <w:rPr>
              <w:rFonts w:hint="default" w:ascii="Times New Roman" w:hAnsi="Times New Roman" w:eastAsia="黑体" w:cs="Times New Roman"/>
              <w:kern w:val="44"/>
              <w:sz w:val="32"/>
              <w:szCs w:val="32"/>
            </w:rPr>
            <w:tab/>
          </w:r>
          <w:r>
            <w:rPr>
              <w:rFonts w:hint="default" w:ascii="Times New Roman" w:hAnsi="Times New Roman" w:eastAsia="黑体" w:cs="Times New Roman"/>
              <w:kern w:val="44"/>
              <w:sz w:val="32"/>
              <w:szCs w:val="32"/>
            </w:rPr>
            <w:fldChar w:fldCharType="begin"/>
          </w:r>
          <w:r>
            <w:rPr>
              <w:rFonts w:hint="default" w:ascii="Times New Roman" w:hAnsi="Times New Roman" w:eastAsia="黑体" w:cs="Times New Roman"/>
              <w:kern w:val="44"/>
              <w:sz w:val="32"/>
              <w:szCs w:val="32"/>
            </w:rPr>
            <w:instrText xml:space="preserve"> PAGEREF _Toc157 \h </w:instrText>
          </w:r>
          <w:r>
            <w:rPr>
              <w:rFonts w:hint="default" w:ascii="Times New Roman" w:hAnsi="Times New Roman" w:eastAsia="黑体" w:cs="Times New Roman"/>
              <w:kern w:val="44"/>
              <w:sz w:val="32"/>
              <w:szCs w:val="32"/>
            </w:rPr>
            <w:fldChar w:fldCharType="separate"/>
          </w:r>
          <w:r>
            <w:rPr>
              <w:rFonts w:hint="default" w:ascii="Times New Roman" w:hAnsi="Times New Roman" w:eastAsia="黑体" w:cs="Times New Roman"/>
              <w:kern w:val="44"/>
              <w:sz w:val="32"/>
              <w:szCs w:val="32"/>
            </w:rPr>
            <w:t>19</w:t>
          </w:r>
          <w:r>
            <w:rPr>
              <w:rFonts w:hint="default" w:ascii="Times New Roman" w:hAnsi="Times New Roman" w:eastAsia="黑体" w:cs="Times New Roman"/>
              <w:kern w:val="44"/>
              <w:sz w:val="32"/>
              <w:szCs w:val="32"/>
            </w:rPr>
            <w:fldChar w:fldCharType="end"/>
          </w:r>
          <w:r>
            <w:rPr>
              <w:rFonts w:hint="eastAsia" w:ascii="Times New Roman" w:hAnsi="Times New Roman" w:eastAsia="黑体" w:cs="Times New Roman"/>
              <w:kern w:val="44"/>
              <w:sz w:val="32"/>
              <w:szCs w:val="32"/>
            </w:rPr>
            <w:fldChar w:fldCharType="end"/>
          </w:r>
        </w:p>
        <w:p w14:paraId="3C1CFDFF">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_Toc3991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第一章 气象灾害监测预报预警和防御能力建设工程</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_Toc3991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19</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25BF08F8">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_Toc5527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第二章 朝阳区坝河流域气象-水文-水污染协同防控工程</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_Toc5527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20</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2BD81CD1">
          <w:pPr>
            <w:pStyle w:val="10"/>
            <w:keepNext w:val="0"/>
            <w:keepLines w:val="0"/>
            <w:pageBreakBefore w:val="0"/>
            <w:widowControl w:val="0"/>
            <w:tabs>
              <w:tab w:val="right" w:leader="dot" w:pos="8845"/>
            </w:tabs>
            <w:kinsoku/>
            <w:wordWrap/>
            <w:overflowPunct/>
            <w:topLinePunct w:val="0"/>
            <w:autoSpaceDE/>
            <w:autoSpaceDN/>
            <w:bidi w:val="0"/>
            <w:adjustRightInd/>
            <w:snapToGrid/>
            <w:ind w:firstLine="0" w:firstLineChars="0"/>
            <w:textAlignment w:val="auto"/>
            <w:rPr>
              <w:rFonts w:hint="default" w:ascii="Times New Roman" w:hAnsi="Times New Roman" w:eastAsia="黑体" w:cs="Times New Roman"/>
              <w:kern w:val="44"/>
              <w:sz w:val="32"/>
              <w:szCs w:val="32"/>
            </w:rPr>
          </w:pPr>
          <w:r>
            <w:rPr>
              <w:rFonts w:hint="eastAsia" w:ascii="Times New Roman" w:hAnsi="Times New Roman" w:eastAsia="黑体" w:cs="Times New Roman"/>
              <w:kern w:val="44"/>
              <w:sz w:val="32"/>
              <w:szCs w:val="32"/>
            </w:rPr>
            <w:fldChar w:fldCharType="begin"/>
          </w:r>
          <w:r>
            <w:rPr>
              <w:rFonts w:hint="eastAsia" w:ascii="Times New Roman" w:hAnsi="Times New Roman" w:eastAsia="黑体" w:cs="Times New Roman"/>
              <w:kern w:val="44"/>
              <w:sz w:val="32"/>
              <w:szCs w:val="32"/>
            </w:rPr>
            <w:instrText xml:space="preserve"> HYPERLINK \l _Toc28287 </w:instrText>
          </w:r>
          <w:r>
            <w:rPr>
              <w:rFonts w:hint="eastAsia" w:ascii="Times New Roman" w:hAnsi="Times New Roman" w:eastAsia="黑体" w:cs="Times New Roman"/>
              <w:kern w:val="44"/>
              <w:sz w:val="32"/>
              <w:szCs w:val="32"/>
            </w:rPr>
            <w:fldChar w:fldCharType="separate"/>
          </w:r>
          <w:r>
            <w:rPr>
              <w:rFonts w:hint="eastAsia" w:ascii="Times New Roman" w:hAnsi="Times New Roman" w:cs="Times New Roman"/>
              <w:kern w:val="44"/>
              <w:sz w:val="32"/>
              <w:szCs w:val="32"/>
              <w:lang w:val="en-US" w:eastAsia="zh-CN"/>
            </w:rPr>
            <w:t xml:space="preserve">第六篇 </w:t>
          </w:r>
          <w:r>
            <w:rPr>
              <w:rFonts w:hint="eastAsia" w:ascii="Times New Roman" w:hAnsi="Times New Roman" w:eastAsia="黑体" w:cs="Times New Roman"/>
              <w:kern w:val="44"/>
              <w:sz w:val="32"/>
              <w:szCs w:val="32"/>
              <w:lang w:val="en-US" w:eastAsia="zh-CN"/>
            </w:rPr>
            <w:t>保障措施</w:t>
          </w:r>
          <w:r>
            <w:rPr>
              <w:rFonts w:hint="default" w:ascii="Times New Roman" w:hAnsi="Times New Roman" w:eastAsia="黑体" w:cs="Times New Roman"/>
              <w:kern w:val="44"/>
              <w:sz w:val="32"/>
              <w:szCs w:val="32"/>
            </w:rPr>
            <w:tab/>
          </w:r>
          <w:r>
            <w:rPr>
              <w:rFonts w:hint="default" w:ascii="Times New Roman" w:hAnsi="Times New Roman" w:eastAsia="黑体" w:cs="Times New Roman"/>
              <w:kern w:val="44"/>
              <w:sz w:val="32"/>
              <w:szCs w:val="32"/>
            </w:rPr>
            <w:fldChar w:fldCharType="begin"/>
          </w:r>
          <w:r>
            <w:rPr>
              <w:rFonts w:hint="default" w:ascii="Times New Roman" w:hAnsi="Times New Roman" w:eastAsia="黑体" w:cs="Times New Roman"/>
              <w:kern w:val="44"/>
              <w:sz w:val="32"/>
              <w:szCs w:val="32"/>
            </w:rPr>
            <w:instrText xml:space="preserve"> PAGEREF _Toc28287 \h </w:instrText>
          </w:r>
          <w:r>
            <w:rPr>
              <w:rFonts w:hint="default" w:ascii="Times New Roman" w:hAnsi="Times New Roman" w:eastAsia="黑体" w:cs="Times New Roman"/>
              <w:kern w:val="44"/>
              <w:sz w:val="32"/>
              <w:szCs w:val="32"/>
            </w:rPr>
            <w:fldChar w:fldCharType="separate"/>
          </w:r>
          <w:r>
            <w:rPr>
              <w:rFonts w:hint="default" w:ascii="Times New Roman" w:hAnsi="Times New Roman" w:eastAsia="黑体" w:cs="Times New Roman"/>
              <w:kern w:val="44"/>
              <w:sz w:val="32"/>
              <w:szCs w:val="32"/>
            </w:rPr>
            <w:t>21</w:t>
          </w:r>
          <w:r>
            <w:rPr>
              <w:rFonts w:hint="default" w:ascii="Times New Roman" w:hAnsi="Times New Roman" w:eastAsia="黑体" w:cs="Times New Roman"/>
              <w:kern w:val="44"/>
              <w:sz w:val="32"/>
              <w:szCs w:val="32"/>
            </w:rPr>
            <w:fldChar w:fldCharType="end"/>
          </w:r>
          <w:r>
            <w:rPr>
              <w:rFonts w:hint="eastAsia" w:ascii="Times New Roman" w:hAnsi="Times New Roman" w:eastAsia="黑体" w:cs="Times New Roman"/>
              <w:kern w:val="44"/>
              <w:sz w:val="32"/>
              <w:szCs w:val="32"/>
            </w:rPr>
            <w:fldChar w:fldCharType="end"/>
          </w:r>
        </w:p>
        <w:p w14:paraId="6ABB6D2A">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_Toc22526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第一章 强化组织领导</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_Toc22526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21</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3B039891">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_Toc24588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第二章 加强政策支持</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_Toc24588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21</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3A53FD3D">
          <w:pPr>
            <w:pStyle w:val="13"/>
            <w:tabs>
              <w:tab w:val="right" w:leader="dot" w:pos="8845"/>
            </w:tabs>
            <w:rPr>
              <w:rFonts w:hint="default" w:ascii="Times New Roman" w:hAnsi="Times New Roman" w:eastAsia="楷体" w:cs="Times New Roman"/>
              <w:kern w:val="44"/>
              <w:sz w:val="32"/>
              <w:szCs w:val="32"/>
            </w:rPr>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_Toc22190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第三章 加大资金保障</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_Toc22190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21</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0F5D0F58">
          <w:pPr>
            <w:pStyle w:val="13"/>
            <w:tabs>
              <w:tab w:val="right" w:leader="dot" w:pos="8845"/>
            </w:tabs>
          </w:pPr>
          <w:r>
            <w:rPr>
              <w:rFonts w:hint="eastAsia" w:ascii="Times New Roman" w:hAnsi="Times New Roman" w:eastAsia="楷体" w:cs="Times New Roman"/>
              <w:kern w:val="44"/>
              <w:sz w:val="32"/>
              <w:szCs w:val="32"/>
            </w:rPr>
            <w:fldChar w:fldCharType="begin"/>
          </w:r>
          <w:r>
            <w:rPr>
              <w:rFonts w:hint="eastAsia" w:ascii="Times New Roman" w:hAnsi="Times New Roman" w:eastAsia="楷体" w:cs="Times New Roman"/>
              <w:kern w:val="44"/>
              <w:sz w:val="32"/>
              <w:szCs w:val="32"/>
            </w:rPr>
            <w:instrText xml:space="preserve"> HYPERLINK \l _Toc28950 </w:instrText>
          </w:r>
          <w:r>
            <w:rPr>
              <w:rFonts w:hint="eastAsia" w:ascii="Times New Roman" w:hAnsi="Times New Roman" w:eastAsia="楷体" w:cs="Times New Roman"/>
              <w:kern w:val="44"/>
              <w:sz w:val="32"/>
              <w:szCs w:val="32"/>
            </w:rPr>
            <w:fldChar w:fldCharType="separate"/>
          </w:r>
          <w:r>
            <w:rPr>
              <w:rFonts w:hint="eastAsia" w:ascii="Times New Roman" w:hAnsi="Times New Roman" w:eastAsia="楷体" w:cs="Times New Roman"/>
              <w:kern w:val="44"/>
              <w:sz w:val="32"/>
              <w:szCs w:val="32"/>
              <w:lang w:val="en-US" w:eastAsia="zh-CN"/>
            </w:rPr>
            <w:t>第四章 增强人才培养</w:t>
          </w:r>
          <w:r>
            <w:rPr>
              <w:rFonts w:hint="default" w:ascii="Times New Roman" w:hAnsi="Times New Roman" w:eastAsia="楷体" w:cs="Times New Roman"/>
              <w:kern w:val="44"/>
              <w:sz w:val="32"/>
              <w:szCs w:val="32"/>
            </w:rPr>
            <w:tab/>
          </w:r>
          <w:r>
            <w:rPr>
              <w:rFonts w:hint="default" w:ascii="Times New Roman" w:hAnsi="Times New Roman" w:eastAsia="楷体" w:cs="Times New Roman"/>
              <w:kern w:val="44"/>
              <w:sz w:val="32"/>
              <w:szCs w:val="32"/>
            </w:rPr>
            <w:fldChar w:fldCharType="begin"/>
          </w:r>
          <w:r>
            <w:rPr>
              <w:rFonts w:hint="default" w:ascii="Times New Roman" w:hAnsi="Times New Roman" w:eastAsia="楷体" w:cs="Times New Roman"/>
              <w:kern w:val="44"/>
              <w:sz w:val="32"/>
              <w:szCs w:val="32"/>
            </w:rPr>
            <w:instrText xml:space="preserve"> PAGEREF _Toc28950 \h </w:instrText>
          </w:r>
          <w:r>
            <w:rPr>
              <w:rFonts w:hint="default" w:ascii="Times New Roman" w:hAnsi="Times New Roman" w:eastAsia="楷体" w:cs="Times New Roman"/>
              <w:kern w:val="44"/>
              <w:sz w:val="32"/>
              <w:szCs w:val="32"/>
            </w:rPr>
            <w:fldChar w:fldCharType="separate"/>
          </w:r>
          <w:r>
            <w:rPr>
              <w:rFonts w:hint="default" w:ascii="Times New Roman" w:hAnsi="Times New Roman" w:eastAsia="楷体" w:cs="Times New Roman"/>
              <w:kern w:val="44"/>
              <w:sz w:val="32"/>
              <w:szCs w:val="32"/>
            </w:rPr>
            <w:t>21</w:t>
          </w:r>
          <w:r>
            <w:rPr>
              <w:rFonts w:hint="default" w:ascii="Times New Roman" w:hAnsi="Times New Roman" w:eastAsia="楷体" w:cs="Times New Roman"/>
              <w:kern w:val="44"/>
              <w:sz w:val="32"/>
              <w:szCs w:val="32"/>
            </w:rPr>
            <w:fldChar w:fldCharType="end"/>
          </w:r>
          <w:r>
            <w:rPr>
              <w:rFonts w:hint="eastAsia" w:ascii="Times New Roman" w:hAnsi="Times New Roman" w:eastAsia="楷体" w:cs="Times New Roman"/>
              <w:kern w:val="44"/>
              <w:sz w:val="32"/>
              <w:szCs w:val="32"/>
            </w:rPr>
            <w:fldChar w:fldCharType="end"/>
          </w:r>
        </w:p>
        <w:p w14:paraId="6E0FB8F5">
          <w:pPr>
            <w:pStyle w:val="25"/>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1"/>
            <w:rPr>
              <w:rFonts w:hint="eastAsia" w:ascii="Times New Roman" w:hAnsi="Times New Roman" w:eastAsia="方正小标宋简体" w:cs="Times New Roman"/>
              <w:kern w:val="44"/>
              <w:sz w:val="32"/>
              <w:szCs w:val="36"/>
              <w:lang w:val="en-US" w:eastAsia="zh-CN" w:bidi="ar-SA"/>
            </w:rPr>
          </w:pPr>
          <w:r>
            <w:rPr>
              <w:rFonts w:hint="eastAsia" w:ascii="Times New Roman" w:hAnsi="Times New Roman" w:eastAsia="方正小标宋简体"/>
              <w:kern w:val="44"/>
              <w:szCs w:val="36"/>
            </w:rPr>
            <w:fldChar w:fldCharType="end"/>
          </w:r>
        </w:p>
      </w:sdtContent>
    </w:sdt>
    <w:p w14:paraId="64A0DFE0">
      <w:pPr>
        <w:pStyle w:val="25"/>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1"/>
        <w:rPr>
          <w:rFonts w:hint="eastAsia" w:ascii="Times New Roman" w:hAnsi="Times New Roman" w:eastAsia="方正小标宋简体" w:cs="Times New Roman"/>
          <w:kern w:val="44"/>
          <w:sz w:val="32"/>
          <w:szCs w:val="36"/>
          <w:lang w:val="en-US" w:eastAsia="zh-CN" w:bidi="ar-SA"/>
        </w:rPr>
        <w:sectPr>
          <w:footerReference r:id="rId3" w:type="default"/>
          <w:pgSz w:w="11906" w:h="16838"/>
          <w:pgMar w:top="2098" w:right="1474" w:bottom="1984" w:left="1587" w:header="851" w:footer="992" w:gutter="0"/>
          <w:pgNumType w:fmt="decimal" w:start="1"/>
          <w:cols w:space="0" w:num="1"/>
          <w:rtlGutter w:val="0"/>
          <w:docGrid w:type="lines" w:linePitch="312" w:charSpace="0"/>
        </w:sectPr>
      </w:pPr>
    </w:p>
    <w:p w14:paraId="5E43E800">
      <w:pPr>
        <w:pStyle w:val="25"/>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kern w:val="44"/>
          <w:sz w:val="36"/>
          <w:szCs w:val="36"/>
        </w:rPr>
      </w:pPr>
      <w:bookmarkStart w:id="3" w:name="_Toc5679"/>
      <w:r>
        <w:rPr>
          <w:rFonts w:hint="eastAsia" w:ascii="Times New Roman" w:hAnsi="Times New Roman" w:eastAsia="方正小标宋简体"/>
          <w:kern w:val="44"/>
          <w:sz w:val="36"/>
          <w:szCs w:val="36"/>
        </w:rPr>
        <w:t xml:space="preserve">第一篇 </w:t>
      </w:r>
      <w:bookmarkEnd w:id="0"/>
      <w:bookmarkEnd w:id="1"/>
      <w:bookmarkEnd w:id="2"/>
      <w:r>
        <w:rPr>
          <w:rFonts w:hint="eastAsia" w:ascii="Times New Roman" w:hAnsi="Times New Roman" w:eastAsia="方正小标宋简体"/>
          <w:kern w:val="44"/>
          <w:sz w:val="36"/>
          <w:szCs w:val="36"/>
          <w:lang w:val="en-US" w:eastAsia="zh-CN"/>
        </w:rPr>
        <w:t>“十四五”时期工作成效</w:t>
      </w:r>
      <w:bookmarkEnd w:id="3"/>
    </w:p>
    <w:p w14:paraId="09A26402">
      <w:pPr>
        <w:pStyle w:val="12"/>
        <w:rPr>
          <w:rFonts w:hint="eastAsia" w:ascii="Times New Roman" w:hAnsi="Times New Roman" w:cs="仿宋_GB2312"/>
          <w:kern w:val="2"/>
          <w:sz w:val="32"/>
          <w:szCs w:val="32"/>
          <w:lang w:val="en-US" w:eastAsia="zh-CN"/>
        </w:rPr>
      </w:pPr>
      <w:r>
        <w:rPr>
          <w:rFonts w:hint="eastAsia" w:ascii="Times New Roman" w:hAnsi="Times New Roman" w:cs="仿宋_GB2312"/>
          <w:kern w:val="2"/>
          <w:sz w:val="32"/>
          <w:szCs w:val="32"/>
          <w:lang w:val="en-US" w:eastAsia="zh-CN"/>
        </w:rPr>
        <w:t>“十四五”以来，朝阳区气象事业以精密化监测、精准化预报预警、智慧化服务、多元化科普、规范化管理五大体系为建设目标，持续提升科技创新引领的气象现代化业务能力，筑牢超大城市气象安全防线，6项核心发展指标均圆满完成：建成1公里分辨率的关键区域气象监测网格化实况产品，暴雨、雷电等高影响气象灾害预警提前量≥80分钟，重大活动气象服务实现移动端百米级、逐小时动态可视化实况预报及逐3小时更新风险评估，公众气象服务满意度≥93，建成全链条气象风险管理业务体系，成功创办1个全国气象科普教育基地，为“五宜”朝阳建设筑牢坚实气象保障。</w:t>
      </w:r>
    </w:p>
    <w:p w14:paraId="42C686C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4" w:name="_Toc23808"/>
      <w:r>
        <w:rPr>
          <w:rFonts w:hint="eastAsia" w:ascii="Times New Roman" w:hAnsi="Times New Roman" w:eastAsia="黑体" w:cs="黑体"/>
          <w:color w:val="000000"/>
          <w:kern w:val="0"/>
          <w:sz w:val="32"/>
          <w:szCs w:val="32"/>
          <w:lang w:val="en-US" w:eastAsia="zh-CN" w:bidi="ar-SA"/>
        </w:rPr>
        <w:t>第一章 体制机制健全完善</w:t>
      </w:r>
      <w:bookmarkEnd w:id="4"/>
    </w:p>
    <w:p w14:paraId="16783BC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eastAsia="楷体_GB2312" w:cs="楷体_GB2312"/>
          <w:bCs/>
          <w:szCs w:val="32"/>
          <w:lang w:val="en-US" w:eastAsia="zh-CN"/>
        </w:rPr>
      </w:pPr>
      <w:bookmarkStart w:id="5" w:name="_Toc29386"/>
      <w:bookmarkStart w:id="6" w:name="_Toc31857"/>
      <w:bookmarkStart w:id="7" w:name="_Toc205803859"/>
      <w:bookmarkStart w:id="8" w:name="_Toc216339871"/>
      <w:bookmarkStart w:id="9" w:name="_Toc6805"/>
      <w:bookmarkStart w:id="10" w:name="_Toc216686193"/>
      <w:bookmarkStart w:id="11" w:name="_Toc17375"/>
      <w:bookmarkStart w:id="12" w:name="_Toc217316459"/>
      <w:bookmarkStart w:id="13" w:name="_Toc15940"/>
      <w:r>
        <w:rPr>
          <w:rFonts w:hint="eastAsia" w:eastAsia="楷体_GB2312" w:cs="楷体_GB2312"/>
          <w:bCs/>
          <w:szCs w:val="32"/>
        </w:rPr>
        <w:t>一、</w:t>
      </w:r>
      <w:bookmarkEnd w:id="5"/>
      <w:bookmarkEnd w:id="6"/>
      <w:bookmarkEnd w:id="7"/>
      <w:bookmarkEnd w:id="8"/>
      <w:bookmarkEnd w:id="9"/>
      <w:bookmarkEnd w:id="10"/>
      <w:bookmarkEnd w:id="11"/>
      <w:bookmarkEnd w:id="12"/>
      <w:bookmarkEnd w:id="13"/>
      <w:r>
        <w:rPr>
          <w:rFonts w:hint="eastAsia" w:eastAsia="楷体_GB2312" w:cs="楷体_GB2312"/>
          <w:bCs/>
          <w:szCs w:val="32"/>
          <w:lang w:val="en-US" w:eastAsia="zh-CN"/>
        </w:rPr>
        <w:t>应急响应机制创新升级</w:t>
      </w:r>
    </w:p>
    <w:p w14:paraId="31C73777">
      <w:pPr>
        <w:pStyle w:val="6"/>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ascii="楷体_GB2312" w:hAnsi="楷体_GB2312" w:eastAsia="楷体_GB2312" w:cs="楷体_GB2312"/>
          <w:b/>
          <w:sz w:val="28"/>
          <w:szCs w:val="28"/>
        </w:rPr>
      </w:pPr>
      <w:r>
        <w:rPr>
          <w:rFonts w:hint="eastAsia" w:ascii="Times New Roman" w:hAnsi="Times New Roman" w:eastAsia="仿宋_GB2312" w:cs="仿宋_GB2312"/>
          <w:b w:val="0"/>
          <w:bCs/>
          <w:sz w:val="32"/>
          <w:szCs w:val="32"/>
          <w:lang w:val="en-US" w:eastAsia="zh-CN"/>
        </w:rPr>
        <w:t>贯彻总体国家安全观，制定气象预警“叫应”标准，建立全域应急责任人网络，实现预警信息靶向精准发布。将气象数据深度融入“城市管理大脑”“城市安全大脑”，建成并升级分钟级预警发布系统。融合长期预测、精细化格点预报等多源产品，为现场指挥调度提供可视化气象服务，超大城市气象应急响应效率显著提升。</w:t>
      </w:r>
    </w:p>
    <w:p w14:paraId="41BD757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二、法治监管体系提质增效</w:t>
      </w:r>
    </w:p>
    <w:p w14:paraId="6A0A578F">
      <w:pPr>
        <w:pStyle w:val="6"/>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sz w:val="32"/>
          <w:szCs w:val="32"/>
          <w:lang w:val="en-US" w:eastAsia="zh-CN"/>
        </w:rPr>
      </w:pPr>
      <w:r>
        <w:rPr>
          <w:rFonts w:hint="eastAsia" w:ascii="Times New Roman" w:hAnsi="Times New Roman" w:eastAsia="仿宋_GB2312" w:cs="仿宋_GB2312"/>
          <w:b w:val="0"/>
          <w:bCs/>
          <w:sz w:val="32"/>
          <w:szCs w:val="32"/>
          <w:lang w:val="en-US" w:eastAsia="zh-CN"/>
        </w:rPr>
        <w:t>全面落实“放管服”改革要求，创新“执法+专家”智慧监管新模式，实现186家重点单位监管全覆盖。构建“非现场监管”体系，防雷安全整治成效位居全市首位。联合主流媒体制作气象法制宣传片，创新普法形式，拓宽气象法治宣传覆盖面和影响力。</w:t>
      </w:r>
    </w:p>
    <w:p w14:paraId="7E3FF2D0">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bookmarkStart w:id="58" w:name="_GoBack"/>
      <w:r>
        <w:rPr>
          <w:rFonts w:hint="eastAsia" w:ascii="Times New Roman" w:hAnsi="Times New Roman" w:eastAsia="楷体_GB2312" w:cs="楷体_GB2312"/>
          <w:bCs/>
          <w:szCs w:val="32"/>
          <w:lang w:val="en-US" w:eastAsia="zh-CN"/>
        </w:rPr>
        <w:t>三、风险防控体系系统构建</w:t>
      </w:r>
    </w:p>
    <w:bookmarkEnd w:id="58"/>
    <w:p w14:paraId="0404243A">
      <w:pPr>
        <w:pStyle w:val="6"/>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sz w:val="32"/>
          <w:szCs w:val="32"/>
          <w:lang w:val="en-US" w:eastAsia="zh-CN"/>
        </w:rPr>
      </w:pPr>
      <w:r>
        <w:rPr>
          <w:rFonts w:hint="eastAsia" w:ascii="Times New Roman" w:hAnsi="Times New Roman" w:eastAsia="仿宋_GB2312" w:cs="仿宋_GB2312"/>
          <w:b w:val="0"/>
          <w:bCs/>
          <w:sz w:val="32"/>
          <w:szCs w:val="32"/>
          <w:lang w:val="en-US" w:eastAsia="zh-CN"/>
        </w:rPr>
        <w:t>建立气象数据融通共享机制，打造“平战结合、纵横贯通”的气象安全联防体系，实现多部门“数据同池、系统同源、指挥同频”及“城市大脑”双核驱动的秒级数据交互，支撑基层“叫应—响应—反馈”闭环管理。创新“网格员+气象信息员”双融工作机制，构建新型气象灾害防御范式。完成全国首轮区级气象灾害风险普查，创新“风险普查+”应用模式，建成动态更新数据库。完成9类气象灾害危险性评估，形成54幅数字化风险区划成果，精准提升城市易涝点位、暴雨落区等重点区域识别能力，为防汛应急和预案制定提供坚实数据支撑。</w:t>
      </w:r>
    </w:p>
    <w:p w14:paraId="14C37CA2">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14" w:name="_Toc13455"/>
      <w:r>
        <w:rPr>
          <w:rFonts w:hint="eastAsia" w:ascii="Times New Roman" w:hAnsi="Times New Roman" w:eastAsia="黑体" w:cs="黑体"/>
          <w:color w:val="000000"/>
          <w:kern w:val="0"/>
          <w:sz w:val="32"/>
          <w:szCs w:val="32"/>
          <w:lang w:val="en-US" w:eastAsia="zh-CN" w:bidi="ar-SA"/>
        </w:rPr>
        <w:t>第二章 技术装备迭代升级</w:t>
      </w:r>
      <w:bookmarkEnd w:id="14"/>
    </w:p>
    <w:p w14:paraId="332D7C2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rPr>
        <w:t>一、</w:t>
      </w:r>
      <w:r>
        <w:rPr>
          <w:rFonts w:hint="eastAsia" w:ascii="Times New Roman" w:hAnsi="Times New Roman" w:eastAsia="楷体_GB2312" w:cs="楷体_GB2312"/>
          <w:bCs/>
          <w:szCs w:val="32"/>
          <w:lang w:val="en-US" w:eastAsia="zh-CN"/>
        </w:rPr>
        <w:t>全域观测网络全面完善</w:t>
      </w:r>
    </w:p>
    <w:p w14:paraId="36C41C6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ascii="楷体_GB2312" w:hAnsi="楷体_GB2312" w:eastAsia="楷体_GB2312" w:cs="楷体_GB2312"/>
          <w:b/>
          <w:color w:val="000000"/>
          <w:kern w:val="0"/>
          <w:sz w:val="28"/>
          <w:szCs w:val="28"/>
          <w:lang w:val="en-US" w:eastAsia="zh-CN" w:bidi="ar-SA"/>
        </w:rPr>
      </w:pPr>
      <w:r>
        <w:rPr>
          <w:rFonts w:hint="eastAsia" w:ascii="Times New Roman" w:hAnsi="Times New Roman" w:eastAsia="仿宋_GB2312" w:cs="仿宋_GB2312"/>
          <w:b w:val="0"/>
          <w:bCs/>
          <w:color w:val="000000"/>
          <w:kern w:val="0"/>
          <w:sz w:val="32"/>
          <w:szCs w:val="32"/>
          <w:lang w:val="en-US" w:eastAsia="zh-CN" w:bidi="ar-SA"/>
        </w:rPr>
        <w:t>依托北京市气象重点项目，建成覆盖温榆河生态走廊的智能观测站网，完成41个自动气象站改建，新建6个花粉观测站、3个垂直遥感设备及166个铁塔气象站，形成“三维遥感+地面组网”的全域立体观测体系，实现气象要素多维度、全覆盖监测。</w:t>
      </w:r>
    </w:p>
    <w:p w14:paraId="6C7C6BB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二、智能观测技术深度应用</w:t>
      </w:r>
    </w:p>
    <w:p w14:paraId="3DA27F5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color w:val="000000"/>
          <w:kern w:val="0"/>
          <w:sz w:val="32"/>
          <w:szCs w:val="32"/>
          <w:lang w:val="en-US" w:eastAsia="zh-CN" w:bidi="ar-SA"/>
        </w:rPr>
      </w:pPr>
      <w:r>
        <w:rPr>
          <w:rFonts w:hint="eastAsia" w:ascii="Times New Roman" w:hAnsi="Times New Roman" w:eastAsia="仿宋_GB2312" w:cs="仿宋_GB2312"/>
          <w:b w:val="0"/>
          <w:bCs/>
          <w:color w:val="000000"/>
          <w:kern w:val="0"/>
          <w:sz w:val="32"/>
          <w:szCs w:val="32"/>
          <w:lang w:val="en-US" w:eastAsia="zh-CN" w:bidi="ar-SA"/>
        </w:rPr>
        <w:t>部署新一代天气现象智能观测系统，创新应用人工智能图像识别技术，实现云状识别准确率92%以上，多源气象数据融合的实况分析能力大幅提升。融合图像识别、AI智能算法等技术，实现积水点、降雨等气象灾害相关要素智能识别，防汛应急技术支撑能力显著增强。</w:t>
      </w:r>
    </w:p>
    <w:p w14:paraId="3D69E4B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三、重大保障观测能力精准提升</w:t>
      </w:r>
    </w:p>
    <w:p w14:paraId="6A80B80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color w:val="000000"/>
          <w:kern w:val="0"/>
          <w:sz w:val="32"/>
          <w:szCs w:val="32"/>
          <w:lang w:val="en-US" w:eastAsia="zh-CN" w:bidi="ar-SA"/>
        </w:rPr>
      </w:pPr>
      <w:r>
        <w:rPr>
          <w:rFonts w:hint="eastAsia" w:ascii="Times New Roman" w:hAnsi="Times New Roman" w:eastAsia="仿宋_GB2312" w:cs="仿宋_GB2312"/>
          <w:b w:val="0"/>
          <w:bCs/>
          <w:color w:val="000000"/>
          <w:kern w:val="0"/>
          <w:sz w:val="32"/>
          <w:szCs w:val="32"/>
          <w:lang w:val="en-US" w:eastAsia="zh-CN" w:bidi="ar-SA"/>
        </w:rPr>
        <w:t>面向冬奥等重大国事保障需求，建成赛事核心区12要素超密集观测阵列，将重点区域气象数据采集频次提升至分钟级。设备稳定运行率达99.71%，较“十三五”时期提升0.85%，建成达国际赛事标准的关键区域监测体系，为重大活动提供高精度、高稳定性的观测数据支撑。</w:t>
      </w:r>
    </w:p>
    <w:p w14:paraId="003840F1">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15" w:name="_Toc10063"/>
      <w:r>
        <w:rPr>
          <w:rFonts w:hint="eastAsia" w:ascii="Times New Roman" w:hAnsi="Times New Roman" w:eastAsia="黑体" w:cs="黑体"/>
          <w:color w:val="000000"/>
          <w:kern w:val="0"/>
          <w:sz w:val="32"/>
          <w:szCs w:val="32"/>
          <w:lang w:val="en-US" w:eastAsia="zh-CN" w:bidi="ar-SA"/>
        </w:rPr>
        <w:t>第三章 预报预警能力跨越式提升</w:t>
      </w:r>
      <w:bookmarkEnd w:id="15"/>
    </w:p>
    <w:p w14:paraId="7161C0E8">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rPr>
        <w:t>一、</w:t>
      </w:r>
      <w:r>
        <w:rPr>
          <w:rFonts w:hint="eastAsia" w:ascii="Times New Roman" w:hAnsi="Times New Roman" w:eastAsia="楷体_GB2312" w:cs="楷体_GB2312"/>
          <w:bCs/>
          <w:szCs w:val="32"/>
          <w:lang w:val="en-US" w:eastAsia="zh-CN"/>
        </w:rPr>
        <w:t>预报系统全面升级</w:t>
      </w:r>
    </w:p>
    <w:p w14:paraId="3FB3C90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ascii="楷体_GB2312" w:hAnsi="楷体_GB2312" w:eastAsia="楷体_GB2312" w:cs="楷体_GB2312"/>
          <w:b/>
          <w:color w:val="000000"/>
          <w:kern w:val="0"/>
          <w:sz w:val="28"/>
          <w:szCs w:val="28"/>
          <w:lang w:val="en-US" w:eastAsia="zh-CN" w:bidi="ar-SA"/>
        </w:rPr>
      </w:pPr>
      <w:r>
        <w:rPr>
          <w:rFonts w:hint="eastAsia" w:ascii="Times New Roman" w:hAnsi="Times New Roman" w:eastAsia="仿宋_GB2312" w:cs="仿宋_GB2312"/>
          <w:b w:val="0"/>
          <w:bCs/>
          <w:color w:val="000000"/>
          <w:kern w:val="0"/>
          <w:sz w:val="32"/>
          <w:szCs w:val="32"/>
          <w:lang w:val="en-US" w:eastAsia="zh-CN" w:bidi="ar-SA"/>
        </w:rPr>
        <w:t>深度融入京津冀协同发展战略，全面对接无缝隙智能网格分析预报系统，实现区域预报体系与iGrAPS3.0系统的深度融合、数据互通，为精细化预报奠定系统基础。</w:t>
      </w:r>
    </w:p>
    <w:p w14:paraId="02F04278">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二、精细化预报能力大幅提升</w:t>
      </w:r>
    </w:p>
    <w:p w14:paraId="75F725B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color w:val="000000"/>
          <w:kern w:val="0"/>
          <w:sz w:val="32"/>
          <w:szCs w:val="32"/>
          <w:lang w:val="en-US" w:eastAsia="zh-CN" w:bidi="ar-SA"/>
        </w:rPr>
      </w:pPr>
      <w:r>
        <w:rPr>
          <w:rFonts w:hint="eastAsia" w:ascii="Times New Roman" w:hAnsi="Times New Roman" w:eastAsia="仿宋_GB2312" w:cs="仿宋_GB2312"/>
          <w:b w:val="0"/>
          <w:bCs/>
          <w:color w:val="000000"/>
          <w:kern w:val="0"/>
          <w:sz w:val="32"/>
          <w:szCs w:val="32"/>
          <w:lang w:val="en-US" w:eastAsia="zh-CN" w:bidi="ar-SA"/>
        </w:rPr>
        <w:t>创新构建“社区级”预报服务模型，实现48小时逐小时、7天逐3小时预报全覆盖，预报精细化程度较“十三五”时期提升200%。在建党百年庆典、中非合作论坛等重大活动保障中，首创区级“百米级”气象服务标准，关键时段预报准确率达98.6%。</w:t>
      </w:r>
    </w:p>
    <w:p w14:paraId="0BD5277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三、专业预报能力精准强化</w:t>
      </w:r>
    </w:p>
    <w:p w14:paraId="1DB4380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color w:val="000000"/>
          <w:kern w:val="0"/>
          <w:sz w:val="32"/>
          <w:szCs w:val="32"/>
          <w:lang w:val="en-US" w:eastAsia="zh-CN" w:bidi="ar-SA"/>
        </w:rPr>
      </w:pPr>
      <w:r>
        <w:rPr>
          <w:rFonts w:hint="eastAsia" w:ascii="Times New Roman" w:hAnsi="Times New Roman" w:eastAsia="仿宋_GB2312" w:cs="仿宋_GB2312"/>
          <w:b w:val="0"/>
          <w:bCs/>
          <w:color w:val="000000"/>
          <w:kern w:val="0"/>
          <w:sz w:val="32"/>
          <w:szCs w:val="32"/>
          <w:lang w:val="en-US" w:eastAsia="zh-CN" w:bidi="ar-SA"/>
        </w:rPr>
        <w:t>针对流域防汛、生态环境、重大活动等决策需求，建成流域气象风险预警、冬奥气象服务保障等专业化预报服务平台，实现分钟级气象观测资料实况对接、关键区域逐小时多要素精准预报，大幅提升暴雨、强对流、沙尘、重污染等灾害性天气的专业预报和风险评估能力。</w:t>
      </w:r>
    </w:p>
    <w:p w14:paraId="655787A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16" w:name="_Toc10868"/>
      <w:r>
        <w:rPr>
          <w:rFonts w:hint="eastAsia" w:ascii="Times New Roman" w:hAnsi="Times New Roman" w:eastAsia="黑体" w:cs="黑体"/>
          <w:color w:val="000000"/>
          <w:kern w:val="0"/>
          <w:sz w:val="32"/>
          <w:szCs w:val="32"/>
          <w:lang w:val="en-US" w:eastAsia="zh-CN" w:bidi="ar-SA"/>
        </w:rPr>
        <w:t>第四章 社会服务全方位提质</w:t>
      </w:r>
      <w:bookmarkEnd w:id="16"/>
    </w:p>
    <w:p w14:paraId="033E01C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rPr>
        <w:t>一、</w:t>
      </w:r>
      <w:r>
        <w:rPr>
          <w:rFonts w:hint="eastAsia" w:ascii="Times New Roman" w:hAnsi="Times New Roman" w:eastAsia="楷体_GB2312" w:cs="楷体_GB2312"/>
          <w:bCs/>
          <w:szCs w:val="32"/>
          <w:lang w:val="en-US" w:eastAsia="zh-CN"/>
        </w:rPr>
        <w:t>行业气象服务精细化、定制化</w:t>
      </w:r>
    </w:p>
    <w:p w14:paraId="0212C65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ascii="楷体_GB2312" w:hAnsi="楷体_GB2312" w:eastAsia="楷体_GB2312" w:cs="楷体_GB2312"/>
          <w:b/>
          <w:color w:val="000000"/>
          <w:kern w:val="0"/>
          <w:sz w:val="28"/>
          <w:szCs w:val="28"/>
          <w:lang w:val="en-US" w:eastAsia="zh-CN" w:bidi="ar-SA"/>
        </w:rPr>
      </w:pPr>
      <w:r>
        <w:rPr>
          <w:rFonts w:hint="eastAsia" w:ascii="Times New Roman" w:hAnsi="Times New Roman" w:eastAsia="仿宋_GB2312" w:cs="仿宋_GB2312"/>
          <w:b w:val="0"/>
          <w:bCs/>
          <w:color w:val="000000"/>
          <w:kern w:val="0"/>
          <w:sz w:val="32"/>
          <w:szCs w:val="32"/>
          <w:lang w:val="en-US" w:eastAsia="zh-CN" w:bidi="ar-SA"/>
        </w:rPr>
        <w:t>围绕区域发展“疏解整治促提升”专项行动，建立应急、防汛、生态环境、园林绿化等多领域专业气象服务矩阵。创新研发杨柳飞絮预测模型，服务专报直达城市治理指挥中枢。搭建流域气象风险预警平台，强化中小河流气象风险预测应对，提升防洪排涝气象支撑能力。建立环境气象会商机制，精准开展重污染天气预报，为生态环境治理和污染防治攻坚战提供专业气象支撑。</w:t>
      </w:r>
    </w:p>
    <w:p w14:paraId="6D938F6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二、重大活动气象服务标准化、体系化</w:t>
      </w:r>
    </w:p>
    <w:p w14:paraId="29B77D0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color w:val="000000"/>
          <w:kern w:val="0"/>
          <w:sz w:val="32"/>
          <w:szCs w:val="32"/>
          <w:lang w:val="en-US" w:eastAsia="zh-CN" w:bidi="ar-SA"/>
        </w:rPr>
      </w:pPr>
      <w:r>
        <w:rPr>
          <w:rFonts w:hint="eastAsia" w:ascii="Times New Roman" w:hAnsi="Times New Roman" w:eastAsia="仿宋_GB2312" w:cs="仿宋_GB2312"/>
          <w:b w:val="0"/>
          <w:bCs/>
          <w:color w:val="000000"/>
          <w:kern w:val="0"/>
          <w:sz w:val="32"/>
          <w:szCs w:val="32"/>
          <w:lang w:val="en-US" w:eastAsia="zh-CN" w:bidi="ar-SA"/>
        </w:rPr>
        <w:t>贯彻“简约、安全、精彩”办赛要求，建立“一活动一策”重大活动气象保障模式，形成标准化保障流程。在冬奥、冬残奥会、党的二十大、服贸会等重大活动中，部署移动监测等新型设备，建成赛事专用气象服务平台，结合季节气候特点开展降水、大风、能见度等气象风险评估，实现关键区域监测密度达国际赛事标准，为各类重大活动顺利开展提供全方位、高标准气象保障。</w:t>
      </w:r>
    </w:p>
    <w:p w14:paraId="444FF99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三、民生气象服务智慧化、便捷化</w:t>
      </w:r>
    </w:p>
    <w:p w14:paraId="075D024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color w:val="000000"/>
          <w:kern w:val="0"/>
          <w:sz w:val="32"/>
          <w:szCs w:val="32"/>
          <w:lang w:val="en-US" w:eastAsia="zh-CN" w:bidi="ar-SA"/>
        </w:rPr>
      </w:pPr>
      <w:r>
        <w:rPr>
          <w:rFonts w:hint="eastAsia" w:ascii="Times New Roman" w:hAnsi="Times New Roman" w:eastAsia="仿宋_GB2312" w:cs="仿宋_GB2312"/>
          <w:b w:val="0"/>
          <w:bCs/>
          <w:color w:val="000000"/>
          <w:kern w:val="0"/>
          <w:sz w:val="32"/>
          <w:szCs w:val="32"/>
          <w:lang w:val="en-US" w:eastAsia="zh-CN" w:bidi="ar-SA"/>
        </w:rPr>
        <w:t>落实数字中国战略，建成区级定制化气象服务平台，构建“新媒体+”气象信息传播矩阵。气象服务街乡终端覆盖率100%，基层气象防灾减灾和服务能力显著增强。依托“朝阳区气象台”公众号开发，实现气象服务主动推送及气象证明线上办理，持续优化公众气象服务体验。</w:t>
      </w:r>
    </w:p>
    <w:p w14:paraId="4B9B7F03">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eastAsia="楷体_GB2312" w:cs="楷体_GB2312"/>
          <w:bCs/>
          <w:szCs w:val="32"/>
          <w:lang w:val="en-US" w:eastAsia="zh-CN"/>
        </w:rPr>
        <w:t>四</w:t>
      </w:r>
      <w:r>
        <w:rPr>
          <w:rFonts w:hint="eastAsia" w:ascii="Times New Roman" w:hAnsi="Times New Roman" w:eastAsia="楷体_GB2312" w:cs="楷体_GB2312"/>
          <w:bCs/>
          <w:szCs w:val="32"/>
          <w:lang w:val="en-US" w:eastAsia="zh-CN"/>
        </w:rPr>
        <w:t>、气象科普服务多元化、全民化</w:t>
      </w:r>
    </w:p>
    <w:p w14:paraId="2E72C7B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color w:val="000000"/>
          <w:kern w:val="0"/>
          <w:sz w:val="32"/>
          <w:szCs w:val="32"/>
          <w:lang w:val="en-US" w:eastAsia="zh-CN" w:bidi="ar-SA"/>
        </w:rPr>
      </w:pPr>
      <w:r>
        <w:rPr>
          <w:rFonts w:hint="eastAsia" w:ascii="Times New Roman" w:hAnsi="Times New Roman" w:eastAsia="仿宋_GB2312" w:cs="仿宋_GB2312"/>
          <w:b w:val="0"/>
          <w:bCs/>
          <w:color w:val="000000"/>
          <w:kern w:val="0"/>
          <w:sz w:val="32"/>
          <w:szCs w:val="32"/>
          <w:lang w:val="en-US" w:eastAsia="zh-CN" w:bidi="ar-SA"/>
        </w:rPr>
        <w:t>以建设全民气象安全素质工程为目标，创新构建气象“大科普”工作格局。建成区级气象科普元宇宙体验中心，开发VR气象灾害体验系统等18类数字化科普产品，实现科普基地“一码畅游”，打造沉浸式科普体验。创新“科普+”融合模式，培育社区气象安全示范点和气象特色学校，推动气象科普进社区、进校园。成功获评第八批国家气象科普基地、优秀国家气象科普基地等多项称号，气象科普覆盖面和影响力大幅提升，全民气象安全素养显著提高。</w:t>
      </w:r>
    </w:p>
    <w:p w14:paraId="00BB8E3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17" w:name="_Toc30661"/>
      <w:r>
        <w:rPr>
          <w:rFonts w:hint="eastAsia" w:ascii="Times New Roman" w:hAnsi="Times New Roman" w:eastAsia="黑体" w:cs="黑体"/>
          <w:color w:val="000000"/>
          <w:kern w:val="0"/>
          <w:sz w:val="32"/>
          <w:szCs w:val="32"/>
          <w:lang w:val="en-US" w:eastAsia="zh-CN" w:bidi="ar-SA"/>
        </w:rPr>
        <w:t>第五章 科技研发攻关突破</w:t>
      </w:r>
      <w:bookmarkEnd w:id="17"/>
    </w:p>
    <w:p w14:paraId="382177C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rPr>
        <w:t>一、</w:t>
      </w:r>
      <w:r>
        <w:rPr>
          <w:rFonts w:hint="eastAsia" w:ascii="Times New Roman" w:hAnsi="Times New Roman" w:eastAsia="楷体_GB2312" w:cs="楷体_GB2312"/>
          <w:bCs/>
          <w:szCs w:val="32"/>
          <w:lang w:val="en-US" w:eastAsia="zh-CN"/>
        </w:rPr>
        <w:t>科研体系构建</w:t>
      </w:r>
    </w:p>
    <w:p w14:paraId="47C1174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ascii="楷体_GB2312" w:hAnsi="楷体_GB2312" w:eastAsia="楷体_GB2312" w:cs="楷体_GB2312"/>
          <w:b/>
          <w:color w:val="000000"/>
          <w:kern w:val="0"/>
          <w:sz w:val="28"/>
          <w:szCs w:val="28"/>
          <w:lang w:val="en-US" w:eastAsia="zh-CN" w:bidi="ar-SA"/>
        </w:rPr>
      </w:pPr>
      <w:r>
        <w:rPr>
          <w:rFonts w:hint="eastAsia" w:ascii="Times New Roman" w:hAnsi="Times New Roman" w:eastAsia="仿宋_GB2312" w:cs="仿宋_GB2312"/>
          <w:b w:val="0"/>
          <w:bCs/>
          <w:color w:val="000000"/>
          <w:kern w:val="0"/>
          <w:sz w:val="32"/>
          <w:szCs w:val="32"/>
          <w:lang w:val="en-US" w:eastAsia="zh-CN" w:bidi="ar-SA"/>
        </w:rPr>
        <w:t>立足国家安全和民生需求，系统构建极端天气灾害防治科研体系，深入开展暴雨强对流机理、重污染天气防控等关键领域重大攻关，聚焦龙卷风预警等战略急需方向开展技术研发，形成“基础研究+应用攻关+应急研发”的多层次科研布局。</w:t>
      </w:r>
    </w:p>
    <w:p w14:paraId="00724E8B">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二、科研成果落地</w:t>
      </w:r>
    </w:p>
    <w:p w14:paraId="1A703FA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color w:val="000000"/>
          <w:kern w:val="0"/>
          <w:sz w:val="32"/>
          <w:szCs w:val="32"/>
          <w:lang w:val="en-US" w:eastAsia="zh-CN" w:bidi="ar-SA"/>
        </w:rPr>
      </w:pPr>
      <w:r>
        <w:rPr>
          <w:rFonts w:hint="eastAsia" w:ascii="Times New Roman" w:hAnsi="Times New Roman" w:eastAsia="仿宋_GB2312" w:cs="仿宋_GB2312"/>
          <w:b w:val="0"/>
          <w:bCs/>
          <w:color w:val="000000"/>
          <w:kern w:val="0"/>
          <w:sz w:val="32"/>
          <w:szCs w:val="32"/>
          <w:lang w:val="en-US" w:eastAsia="zh-CN" w:bidi="ar-SA"/>
        </w:rPr>
        <w:t>“十四五”期间累计承担国家自然科学基金青年项目等省部级以上重点课题4项，在龙卷风预警关键技术、数值预报模式研发、智能网格预警等核心领域取得标志性成果，实现气象基础研究与应用转化双轮驱动，为气象防灾减灾提供硬核科技支撑。</w:t>
      </w:r>
    </w:p>
    <w:p w14:paraId="58FF05B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三、协同创新机制拓展</w:t>
      </w:r>
    </w:p>
    <w:p w14:paraId="54B6CFC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jc w:val="both"/>
        <w:textAlignment w:val="auto"/>
        <w:rPr>
          <w:rFonts w:hint="eastAsia" w:ascii="Times New Roman" w:hAnsi="Times New Roman" w:eastAsia="仿宋_GB2312" w:cs="仿宋_GB2312"/>
          <w:b w:val="0"/>
          <w:bCs/>
          <w:color w:val="000000"/>
          <w:kern w:val="0"/>
          <w:sz w:val="32"/>
          <w:szCs w:val="32"/>
          <w:lang w:val="en-US" w:eastAsia="zh-CN" w:bidi="ar-SA"/>
        </w:rPr>
      </w:pPr>
      <w:r>
        <w:rPr>
          <w:rFonts w:hint="eastAsia" w:ascii="Times New Roman" w:hAnsi="Times New Roman" w:eastAsia="仿宋_GB2312" w:cs="仿宋_GB2312"/>
          <w:b w:val="0"/>
          <w:bCs/>
          <w:color w:val="000000"/>
          <w:kern w:val="0"/>
          <w:sz w:val="32"/>
          <w:szCs w:val="32"/>
          <w:lang w:val="en-US" w:eastAsia="zh-CN" w:bidi="ar-SA"/>
        </w:rPr>
        <w:t>深化“政产学研用”协同创新机制，推动科技创新与监测、预报、服务等业务深度融合，全方位提升监测精密、预报精准、服务精细能力，以高水平气象科技自立自强赋能超大城市安全运行保障体系现代化建设。</w:t>
      </w:r>
    </w:p>
    <w:p w14:paraId="189EF6E0">
      <w:pPr>
        <w:pStyle w:val="25"/>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kern w:val="44"/>
          <w:sz w:val="36"/>
          <w:szCs w:val="36"/>
          <w:lang w:val="en-US" w:eastAsia="zh-CN"/>
        </w:rPr>
      </w:pPr>
      <w:bookmarkStart w:id="18" w:name="_Toc4290"/>
      <w:bookmarkStart w:id="19" w:name="_Toc1554"/>
      <w:r>
        <w:rPr>
          <w:rFonts w:hint="eastAsia" w:ascii="Times New Roman" w:hAnsi="Times New Roman" w:eastAsia="方正小标宋简体"/>
          <w:kern w:val="44"/>
          <w:sz w:val="36"/>
          <w:szCs w:val="36"/>
          <w:lang w:val="en-US" w:eastAsia="zh-CN"/>
        </w:rPr>
        <w:t>第二篇 “十五五”时期面临的机遇与挑战</w:t>
      </w:r>
      <w:bookmarkEnd w:id="18"/>
      <w:bookmarkEnd w:id="19"/>
    </w:p>
    <w:p w14:paraId="32A63C3E">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20" w:name="_Toc10316"/>
      <w:bookmarkStart w:id="21" w:name="_Toc29543"/>
      <w:r>
        <w:rPr>
          <w:rFonts w:hint="eastAsia" w:ascii="Times New Roman" w:hAnsi="Times New Roman" w:eastAsia="黑体" w:cs="黑体"/>
          <w:color w:val="000000"/>
          <w:kern w:val="0"/>
          <w:sz w:val="32"/>
          <w:szCs w:val="32"/>
          <w:lang w:val="en-US" w:eastAsia="zh-CN" w:bidi="ar-SA"/>
        </w:rPr>
        <w:t>第一章 面临机遇</w:t>
      </w:r>
      <w:bookmarkEnd w:id="20"/>
      <w:bookmarkEnd w:id="21"/>
    </w:p>
    <w:p w14:paraId="67D9CCD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一、国家战略引领气象事业迈向系统化现代化建设新高度</w:t>
      </w:r>
    </w:p>
    <w:p w14:paraId="09214CF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cs="仿宋_GB2312"/>
          <w:color w:val="000000"/>
          <w:kern w:val="2"/>
          <w:sz w:val="32"/>
          <w:szCs w:val="32"/>
          <w:lang w:val="en-US" w:eastAsia="zh-CN" w:bidi="ar-SA"/>
        </w:rPr>
      </w:pPr>
      <w:r>
        <w:rPr>
          <w:rFonts w:hint="eastAsia" w:ascii="Times New Roman" w:hAnsi="Times New Roman" w:cs="仿宋_GB2312"/>
          <w:color w:val="000000"/>
          <w:kern w:val="2"/>
          <w:sz w:val="32"/>
          <w:szCs w:val="32"/>
          <w:lang w:val="en-US" w:eastAsia="zh-CN" w:bidi="ar-SA"/>
        </w:rPr>
        <w:t>在全面建设社会主义现代化国家的新征程中，气象事业被赋予支撑国家战略、服务发展全局的重要使命。《气象高质量发展纲要（2022—2035年）》系统构建了涵盖观测、预报、服务、治理的全链条发展框架，明确提出建设科技领先、监测精密、预报精准、服务精细、人民满意的现代气象体系。这为朝阳区系统推进气象现代化建设提供了战略指引，推动气象从传统业务向智慧服务转型，深度融入国家发展大局，为区域经济社会发展和安全保障提供全方位支撑。朝阳区需在这一战略机遇下，加快构建符合首都核心区功能定位的气象现代化新格局，为强国建设贡献气象力量。</w:t>
      </w:r>
    </w:p>
    <w:p w14:paraId="55C103C8">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二、以人民为中心的思想推动气象防灾减灾体系全面升级</w:t>
      </w:r>
    </w:p>
    <w:p w14:paraId="211651F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cs="仿宋_GB2312"/>
          <w:color w:val="000000"/>
          <w:kern w:val="2"/>
          <w:sz w:val="32"/>
          <w:szCs w:val="32"/>
          <w:lang w:val="en-US" w:eastAsia="zh-CN" w:bidi="ar-SA"/>
        </w:rPr>
      </w:pPr>
      <w:r>
        <w:rPr>
          <w:rFonts w:hint="eastAsia" w:ascii="Times New Roman" w:hAnsi="Times New Roman" w:cs="仿宋_GB2312"/>
          <w:color w:val="000000"/>
          <w:kern w:val="2"/>
          <w:sz w:val="32"/>
          <w:szCs w:val="32"/>
          <w:lang w:val="en-US" w:eastAsia="zh-CN" w:bidi="ar-SA"/>
        </w:rPr>
        <w:t>党的二十大和二十届历</w:t>
      </w:r>
      <w:r>
        <w:rPr>
          <w:rFonts w:hint="eastAsia" w:cs="仿宋_GB2312"/>
          <w:color w:val="000000"/>
          <w:kern w:val="2"/>
          <w:sz w:val="32"/>
          <w:szCs w:val="32"/>
          <w:lang w:val="en-US" w:eastAsia="zh-CN" w:bidi="ar-SA"/>
        </w:rPr>
        <w:t>次</w:t>
      </w:r>
      <w:r>
        <w:rPr>
          <w:rFonts w:hint="eastAsia" w:ascii="Times New Roman" w:hAnsi="Times New Roman" w:cs="仿宋_GB2312"/>
          <w:color w:val="000000"/>
          <w:kern w:val="2"/>
          <w:sz w:val="32"/>
          <w:szCs w:val="32"/>
          <w:lang w:val="en-US" w:eastAsia="zh-CN" w:bidi="ar-SA"/>
        </w:rPr>
        <w:t>全会均强调了“气象防灾减灾第一道防线作用”的重要性。以习近平同志为核心的党中央高度重视防灾减灾救灾工作，习近平总书记专门作出重要指示，相继提出“发挥气象防灾减灾第一道防线作用”“气象工作关系生命安全、生产发展、生活富裕、生态良好，做好气象工作意义重大、责任重大等”重要指示，构成了新时代我国气象事业发展重要指导方针。同时，生态环境部会同中国气象局等部门印发《国家气候变化适应战略2035》，将适应气候变化融入经济社会发展大局，更加突出气候变化监测预警和风险管理。朝阳区应发挥气象防灾减灾第一道防线作用，通过源头风险管控、现代化气象体系建设、做好防灾减灾救灾，以及防范化解重大风险“组合拳”，保障人民生命财产安全。</w:t>
      </w:r>
    </w:p>
    <w:p w14:paraId="51CC85B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三、首都发展战略为气象服务精细化、国际化提供实践平台</w:t>
      </w:r>
    </w:p>
    <w:p w14:paraId="7FBBBF5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ascii="Times New Roman" w:hAnsi="Times New Roman" w:eastAsia="仿宋_GB2312" w:cs="仿宋_GB2312"/>
          <w:color w:val="000000"/>
          <w:kern w:val="2"/>
          <w:sz w:val="32"/>
          <w:szCs w:val="32"/>
          <w:lang w:val="en-US" w:eastAsia="zh-CN" w:bidi="ar-SA"/>
        </w:rPr>
        <w:t>北京建设国际一流的和谐宜居之都，对气象服务提出更高标准，</w:t>
      </w:r>
      <w:r>
        <w:rPr>
          <w:rFonts w:hint="eastAsia"/>
          <w:lang w:val="en-US" w:eastAsia="zh-CN"/>
        </w:rPr>
        <w:t>要求气象在保障城市安全、支撑重大活动、服务市民生活等方面发挥更大作用。北京市人民政府发布的《关于加快推进气象事业高质量发展的意见》提出要先行试点全国高质量气象现代化建设，高标准谋划、高水平推进首都气象事业发展，保障城市安全运行、满足经济社会发展和人民需求，为建设国际一流的和谐宜居之都提供坚实的气象保障服务。朝阳区作为首都功能核心承载区，应以此为契机，推动气象服务向精细化、场景化、智能化发展，打造符合国际大都市定位的气象服务样板。</w:t>
      </w:r>
    </w:p>
    <w:p w14:paraId="66A05FB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四、朝阳区高质量发展需求拓展气象融合应用新场景</w:t>
      </w:r>
    </w:p>
    <w:p w14:paraId="43660FA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朝阳区全面落实北京市委对朝阳区提出“四个走在前”的要求，以“五宜”和“五区”建设为重点，积极探索可持续发展的超大城市复兴之路。气象作为服务区域高质量发展的基础保障，需与城市规划、生态保护、文旅发展、城市治理等领域的深度融合。同时，随着数字经济发展和智慧城市建设，气象数据与城市运行数据的融合应用需求日益迫切，为气象服务从传统天气预报向环境治理、能源调度、交通管理、健康生活等多元场景延伸提供重要契机，推动气象价值在城市治理中的全面释放。</w:t>
      </w:r>
    </w:p>
    <w:p w14:paraId="24A5411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五、科技创新浪潮驱动气象核心能力系统性重构</w:t>
      </w:r>
    </w:p>
    <w:p w14:paraId="2C97960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一直以来，气象部门系统部署加快推进高水平科技自立自强的重点任务。人工智能、大数据、物联网等新技术正深刻改变气象业务形态。我国气象科技在数值预报、卫星遥感、智能观测等领域取得重大突破，部分技术实现从跟跑到并跑的跨越。朝阳区必须主动顺应世界之变、时代之变、历史之变，坚持科技创新和改革创新，推动各类创新力量协同合作，优势互补、协同融通，攻关关键核心技术，打造科技创新矩阵，壮大气象科技人才队伍，实现高效配合，提高气象创新链整体效能，赋予气象事业高质量发展动力和活力。</w:t>
      </w:r>
    </w:p>
    <w:p w14:paraId="1077CCAE">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22" w:name="_Toc29013"/>
      <w:bookmarkStart w:id="23" w:name="_Toc6238"/>
      <w:r>
        <w:rPr>
          <w:rFonts w:hint="eastAsia" w:ascii="Times New Roman" w:hAnsi="Times New Roman" w:eastAsia="黑体" w:cs="黑体"/>
          <w:color w:val="000000"/>
          <w:kern w:val="0"/>
          <w:sz w:val="32"/>
          <w:szCs w:val="32"/>
          <w:lang w:val="en-US" w:eastAsia="zh-CN" w:bidi="ar-SA"/>
        </w:rPr>
        <w:t>第二章 面临挑战</w:t>
      </w:r>
      <w:bookmarkEnd w:id="22"/>
      <w:bookmarkEnd w:id="23"/>
    </w:p>
    <w:p w14:paraId="6911DB78">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一、极端天气气候事件频发加重城市气象灾害风险</w:t>
      </w:r>
    </w:p>
    <w:p w14:paraId="61B1174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在全球气候变化背景下，朝阳区面临高温热浪、短时强降水、雷暴大风等极端天气事件发生频率增加、强度增强的严峻挑战。城市热岛效应与局地气候相互作用，使得中小尺度灾害性天气的预报预警难度进一步加大。同时，极端天气可能导致城市内涝、交通瘫痪、能源供应中断等次生灾害，对超大城市安全运行构成严重威胁。</w:t>
      </w:r>
    </w:p>
    <w:p w14:paraId="4798829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二、城市系统脆弱性放大气象灾害链式影响</w:t>
      </w:r>
    </w:p>
    <w:p w14:paraId="5C4EF88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随着城市人口高度集聚和基础设施互联互通，气象灾害可能通过复杂系统传导引发连锁反应。地下空间、交通枢纽、老旧小区等重点区域的灾害暴露度和脆弱性持续增加。此外，城市运行各系统的耦合性使得单一气象灾害可能演变为系统性风险，对灾害防御的协同性和精准性提出更高要求。</w:t>
      </w:r>
    </w:p>
    <w:p w14:paraId="0CF318E8">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三、气象业务能力与城市精细化治理需求存在差距</w:t>
      </w:r>
    </w:p>
    <w:p w14:paraId="69D3E8FF">
      <w:pPr>
        <w:pStyle w:val="2"/>
        <w:spacing w:before="0" w:line="560" w:lineRule="exact"/>
        <w:ind w:firstLine="640" w:firstLineChars="200"/>
        <w:rPr>
          <w:rFonts w:hint="eastAsia"/>
          <w:lang w:val="en-US" w:eastAsia="zh-CN"/>
        </w:rPr>
      </w:pPr>
      <w:r>
        <w:rPr>
          <w:rFonts w:hint="eastAsia"/>
          <w:lang w:val="en-US" w:eastAsia="zh-CN"/>
        </w:rPr>
        <w:t>当前气象观测网络在重点区域的密度和覆盖度仍有不足，部分设备老化影响数据质量。预报预警的时空精度与城市治理的精细化需求不相适应，智能预报技术在实际业务中的应用深度不够。气象数据与城市运行管理平台的融合仍处于初级阶段，跨部门数据共享和业务协同机制亟待完善。</w:t>
      </w:r>
    </w:p>
    <w:p w14:paraId="00F64F4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四、气象服务供给能力难以满足多元主体差异化需求</w:t>
      </w:r>
    </w:p>
    <w:p w14:paraId="28C6240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ascii="Times New Roman" w:hAnsi="Times New Roman" w:eastAsia="仿宋_GB2312" w:cs="仿宋_GB2312"/>
          <w:color w:val="000000"/>
          <w:kern w:val="2"/>
          <w:sz w:val="32"/>
          <w:szCs w:val="32"/>
          <w:lang w:val="en-US" w:eastAsia="zh-CN" w:bidi="ar-SA"/>
        </w:rPr>
        <w:t>随着社会发展，政府决策、行业管理、公众生活对气象服务的要</w:t>
      </w:r>
      <w:r>
        <w:rPr>
          <w:rFonts w:hint="eastAsia"/>
          <w:lang w:val="en-US" w:eastAsia="zh-CN"/>
        </w:rPr>
        <w:t>求日益多样化和个性化。当前气象服务在产品形式、推送方式、响应速度等方面与用户期待存在差距，面向特定行业和场景的定制化服务能力不足。如何实现气象服务从“普适性”向“精准化”转型，成为提升服务效能的关键挑战。</w:t>
      </w:r>
    </w:p>
    <w:p w14:paraId="2D5E6ED4">
      <w:pPr>
        <w:pStyle w:val="25"/>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kern w:val="44"/>
          <w:sz w:val="36"/>
          <w:szCs w:val="36"/>
          <w:lang w:val="en-US" w:eastAsia="zh-CN"/>
        </w:rPr>
      </w:pPr>
      <w:bookmarkStart w:id="24" w:name="_Toc10011"/>
      <w:bookmarkStart w:id="25" w:name="_Toc14824"/>
      <w:r>
        <w:rPr>
          <w:rFonts w:hint="eastAsia" w:ascii="Times New Roman" w:hAnsi="Times New Roman" w:eastAsia="方正小标宋简体" w:cs="Times New Roman"/>
          <w:kern w:val="44"/>
          <w:sz w:val="36"/>
          <w:szCs w:val="36"/>
          <w:lang w:val="en-US" w:eastAsia="zh-CN"/>
        </w:rPr>
        <w:t>第三篇 总体要求</w:t>
      </w:r>
      <w:bookmarkEnd w:id="24"/>
      <w:bookmarkEnd w:id="25"/>
    </w:p>
    <w:p w14:paraId="708C4008">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26" w:name="_Toc15693"/>
      <w:bookmarkStart w:id="27" w:name="_Toc29820"/>
      <w:r>
        <w:rPr>
          <w:rFonts w:hint="eastAsia" w:ascii="Times New Roman" w:hAnsi="Times New Roman" w:eastAsia="黑体" w:cs="黑体"/>
          <w:color w:val="000000"/>
          <w:kern w:val="0"/>
          <w:sz w:val="32"/>
          <w:szCs w:val="32"/>
          <w:lang w:val="en-US" w:eastAsia="zh-CN" w:bidi="ar-SA"/>
        </w:rPr>
        <w:t>第一章 指导思想</w:t>
      </w:r>
      <w:bookmarkEnd w:id="26"/>
      <w:bookmarkEnd w:id="27"/>
    </w:p>
    <w:p w14:paraId="0587A30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以习近平新时代中国特色社会主义思想为指导，深入贯彻落实党的二十大和二十届历次全会精神以及习近平总书记关于气象工作的重要指示精神，落实习近平总书记对北京重要讲话精神。响应国务院领导对提高北京天气监测预报预警服务水平的批示要求，坚持“人民至上、生命至上”，牢牢把握气象保障生命安全、生产发展、生活富裕、生态良好的战略定位。紧紧围绕发挥气象防灾减灾第一道防线作用，聚焦推进“三个高水平”气象科技能力现代化和“三个高质效”气象社会服务现代化等重点领域。以服务地方经济社会发展和保障人民生命财产安全为宗旨，强化科技创新驱动，完善气象服务体系，实现气象事业高质量发展，全力提升“五区”功能、建好“五宜”朝阳，为推动具有国际影响力的中国式现代化强区建设提供坚实的气象保障服务。</w:t>
      </w:r>
    </w:p>
    <w:p w14:paraId="4A2B1A70">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28" w:name="_Toc7234"/>
      <w:bookmarkStart w:id="29" w:name="_Toc28468"/>
      <w:r>
        <w:rPr>
          <w:rFonts w:hint="eastAsia" w:ascii="Times New Roman" w:hAnsi="Times New Roman" w:eastAsia="黑体" w:cs="黑体"/>
          <w:color w:val="000000"/>
          <w:kern w:val="0"/>
          <w:sz w:val="32"/>
          <w:szCs w:val="32"/>
          <w:lang w:val="en-US" w:eastAsia="zh-CN" w:bidi="ar-SA"/>
        </w:rPr>
        <w:t>第二章 基本原则</w:t>
      </w:r>
      <w:bookmarkEnd w:id="28"/>
      <w:bookmarkEnd w:id="29"/>
    </w:p>
    <w:p w14:paraId="4D8883A0">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一、党建引领，筑牢根基</w:t>
      </w:r>
    </w:p>
    <w:p w14:paraId="70A06CF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坚持和加强党对气象事业的全面领导，将党的政治优势、组织优势转化为发展优势，确保气象事业始终沿着正确方向前进。推动党建与业务深度融合，以高质量党建引领气象事业高质量发展。</w:t>
      </w:r>
    </w:p>
    <w:p w14:paraId="7597CB30">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二、统筹协调，科学布局</w:t>
      </w:r>
    </w:p>
    <w:p w14:paraId="468CEF3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围绕国家、北京市、朝阳区重大发展战略，立足区域实际精准分析服务需求，优化气象设施布局，整合各方资源，推动气象设施建设与区域发展需求紧密衔接，实现气象服务与区域发展战略深度融合。</w:t>
      </w:r>
    </w:p>
    <w:p w14:paraId="38CACB4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三、创新驱动，智慧转型</w:t>
      </w:r>
    </w:p>
    <w:p w14:paraId="6EEE38C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以科技创新为核心动力，积极应用人工智能等前沿技术攻克预报难题，构建智慧气象业务平台，促进新技术与气象服务深度融合，以智慧化转型驱动服务能力跨越式提升，打造气象信息化、智能化发展新格局。</w:t>
      </w:r>
    </w:p>
    <w:p w14:paraId="642D2F50">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四、协同联动，融合发展</w:t>
      </w:r>
    </w:p>
    <w:p w14:paraId="39F374F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深化“气象+”服务模式，拓展服务广度与深度，建立完善多部门协同机制，推动数据共享、技术合作与业务联动，促进气象服务与文旅、金融、能源等重点产业协同发展，实现气象服务向新兴领域延伸拓展。</w:t>
      </w:r>
    </w:p>
    <w:p w14:paraId="3AC6BD75">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30" w:name="_Toc16162"/>
      <w:bookmarkStart w:id="31" w:name="_Toc27373"/>
      <w:r>
        <w:rPr>
          <w:rFonts w:hint="eastAsia" w:ascii="Times New Roman" w:hAnsi="Times New Roman" w:eastAsia="黑体" w:cs="黑体"/>
          <w:color w:val="000000"/>
          <w:kern w:val="0"/>
          <w:sz w:val="32"/>
          <w:szCs w:val="32"/>
          <w:lang w:val="en-US" w:eastAsia="zh-CN" w:bidi="ar-SA"/>
        </w:rPr>
        <w:t>第三章 发展目标</w:t>
      </w:r>
      <w:bookmarkEnd w:id="30"/>
      <w:bookmarkEnd w:id="31"/>
    </w:p>
    <w:p w14:paraId="3B31476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积极融入朝阳区“十五五”战略发展，结合气象事业特点，坚持首善标准，先行试点全国高质量气象现代化建设，发挥气象事业服务朝阳区社会经济发展、城市安全、民生保障的基础性支撑作用。到2030年，基本建成与首都城市战略定位相匹配、与“五宜”朝阳建设和高质量发展需求相适应的现代气象体系。监测预报预警能力全面升级，服务保障成效显著增强，气象治理效能持续提升。智慧气象深度融入“城市大脑”，气象服务全面赋能城市安全运行、国际交往、产业发展与民生福祉，将朝阳区打造成为“观测精密、预报精准、服务精细”的首都气象服务典范和韧性城市建设的气象支撑标杆。</w:t>
      </w:r>
    </w:p>
    <w:p w14:paraId="4E22CF68">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一、监测精密实现新突破，构建超大城市立体感知标杆</w:t>
      </w:r>
    </w:p>
    <w:p w14:paraId="06F52B7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建成覆盖全面、技术先进、运行稳定的智能化立体气象观测体系，显著提升对城市重点区域、关键场景和灾害易发区的精细化监测能力。推动气象数据与城市运行数据的深度融合，形成多源协同、动态感知、智能分析的城市气象感知网络，为超大城市精细化治理提供高价值气象数据支撑。</w:t>
      </w:r>
    </w:p>
    <w:p w14:paraId="0F9627A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二、预报预警迈上新台阶，筑牢城市安全运行第一道防线</w:t>
      </w:r>
    </w:p>
    <w:p w14:paraId="4599C4E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构建智能化、无缝隙、精细化的气象预报预警业务体系，实现对高影响天气的早发现、早预警、早防范。完善以气象预警为先导的应急联动机制，提升气象风险防范的精准性和时效性，有力支撑城市防灾减灾、安全生产和公共安全体系建设。</w:t>
      </w:r>
    </w:p>
    <w:p w14:paraId="47C2DC0F">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三、服务精细呈现新格局，赋能区域高质量发展与高品质生活</w:t>
      </w:r>
    </w:p>
    <w:p w14:paraId="013FB60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r>
        <w:rPr>
          <w:rFonts w:hint="eastAsia"/>
          <w:lang w:val="en-US" w:eastAsia="zh-CN"/>
        </w:rPr>
        <w:t>深化“气象+”服务模式，推动气象服务深度融入城市规划、产业发展、生态保护、民生保障等领域，形成多层次、场景化、智慧化的气象服务供给体系。打造符合区域定位的国际化、高品质气象服务品牌，显著提升气象服务在城市治理、重大活动保障、公众生活中的融入度和影响力。</w:t>
      </w:r>
    </w:p>
    <w:p w14:paraId="278F4D0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四、治理体系实现新优化，建成气象事业现代化发展强基工程</w:t>
      </w:r>
    </w:p>
    <w:p w14:paraId="344E531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lang w:val="en-US" w:eastAsia="zh-CN"/>
        </w:rPr>
      </w:pPr>
      <w:bookmarkStart w:id="32" w:name="_Toc15383"/>
      <w:r>
        <w:rPr>
          <w:rFonts w:hint="eastAsia"/>
          <w:lang w:val="en-US" w:eastAsia="zh-CN"/>
        </w:rPr>
        <w:t>以“智慧气象中枢平台”为核心的数字底座全面建成，初步实现“城市安全大脑”与气象业务的双核驱动。气象法治体系更加健全。人才培养和科技创新机制更加完善，气象核心技术本地化应用能力显著增强。气象事业发展的组织、政策、资金保障更加坚实有力，形成部门协同、社会参与、开放共享的现代化气象治理新格局。</w:t>
      </w:r>
      <w:bookmarkEnd w:id="32"/>
    </w:p>
    <w:p w14:paraId="2D54B74D">
      <w:pPr>
        <w:spacing w:line="560" w:lineRule="exact"/>
        <w:jc w:val="center"/>
        <w:rPr>
          <w:rFonts w:hint="default" w:ascii="宋体" w:hAnsi="宋体" w:eastAsia="宋体" w:cs="宋体"/>
          <w:b/>
          <w:bCs w:val="0"/>
          <w:kern w:val="0"/>
          <w:sz w:val="24"/>
          <w:szCs w:val="24"/>
          <w:highlight w:val="none"/>
          <w:lang w:val="en-US" w:eastAsia="zh-CN"/>
        </w:rPr>
      </w:pPr>
      <w:r>
        <w:rPr>
          <w:rFonts w:hint="eastAsia" w:ascii="Times New Roman" w:hAnsi="Times New Roman" w:cs="Times New Roman"/>
          <w:lang w:val="en-US" w:eastAsia="zh-CN"/>
        </w:rPr>
        <w:t>表1“十五五”时期朝阳区气象发展主要指标清单</w:t>
      </w:r>
    </w:p>
    <w:tbl>
      <w:tblPr>
        <w:tblStyle w:val="15"/>
        <w:tblW w:w="47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754"/>
        <w:gridCol w:w="2264"/>
        <w:gridCol w:w="1437"/>
        <w:gridCol w:w="1400"/>
        <w:gridCol w:w="1550"/>
      </w:tblGrid>
      <w:tr w14:paraId="020EC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blHeader/>
          <w:jc w:val="center"/>
        </w:trPr>
        <w:tc>
          <w:tcPr>
            <w:tcW w:w="1199" w:type="dxa"/>
            <w:vAlign w:val="center"/>
          </w:tcPr>
          <w:p w14:paraId="0F72A726">
            <w:pPr>
              <w:spacing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分项</w:t>
            </w:r>
          </w:p>
        </w:tc>
        <w:tc>
          <w:tcPr>
            <w:tcW w:w="754" w:type="dxa"/>
            <w:vAlign w:val="center"/>
          </w:tcPr>
          <w:p w14:paraId="27690BFE">
            <w:pPr>
              <w:spacing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序号</w:t>
            </w:r>
          </w:p>
        </w:tc>
        <w:tc>
          <w:tcPr>
            <w:tcW w:w="2264" w:type="dxa"/>
            <w:vAlign w:val="center"/>
          </w:tcPr>
          <w:p w14:paraId="254BE2B5">
            <w:pPr>
              <w:spacing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指标表述</w:t>
            </w:r>
          </w:p>
        </w:tc>
        <w:tc>
          <w:tcPr>
            <w:tcW w:w="1437" w:type="dxa"/>
            <w:vAlign w:val="center"/>
          </w:tcPr>
          <w:p w14:paraId="7E36B40C">
            <w:pPr>
              <w:spacing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指标现状</w:t>
            </w:r>
          </w:p>
        </w:tc>
        <w:tc>
          <w:tcPr>
            <w:tcW w:w="1400" w:type="dxa"/>
            <w:vAlign w:val="center"/>
          </w:tcPr>
          <w:p w14:paraId="715256E0">
            <w:pPr>
              <w:spacing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指标内容</w:t>
            </w:r>
          </w:p>
        </w:tc>
        <w:tc>
          <w:tcPr>
            <w:tcW w:w="1550" w:type="dxa"/>
            <w:vAlign w:val="center"/>
          </w:tcPr>
          <w:p w14:paraId="4CF245CD">
            <w:pPr>
              <w:spacing w:line="360" w:lineRule="auto"/>
              <w:jc w:val="center"/>
              <w:rPr>
                <w:rFonts w:hint="eastAsia" w:ascii="Times New Roman" w:hAnsi="Times New Roman" w:eastAsia="仿宋_GB2312" w:cs="Times New Roman"/>
                <w:b/>
                <w:bCs/>
                <w:sz w:val="24"/>
                <w:szCs w:val="24"/>
                <w:highlight w:val="none"/>
                <w:lang w:eastAsia="zh-CN"/>
              </w:rPr>
            </w:pPr>
            <w:r>
              <w:rPr>
                <w:rFonts w:hint="default" w:ascii="Times New Roman" w:hAnsi="Times New Roman" w:eastAsia="仿宋_GB2312" w:cs="Times New Roman"/>
                <w:b/>
                <w:bCs/>
                <w:sz w:val="24"/>
                <w:szCs w:val="24"/>
                <w:highlight w:val="none"/>
              </w:rPr>
              <w:t>指标</w:t>
            </w:r>
            <w:r>
              <w:rPr>
                <w:rFonts w:hint="eastAsia" w:cs="Times New Roman"/>
                <w:b/>
                <w:bCs/>
                <w:sz w:val="24"/>
                <w:szCs w:val="24"/>
                <w:highlight w:val="none"/>
                <w:lang w:eastAsia="zh-CN"/>
              </w:rPr>
              <w:t>属性</w:t>
            </w:r>
          </w:p>
        </w:tc>
      </w:tr>
      <w:tr w14:paraId="0915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99" w:type="dxa"/>
            <w:vAlign w:val="center"/>
          </w:tcPr>
          <w:p w14:paraId="60C4FD2C">
            <w:pPr>
              <w:spacing w:line="360" w:lineRule="auto"/>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气象监测能力</w:t>
            </w:r>
          </w:p>
        </w:tc>
        <w:tc>
          <w:tcPr>
            <w:tcW w:w="754" w:type="dxa"/>
            <w:vAlign w:val="center"/>
          </w:tcPr>
          <w:p w14:paraId="255E334F">
            <w:pPr>
              <w:spacing w:line="360" w:lineRule="auto"/>
              <w:jc w:val="center"/>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val="en-US" w:eastAsia="zh-CN"/>
              </w:rPr>
              <w:t>1</w:t>
            </w:r>
          </w:p>
        </w:tc>
        <w:tc>
          <w:tcPr>
            <w:tcW w:w="2264" w:type="dxa"/>
            <w:vAlign w:val="center"/>
          </w:tcPr>
          <w:p w14:paraId="71A6C7C2">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多源观测资料产品</w:t>
            </w:r>
            <w:r>
              <w:rPr>
                <w:rFonts w:hint="default" w:ascii="Times New Roman" w:hAnsi="Times New Roman" w:eastAsia="仿宋_GB2312" w:cs="Times New Roman"/>
                <w:sz w:val="24"/>
                <w:szCs w:val="24"/>
                <w:highlight w:val="none"/>
                <w:lang w:eastAsia="zh-CN"/>
              </w:rPr>
              <w:t>应用场景</w:t>
            </w:r>
          </w:p>
        </w:tc>
        <w:tc>
          <w:tcPr>
            <w:tcW w:w="1437" w:type="dxa"/>
            <w:vAlign w:val="center"/>
          </w:tcPr>
          <w:p w14:paraId="63A651BA">
            <w:pPr>
              <w:spacing w:line="360" w:lineRule="auto"/>
              <w:jc w:val="center"/>
              <w:rPr>
                <w:rFonts w:hint="default" w:ascii="Times New Roman" w:hAnsi="Times New Roman" w:eastAsia="仿宋_GB2312" w:cs="Times New Roman"/>
                <w:sz w:val="24"/>
                <w:szCs w:val="24"/>
                <w:highlight w:val="none"/>
                <w:lang w:val="en-US" w:eastAsia="zh-CN"/>
              </w:rPr>
            </w:pPr>
            <w:r>
              <w:rPr>
                <w:rFonts w:hint="eastAsia" w:cs="Times New Roman"/>
                <w:sz w:val="24"/>
                <w:szCs w:val="24"/>
                <w:highlight w:val="none"/>
                <w:lang w:val="en-US" w:eastAsia="zh-CN"/>
              </w:rPr>
              <w:t>1</w:t>
            </w:r>
            <w:r>
              <w:rPr>
                <w:rFonts w:hint="default" w:ascii="Times New Roman" w:hAnsi="Times New Roman" w:eastAsia="仿宋_GB2312" w:cs="Times New Roman"/>
                <w:sz w:val="24"/>
                <w:szCs w:val="24"/>
                <w:highlight w:val="none"/>
                <w:lang w:val="en-US" w:eastAsia="zh-CN"/>
              </w:rPr>
              <w:t>种</w:t>
            </w:r>
          </w:p>
        </w:tc>
        <w:tc>
          <w:tcPr>
            <w:tcW w:w="1400" w:type="dxa"/>
            <w:vAlign w:val="center"/>
          </w:tcPr>
          <w:p w14:paraId="406AFE59">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6种</w:t>
            </w:r>
          </w:p>
        </w:tc>
        <w:tc>
          <w:tcPr>
            <w:tcW w:w="1550" w:type="dxa"/>
            <w:vAlign w:val="center"/>
          </w:tcPr>
          <w:p w14:paraId="42DD69B3">
            <w:pPr>
              <w:spacing w:line="360" w:lineRule="auto"/>
              <w:jc w:val="center"/>
              <w:rPr>
                <w:rFonts w:hint="default"/>
                <w:sz w:val="24"/>
                <w:lang w:val="en-US" w:eastAsia="zh-CN"/>
              </w:rPr>
            </w:pPr>
            <w:r>
              <w:rPr>
                <w:rFonts w:hint="default"/>
                <w:sz w:val="24"/>
                <w:lang w:val="en-US" w:eastAsia="zh-CN"/>
              </w:rPr>
              <w:t>从有到优</w:t>
            </w:r>
          </w:p>
          <w:p w14:paraId="0AB876C8">
            <w:pPr>
              <w:pStyle w:val="2"/>
              <w:rPr>
                <w:rFonts w:hint="default"/>
                <w:sz w:val="24"/>
                <w:szCs w:val="24"/>
                <w:lang w:val="en-US" w:eastAsia="zh-CN"/>
              </w:rPr>
            </w:pPr>
            <w:r>
              <w:rPr>
                <w:rFonts w:hint="eastAsia" w:cs="Times New Roman"/>
                <w:sz w:val="24"/>
                <w:szCs w:val="24"/>
                <w:highlight w:val="none"/>
                <w:lang w:val="en-US" w:eastAsia="zh-CN"/>
              </w:rPr>
              <w:t>（预期性）</w:t>
            </w:r>
          </w:p>
        </w:tc>
      </w:tr>
      <w:tr w14:paraId="260F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99" w:type="dxa"/>
            <w:vAlign w:val="center"/>
          </w:tcPr>
          <w:p w14:paraId="39277472">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预报预警质量</w:t>
            </w:r>
          </w:p>
        </w:tc>
        <w:tc>
          <w:tcPr>
            <w:tcW w:w="754" w:type="dxa"/>
            <w:vAlign w:val="center"/>
          </w:tcPr>
          <w:p w14:paraId="7A9F1F46">
            <w:pPr>
              <w:spacing w:line="360" w:lineRule="auto"/>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2</w:t>
            </w:r>
          </w:p>
        </w:tc>
        <w:tc>
          <w:tcPr>
            <w:tcW w:w="2264" w:type="dxa"/>
            <w:vAlign w:val="center"/>
          </w:tcPr>
          <w:p w14:paraId="6995FE03">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暴雨、大风、冰雹等极端灾害性天气的预警综合评分</w:t>
            </w:r>
          </w:p>
        </w:tc>
        <w:tc>
          <w:tcPr>
            <w:tcW w:w="1437" w:type="dxa"/>
            <w:vAlign w:val="center"/>
          </w:tcPr>
          <w:p w14:paraId="6A2BFAAE">
            <w:pPr>
              <w:spacing w:line="360" w:lineRule="auto"/>
              <w:jc w:val="center"/>
              <w:rPr>
                <w:rFonts w:hint="default" w:cs="Times New Roman"/>
                <w:sz w:val="24"/>
                <w:szCs w:val="24"/>
                <w:highlight w:val="none"/>
                <w:lang w:val="en-US" w:eastAsia="zh-CN"/>
              </w:rPr>
            </w:pPr>
            <w:r>
              <w:rPr>
                <w:rFonts w:hint="eastAsia" w:cs="Times New Roman"/>
                <w:sz w:val="24"/>
                <w:szCs w:val="24"/>
                <w:highlight w:val="none"/>
                <w:lang w:val="en-US" w:eastAsia="zh-CN"/>
              </w:rPr>
              <w:t>75分</w:t>
            </w:r>
          </w:p>
        </w:tc>
        <w:tc>
          <w:tcPr>
            <w:tcW w:w="1400" w:type="dxa"/>
            <w:vAlign w:val="center"/>
          </w:tcPr>
          <w:p w14:paraId="31FA95AF">
            <w:pPr>
              <w:spacing w:line="360" w:lineRule="auto"/>
              <w:jc w:val="center"/>
              <w:rPr>
                <w:rFonts w:hint="default" w:cs="Times New Roman"/>
                <w:sz w:val="24"/>
                <w:szCs w:val="24"/>
                <w:highlight w:val="none"/>
                <w:lang w:val="en-US" w:eastAsia="zh-CN"/>
              </w:rPr>
            </w:pPr>
            <w:r>
              <w:rPr>
                <w:rFonts w:hint="eastAsia" w:cs="Times New Roman"/>
                <w:sz w:val="24"/>
                <w:szCs w:val="24"/>
                <w:highlight w:val="none"/>
                <w:lang w:val="en-US" w:eastAsia="zh-CN"/>
              </w:rPr>
              <w:t>80分</w:t>
            </w:r>
          </w:p>
        </w:tc>
        <w:tc>
          <w:tcPr>
            <w:tcW w:w="1550" w:type="dxa"/>
            <w:vAlign w:val="center"/>
          </w:tcPr>
          <w:p w14:paraId="337D79FE">
            <w:pPr>
              <w:spacing w:line="360" w:lineRule="auto"/>
              <w:jc w:val="center"/>
              <w:rPr>
                <w:rFonts w:hint="default"/>
                <w:sz w:val="24"/>
                <w:lang w:val="en-US" w:eastAsia="zh-CN"/>
              </w:rPr>
            </w:pPr>
            <w:r>
              <w:rPr>
                <w:rFonts w:hint="default" w:ascii="Times New Roman" w:hAnsi="Times New Roman" w:eastAsia="仿宋_GB2312" w:cs="Times New Roman"/>
                <w:sz w:val="24"/>
                <w:szCs w:val="24"/>
                <w:highlight w:val="none"/>
                <w:lang w:val="en-US" w:eastAsia="zh-CN"/>
              </w:rPr>
              <w:t>从有到优</w:t>
            </w:r>
          </w:p>
          <w:p w14:paraId="33B8B186">
            <w:pPr>
              <w:pStyle w:val="2"/>
              <w:rPr>
                <w:rFonts w:hint="default" w:ascii="Times New Roman" w:hAnsi="Times New Roman" w:eastAsia="仿宋_GB2312" w:cs="Times New Roman"/>
                <w:sz w:val="24"/>
                <w:szCs w:val="24"/>
                <w:highlight w:val="none"/>
              </w:rPr>
            </w:pPr>
            <w:r>
              <w:rPr>
                <w:rFonts w:hint="eastAsia" w:cs="Times New Roman"/>
                <w:sz w:val="24"/>
                <w:szCs w:val="24"/>
                <w:highlight w:val="none"/>
                <w:lang w:val="en-US" w:eastAsia="zh-CN"/>
              </w:rPr>
              <w:t>（预期性）</w:t>
            </w:r>
          </w:p>
        </w:tc>
      </w:tr>
      <w:tr w14:paraId="2612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99" w:type="dxa"/>
            <w:vMerge w:val="restart"/>
            <w:vAlign w:val="center"/>
          </w:tcPr>
          <w:p w14:paraId="6F4A8E9F">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行业气象服务</w:t>
            </w:r>
          </w:p>
        </w:tc>
        <w:tc>
          <w:tcPr>
            <w:tcW w:w="754" w:type="dxa"/>
            <w:vAlign w:val="center"/>
          </w:tcPr>
          <w:p w14:paraId="3B22282A">
            <w:pPr>
              <w:spacing w:line="360" w:lineRule="auto"/>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3</w:t>
            </w:r>
          </w:p>
        </w:tc>
        <w:tc>
          <w:tcPr>
            <w:tcW w:w="2264" w:type="dxa"/>
            <w:vAlign w:val="center"/>
          </w:tcPr>
          <w:p w14:paraId="45D50235">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数字化气象服务产品融入城市服务场景数量</w:t>
            </w:r>
          </w:p>
        </w:tc>
        <w:tc>
          <w:tcPr>
            <w:tcW w:w="1437" w:type="dxa"/>
            <w:vAlign w:val="center"/>
          </w:tcPr>
          <w:p w14:paraId="1E805307">
            <w:pPr>
              <w:spacing w:line="360" w:lineRule="auto"/>
              <w:jc w:val="center"/>
              <w:rPr>
                <w:rFonts w:hint="default" w:ascii="Times New Roman" w:hAnsi="Times New Roman" w:eastAsia="仿宋_GB2312" w:cs="Times New Roman"/>
                <w:sz w:val="24"/>
                <w:szCs w:val="24"/>
                <w:highlight w:val="none"/>
                <w:lang w:val="en-US" w:eastAsia="zh-CN"/>
              </w:rPr>
            </w:pPr>
            <w:r>
              <w:rPr>
                <w:rFonts w:hint="eastAsia" w:cs="Times New Roman"/>
                <w:sz w:val="24"/>
                <w:szCs w:val="24"/>
                <w:highlight w:val="none"/>
                <w:lang w:val="en-US" w:eastAsia="zh-CN"/>
              </w:rPr>
              <w:t>1</w:t>
            </w:r>
            <w:r>
              <w:rPr>
                <w:rFonts w:hint="default" w:ascii="Times New Roman" w:hAnsi="Times New Roman" w:eastAsia="仿宋_GB2312" w:cs="Times New Roman"/>
                <w:sz w:val="24"/>
                <w:szCs w:val="24"/>
                <w:highlight w:val="none"/>
                <w:lang w:val="en-US" w:eastAsia="zh-CN"/>
              </w:rPr>
              <w:t>类</w:t>
            </w:r>
          </w:p>
        </w:tc>
        <w:tc>
          <w:tcPr>
            <w:tcW w:w="1400" w:type="dxa"/>
            <w:vAlign w:val="center"/>
          </w:tcPr>
          <w:p w14:paraId="5E08745E">
            <w:pPr>
              <w:spacing w:line="360" w:lineRule="auto"/>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3类</w:t>
            </w:r>
          </w:p>
        </w:tc>
        <w:tc>
          <w:tcPr>
            <w:tcW w:w="1550" w:type="dxa"/>
            <w:vAlign w:val="center"/>
          </w:tcPr>
          <w:p w14:paraId="3ED48C74">
            <w:pPr>
              <w:spacing w:line="360" w:lineRule="auto"/>
              <w:jc w:val="center"/>
              <w:rPr>
                <w:rFonts w:hint="default"/>
                <w:sz w:val="24"/>
                <w:lang w:val="en-US" w:eastAsia="zh-CN"/>
              </w:rPr>
            </w:pPr>
            <w:r>
              <w:rPr>
                <w:rFonts w:hint="default" w:ascii="Times New Roman" w:hAnsi="Times New Roman" w:eastAsia="仿宋_GB2312" w:cs="Times New Roman"/>
                <w:sz w:val="24"/>
                <w:szCs w:val="24"/>
                <w:highlight w:val="none"/>
                <w:lang w:val="en-US" w:eastAsia="zh-CN"/>
              </w:rPr>
              <w:t>从有到优</w:t>
            </w:r>
          </w:p>
          <w:p w14:paraId="1CC1F9C3">
            <w:pPr>
              <w:pStyle w:val="2"/>
              <w:rPr>
                <w:rFonts w:hint="default" w:ascii="Times New Roman" w:hAnsi="Times New Roman" w:eastAsia="仿宋_GB2312" w:cs="Times New Roman"/>
                <w:sz w:val="24"/>
                <w:szCs w:val="24"/>
                <w:highlight w:val="none"/>
              </w:rPr>
            </w:pPr>
            <w:r>
              <w:rPr>
                <w:rFonts w:hint="eastAsia" w:cs="Times New Roman"/>
                <w:sz w:val="24"/>
                <w:szCs w:val="24"/>
                <w:highlight w:val="none"/>
                <w:lang w:val="en-US" w:eastAsia="zh-CN"/>
              </w:rPr>
              <w:t>（约束性）</w:t>
            </w:r>
          </w:p>
        </w:tc>
      </w:tr>
      <w:tr w14:paraId="0551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199" w:type="dxa"/>
            <w:vMerge w:val="continue"/>
            <w:vAlign w:val="center"/>
          </w:tcPr>
          <w:p w14:paraId="3EA3BF24">
            <w:pPr>
              <w:spacing w:line="360" w:lineRule="auto"/>
              <w:jc w:val="center"/>
              <w:rPr>
                <w:rFonts w:hint="default" w:ascii="Times New Roman" w:hAnsi="Times New Roman" w:eastAsia="仿宋_GB2312" w:cs="Times New Roman"/>
                <w:sz w:val="24"/>
                <w:szCs w:val="24"/>
                <w:highlight w:val="none"/>
              </w:rPr>
            </w:pPr>
          </w:p>
        </w:tc>
        <w:tc>
          <w:tcPr>
            <w:tcW w:w="754" w:type="dxa"/>
            <w:vAlign w:val="center"/>
          </w:tcPr>
          <w:p w14:paraId="2141BC67">
            <w:pPr>
              <w:spacing w:line="360" w:lineRule="auto"/>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4</w:t>
            </w:r>
          </w:p>
        </w:tc>
        <w:tc>
          <w:tcPr>
            <w:tcW w:w="2264" w:type="dxa"/>
            <w:vAlign w:val="center"/>
          </w:tcPr>
          <w:p w14:paraId="66D4175A">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气象灾害风险矩阵行业覆盖数</w:t>
            </w:r>
          </w:p>
        </w:tc>
        <w:tc>
          <w:tcPr>
            <w:tcW w:w="1437" w:type="dxa"/>
            <w:vAlign w:val="center"/>
          </w:tcPr>
          <w:p w14:paraId="33851318">
            <w:pPr>
              <w:spacing w:line="360" w:lineRule="auto"/>
              <w:jc w:val="center"/>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eastAsia="zh-CN"/>
              </w:rPr>
              <w:t>无</w:t>
            </w:r>
          </w:p>
        </w:tc>
        <w:tc>
          <w:tcPr>
            <w:tcW w:w="1400" w:type="dxa"/>
            <w:vAlign w:val="center"/>
          </w:tcPr>
          <w:p w14:paraId="43F471CC">
            <w:pPr>
              <w:spacing w:line="360" w:lineRule="auto"/>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5个行业</w:t>
            </w:r>
          </w:p>
        </w:tc>
        <w:tc>
          <w:tcPr>
            <w:tcW w:w="1550" w:type="dxa"/>
            <w:vAlign w:val="center"/>
          </w:tcPr>
          <w:p w14:paraId="7D924743">
            <w:pPr>
              <w:spacing w:line="360" w:lineRule="auto"/>
              <w:jc w:val="center"/>
              <w:rPr>
                <w:rFonts w:hint="default"/>
                <w:sz w:val="24"/>
                <w:lang w:eastAsia="zh-CN"/>
              </w:rPr>
            </w:pPr>
            <w:r>
              <w:rPr>
                <w:rFonts w:hint="default" w:ascii="Times New Roman" w:hAnsi="Times New Roman" w:eastAsia="仿宋_GB2312" w:cs="Times New Roman"/>
                <w:sz w:val="24"/>
                <w:szCs w:val="24"/>
                <w:highlight w:val="none"/>
                <w:lang w:eastAsia="zh-CN"/>
              </w:rPr>
              <w:t>从无到有</w:t>
            </w:r>
          </w:p>
          <w:p w14:paraId="29D45F3E">
            <w:pPr>
              <w:pStyle w:val="2"/>
              <w:rPr>
                <w:rFonts w:hint="default" w:ascii="Times New Roman" w:hAnsi="Times New Roman" w:eastAsia="仿宋_GB2312" w:cs="Times New Roman"/>
                <w:sz w:val="24"/>
                <w:szCs w:val="24"/>
                <w:highlight w:val="none"/>
                <w:lang w:eastAsia="zh-CN"/>
              </w:rPr>
            </w:pPr>
            <w:r>
              <w:rPr>
                <w:rFonts w:hint="eastAsia" w:cs="Times New Roman"/>
                <w:sz w:val="24"/>
                <w:szCs w:val="24"/>
                <w:highlight w:val="none"/>
                <w:lang w:eastAsia="zh-CN"/>
              </w:rPr>
              <w:t>（预期性）</w:t>
            </w:r>
          </w:p>
        </w:tc>
      </w:tr>
      <w:tr w14:paraId="4649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1199" w:type="dxa"/>
            <w:vAlign w:val="center"/>
          </w:tcPr>
          <w:p w14:paraId="7AA67530">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公众气象服务</w:t>
            </w:r>
          </w:p>
        </w:tc>
        <w:tc>
          <w:tcPr>
            <w:tcW w:w="754" w:type="dxa"/>
            <w:vAlign w:val="center"/>
          </w:tcPr>
          <w:p w14:paraId="08A677C3">
            <w:pPr>
              <w:spacing w:line="360" w:lineRule="auto"/>
              <w:jc w:val="center"/>
              <w:rPr>
                <w:rFonts w:hint="default" w:ascii="Times New Roman" w:hAnsi="Times New Roman" w:eastAsia="仿宋_GB2312" w:cs="Times New Roman"/>
                <w:sz w:val="24"/>
                <w:szCs w:val="24"/>
                <w:highlight w:val="none"/>
                <w:lang w:val="en-US" w:eastAsia="zh-CN"/>
              </w:rPr>
            </w:pPr>
            <w:r>
              <w:rPr>
                <w:rFonts w:hint="default" w:ascii="Times New Roman" w:hAnsi="Times New Roman" w:eastAsia="仿宋_GB2312" w:cs="Times New Roman"/>
                <w:sz w:val="24"/>
                <w:szCs w:val="24"/>
                <w:highlight w:val="none"/>
                <w:lang w:val="en-US" w:eastAsia="zh-CN"/>
              </w:rPr>
              <w:t>5</w:t>
            </w:r>
          </w:p>
        </w:tc>
        <w:tc>
          <w:tcPr>
            <w:tcW w:w="2264" w:type="dxa"/>
            <w:vAlign w:val="center"/>
          </w:tcPr>
          <w:p w14:paraId="6FC57282">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rPr>
              <w:t>气象</w:t>
            </w:r>
            <w:r>
              <w:rPr>
                <w:rFonts w:hint="eastAsia" w:cs="Times New Roman"/>
                <w:sz w:val="24"/>
                <w:szCs w:val="24"/>
                <w:highlight w:val="none"/>
                <w:lang w:val="en-US" w:eastAsia="zh-CN"/>
              </w:rPr>
              <w:t>科普</w:t>
            </w:r>
            <w:r>
              <w:rPr>
                <w:rFonts w:hint="default" w:ascii="Times New Roman" w:hAnsi="Times New Roman" w:eastAsia="仿宋_GB2312" w:cs="Times New Roman"/>
                <w:sz w:val="24"/>
                <w:szCs w:val="24"/>
                <w:highlight w:val="none"/>
                <w:lang w:val="en-US"/>
              </w:rPr>
              <w:t>品牌课程</w:t>
            </w:r>
            <w:r>
              <w:rPr>
                <w:rFonts w:hint="default" w:ascii="Times New Roman" w:hAnsi="Times New Roman" w:eastAsia="仿宋_GB2312" w:cs="Times New Roman"/>
                <w:sz w:val="24"/>
                <w:szCs w:val="24"/>
                <w:highlight w:val="none"/>
                <w:lang w:val="en-US" w:eastAsia="zh-CN"/>
              </w:rPr>
              <w:t>数量</w:t>
            </w:r>
          </w:p>
        </w:tc>
        <w:tc>
          <w:tcPr>
            <w:tcW w:w="1437" w:type="dxa"/>
            <w:vAlign w:val="center"/>
          </w:tcPr>
          <w:p w14:paraId="328CF70E">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eastAsia="zh-CN"/>
              </w:rPr>
              <w:t>无</w:t>
            </w:r>
          </w:p>
        </w:tc>
        <w:tc>
          <w:tcPr>
            <w:tcW w:w="1400" w:type="dxa"/>
            <w:vAlign w:val="center"/>
          </w:tcPr>
          <w:p w14:paraId="4E0019B5">
            <w:pPr>
              <w:spacing w:line="360" w:lineRule="auto"/>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3种</w:t>
            </w:r>
          </w:p>
        </w:tc>
        <w:tc>
          <w:tcPr>
            <w:tcW w:w="1550" w:type="dxa"/>
            <w:vAlign w:val="center"/>
          </w:tcPr>
          <w:p w14:paraId="23C4FC53">
            <w:pPr>
              <w:spacing w:line="360" w:lineRule="auto"/>
              <w:jc w:val="center"/>
              <w:rPr>
                <w:rFonts w:hint="default"/>
                <w:sz w:val="24"/>
                <w:lang w:eastAsia="zh-CN"/>
              </w:rPr>
            </w:pPr>
            <w:r>
              <w:rPr>
                <w:rFonts w:hint="default" w:ascii="Times New Roman" w:hAnsi="Times New Roman" w:eastAsia="仿宋_GB2312" w:cs="Times New Roman"/>
                <w:sz w:val="24"/>
                <w:szCs w:val="24"/>
                <w:highlight w:val="none"/>
                <w:lang w:eastAsia="zh-CN"/>
              </w:rPr>
              <w:t>从无到有</w:t>
            </w:r>
          </w:p>
          <w:p w14:paraId="2FF70EE6">
            <w:pPr>
              <w:pStyle w:val="2"/>
              <w:rPr>
                <w:rFonts w:hint="default" w:ascii="Times New Roman" w:hAnsi="Times New Roman" w:eastAsia="仿宋_GB2312" w:cs="Times New Roman"/>
                <w:sz w:val="24"/>
                <w:szCs w:val="24"/>
                <w:highlight w:val="none"/>
              </w:rPr>
            </w:pPr>
            <w:r>
              <w:rPr>
                <w:rFonts w:hint="eastAsia" w:cs="Times New Roman"/>
                <w:sz w:val="24"/>
                <w:szCs w:val="24"/>
                <w:highlight w:val="none"/>
                <w:lang w:eastAsia="zh-CN"/>
              </w:rPr>
              <w:t>（预期性）</w:t>
            </w:r>
          </w:p>
        </w:tc>
      </w:tr>
    </w:tbl>
    <w:p w14:paraId="76DBD790">
      <w:pPr>
        <w:pStyle w:val="25"/>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before="318" w:beforeLines="100" w:after="318" w:afterLines="100" w:line="560" w:lineRule="exact"/>
        <w:jc w:val="center"/>
        <w:textAlignment w:val="baseline"/>
        <w:outlineLvl w:val="0"/>
        <w:rPr>
          <w:rFonts w:hint="eastAsia" w:ascii="Times New Roman" w:hAnsi="Times New Roman" w:eastAsia="方正小标宋简体" w:cs="Times New Roman"/>
          <w:kern w:val="44"/>
          <w:sz w:val="36"/>
          <w:szCs w:val="36"/>
          <w:lang w:val="en-US" w:eastAsia="zh-CN"/>
        </w:rPr>
      </w:pPr>
      <w:bookmarkStart w:id="33" w:name="_Toc12900"/>
      <w:bookmarkStart w:id="34" w:name="_Toc27163"/>
      <w:r>
        <w:rPr>
          <w:rFonts w:hint="eastAsia" w:ascii="Times New Roman" w:hAnsi="Times New Roman" w:eastAsia="方正小标宋简体" w:cs="Times New Roman"/>
          <w:kern w:val="44"/>
          <w:sz w:val="36"/>
          <w:szCs w:val="36"/>
          <w:lang w:val="en-US" w:eastAsia="zh-CN"/>
        </w:rPr>
        <w:t>第四篇 重点任务</w:t>
      </w:r>
      <w:bookmarkEnd w:id="33"/>
      <w:bookmarkEnd w:id="34"/>
    </w:p>
    <w:p w14:paraId="5B76772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35" w:name="_Toc8006"/>
      <w:bookmarkStart w:id="36" w:name="_Toc18392"/>
      <w:r>
        <w:rPr>
          <w:rFonts w:hint="eastAsia" w:ascii="Times New Roman" w:hAnsi="Times New Roman" w:eastAsia="黑体" w:cs="黑体"/>
          <w:color w:val="000000"/>
          <w:kern w:val="0"/>
          <w:sz w:val="32"/>
          <w:szCs w:val="32"/>
          <w:lang w:val="en-US" w:eastAsia="zh-CN" w:bidi="ar-SA"/>
        </w:rPr>
        <w:t>第一章 筑牢气象防灾减灾第一道防线，全力保障人民生命安全</w:t>
      </w:r>
      <w:bookmarkEnd w:id="35"/>
      <w:bookmarkEnd w:id="36"/>
    </w:p>
    <w:p w14:paraId="4818AE84">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一、加强气象防灾减灾机制建设</w:t>
      </w:r>
    </w:p>
    <w:p w14:paraId="5706918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b w:val="0"/>
          <w:bCs/>
          <w:kern w:val="0"/>
          <w:sz w:val="32"/>
          <w:szCs w:val="32"/>
          <w:highlight w:val="none"/>
          <w:lang w:val="en-US" w:eastAsia="zh-CN" w:bidi="ar-SA"/>
        </w:rPr>
      </w:pPr>
      <w:r>
        <w:rPr>
          <w:rFonts w:hint="eastAsia" w:ascii="仿宋_GB2312" w:hAnsi="仿宋_GB2312" w:eastAsia="仿宋_GB2312" w:cs="仿宋_GB2312"/>
          <w:b/>
          <w:bCs w:val="0"/>
          <w:kern w:val="0"/>
          <w:sz w:val="32"/>
          <w:szCs w:val="32"/>
          <w:highlight w:val="none"/>
          <w:lang w:val="en-US" w:eastAsia="zh-CN" w:bidi="ar-SA"/>
        </w:rPr>
        <w:t>健全以气象灾害预警信息为先导的应急联动机制</w:t>
      </w:r>
      <w:r>
        <w:rPr>
          <w:rFonts w:hint="eastAsia" w:ascii="仿宋_GB2312" w:hAnsi="仿宋_GB2312" w:eastAsia="仿宋_GB2312" w:cs="仿宋_GB2312"/>
          <w:b w:val="0"/>
          <w:bCs/>
          <w:kern w:val="0"/>
          <w:sz w:val="32"/>
          <w:szCs w:val="32"/>
          <w:highlight w:val="none"/>
          <w:lang w:val="en-US" w:eastAsia="zh-CN" w:bidi="ar-SA"/>
        </w:rPr>
        <w:t>。完善气象灾害预警信息统一发布机制，定期组织开展气象灾害预警信息接收责任人更新备案工作。强化覆盖区、街（乡）、社区（村）和重点防御单位的高级别气象灾害预警“叫应”机制。构建“灾前风险研判、临灾精准预警、灾中协同处置、灾后评估恢复”的全链条递进式气象服务模式，实现从气象预警到社会行动的快速、精准、高效联动。构建多跨协同的流域气象灾害预警联动机制，实现上下游、左右岸数据信息共享。</w:t>
      </w:r>
      <w:r>
        <w:rPr>
          <w:rFonts w:hint="eastAsia" w:ascii="仿宋_GB2312" w:hAnsi="仿宋_GB2312" w:eastAsia="仿宋_GB2312" w:cs="仿宋_GB2312"/>
          <w:b/>
          <w:bCs w:val="0"/>
          <w:kern w:val="0"/>
          <w:sz w:val="32"/>
          <w:szCs w:val="32"/>
          <w:highlight w:val="none"/>
          <w:lang w:val="en-US" w:eastAsia="zh-CN" w:bidi="ar-SA"/>
        </w:rPr>
        <w:t>深入实施“网格+气象”行动</w:t>
      </w:r>
      <w:r>
        <w:rPr>
          <w:rFonts w:hint="eastAsia" w:ascii="仿宋_GB2312" w:hAnsi="仿宋_GB2312" w:eastAsia="仿宋_GB2312" w:cs="仿宋_GB2312"/>
          <w:b w:val="0"/>
          <w:bCs/>
          <w:kern w:val="0"/>
          <w:sz w:val="32"/>
          <w:szCs w:val="32"/>
          <w:highlight w:val="none"/>
          <w:lang w:val="en-US" w:eastAsia="zh-CN" w:bidi="ar-SA"/>
        </w:rPr>
        <w:t>，将气象防灾纳入街乡等基层网格化管理，建立全区统一的基层气象信息员数据库，实现气象信息传递到基层责任人。</w:t>
      </w:r>
      <w:r>
        <w:rPr>
          <w:rFonts w:hint="eastAsia" w:ascii="仿宋_GB2312" w:hAnsi="仿宋_GB2312" w:eastAsia="仿宋_GB2312" w:cs="仿宋_GB2312"/>
          <w:b/>
          <w:bCs w:val="0"/>
          <w:kern w:val="0"/>
          <w:sz w:val="32"/>
          <w:szCs w:val="32"/>
          <w:highlight w:val="none"/>
          <w:lang w:val="en-US" w:eastAsia="zh-CN" w:bidi="ar-SA"/>
        </w:rPr>
        <w:t>完善气象灾害应急预案，</w:t>
      </w:r>
      <w:r>
        <w:rPr>
          <w:rFonts w:hint="eastAsia" w:ascii="仿宋_GB2312" w:hAnsi="仿宋_GB2312" w:eastAsia="仿宋_GB2312" w:cs="仿宋_GB2312"/>
          <w:b w:val="0"/>
          <w:bCs/>
          <w:kern w:val="0"/>
          <w:sz w:val="32"/>
          <w:szCs w:val="32"/>
          <w:highlight w:val="none"/>
          <w:lang w:val="en-US" w:eastAsia="zh-CN" w:bidi="ar-SA"/>
        </w:rPr>
        <w:t>明确不同风险等级下差异化响应措施。</w:t>
      </w:r>
    </w:p>
    <w:p w14:paraId="29050A7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二、提升韧性城市建设气象保障能力</w:t>
      </w:r>
    </w:p>
    <w:p w14:paraId="315C25E5">
      <w:pPr>
        <w:spacing w:line="560" w:lineRule="exact"/>
        <w:ind w:firstLine="643" w:firstLineChars="200"/>
        <w:rPr>
          <w:rFonts w:hint="default" w:ascii="Times New Roman" w:hAnsi="Times New Roman" w:eastAsia="仿宋_GB2312" w:cs="Times New Roman"/>
          <w:b w:val="0"/>
          <w:bCs/>
          <w:kern w:val="0"/>
          <w:sz w:val="32"/>
          <w:szCs w:val="32"/>
          <w:highlight w:val="none"/>
          <w:lang w:val="en-US" w:eastAsia="zh-CN"/>
        </w:rPr>
      </w:pPr>
      <w:r>
        <w:rPr>
          <w:rFonts w:hint="eastAsia" w:ascii="Times New Roman" w:hAnsi="Times New Roman" w:eastAsia="仿宋_GB2312" w:cs="Times New Roman"/>
          <w:b/>
          <w:bCs w:val="0"/>
          <w:kern w:val="0"/>
          <w:sz w:val="32"/>
          <w:szCs w:val="32"/>
          <w:highlight w:val="none"/>
          <w:lang w:val="en-US" w:eastAsia="zh-CN"/>
        </w:rPr>
        <w:t>构建“气象灾害链”阻断体系</w:t>
      </w:r>
      <w:r>
        <w:rPr>
          <w:rFonts w:hint="eastAsia" w:ascii="Times New Roman" w:hAnsi="Times New Roman" w:eastAsia="仿宋_GB2312" w:cs="Times New Roman"/>
          <w:bCs/>
          <w:kern w:val="0"/>
          <w:sz w:val="32"/>
          <w:szCs w:val="32"/>
          <w:highlight w:val="none"/>
          <w:lang w:val="en-US" w:eastAsia="zh-CN"/>
        </w:rPr>
        <w:t>。系统整合多源数据并开展精细化承灾体普查，结合历史灾情与区域特征构建空间差异化的灾害临界阈值矩阵，建立分灾种、分季节、分地域、分行业和重点承灾体的气象灾害综合风险预估指标体系。通过精细化风险普查与数字情景构建，精准识别关键传导节点与断链瓶颈，实现从单一灾害预警向链式风险推演的跨越。</w:t>
      </w:r>
      <w:r>
        <w:rPr>
          <w:rFonts w:hint="eastAsia" w:ascii="Times New Roman" w:hAnsi="Times New Roman" w:eastAsia="仿宋_GB2312" w:cs="Times New Roman"/>
          <w:b/>
          <w:bCs w:val="0"/>
          <w:kern w:val="0"/>
          <w:sz w:val="32"/>
          <w:szCs w:val="32"/>
          <w:highlight w:val="none"/>
          <w:lang w:val="en-US" w:eastAsia="zh-CN"/>
        </w:rPr>
        <w:t>提高应对极端天气能力</w:t>
      </w:r>
      <w:r>
        <w:rPr>
          <w:rFonts w:hint="eastAsia" w:ascii="Times New Roman" w:hAnsi="Times New Roman" w:eastAsia="仿宋_GB2312" w:cs="Times New Roman"/>
          <w:b w:val="0"/>
          <w:bCs/>
          <w:kern w:val="0"/>
          <w:sz w:val="32"/>
          <w:szCs w:val="32"/>
          <w:highlight w:val="none"/>
          <w:lang w:val="en-US" w:eastAsia="zh-CN"/>
        </w:rPr>
        <w:t>，建立极端天气过程早期识别与概率预报机制，提高对极端天气易发、频发区域的针对性研究。构建多行业多灾种气象风险识别与早期预警体系，形成气象风险图谱，提升行业防范应对气象灾害的能力和水平。推进极端天气监测预警与风险防控闭环管理工程，提升极端天气监测预报预警能级。</w:t>
      </w:r>
    </w:p>
    <w:p w14:paraId="3C0AC60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三、做好重大活动气象服务</w:t>
      </w:r>
    </w:p>
    <w:p w14:paraId="2A3678B8">
      <w:pPr>
        <w:spacing w:line="560" w:lineRule="exact"/>
        <w:ind w:firstLine="643" w:firstLineChars="200"/>
        <w:rPr>
          <w:rFonts w:hint="eastAsia" w:ascii="仿宋_GB2312" w:hAnsi="仿宋_GB2312" w:eastAsia="仿宋_GB2312" w:cs="仿宋_GB2312"/>
          <w:bCs/>
          <w:kern w:val="0"/>
          <w:sz w:val="32"/>
          <w:szCs w:val="32"/>
          <w:highlight w:val="none"/>
          <w:lang w:val="en-US" w:eastAsia="zh-CN"/>
        </w:rPr>
      </w:pPr>
      <w:r>
        <w:rPr>
          <w:rFonts w:hint="eastAsia" w:ascii="仿宋_GB2312" w:hAnsi="仿宋_GB2312" w:eastAsia="仿宋_GB2312" w:cs="仿宋_GB2312"/>
          <w:b/>
          <w:bCs w:val="0"/>
          <w:kern w:val="0"/>
          <w:sz w:val="32"/>
          <w:szCs w:val="32"/>
          <w:highlight w:val="none"/>
          <w:lang w:val="en-US" w:eastAsia="zh-CN"/>
        </w:rPr>
        <w:t>强化重大活动精细化气象保障</w:t>
      </w:r>
      <w:r>
        <w:rPr>
          <w:rFonts w:hint="eastAsia" w:ascii="仿宋_GB2312" w:hAnsi="仿宋_GB2312" w:eastAsia="仿宋_GB2312" w:cs="仿宋_GB2312"/>
          <w:b w:val="0"/>
          <w:bCs/>
          <w:kern w:val="0"/>
          <w:sz w:val="32"/>
          <w:szCs w:val="32"/>
          <w:highlight w:val="none"/>
          <w:lang w:val="en-US" w:eastAsia="zh-CN"/>
        </w:rPr>
        <w:t>。紧紧围绕国家总体外交大局，全力做好在朝阳举办的各类双边、多边外交活动等的气象保障服务工作。</w:t>
      </w:r>
      <w:r>
        <w:rPr>
          <w:rFonts w:hint="eastAsia" w:ascii="仿宋_GB2312" w:hAnsi="仿宋_GB2312" w:eastAsia="仿宋_GB2312" w:cs="仿宋_GB2312"/>
          <w:b/>
          <w:bCs w:val="0"/>
          <w:kern w:val="0"/>
          <w:sz w:val="32"/>
          <w:szCs w:val="32"/>
          <w:highlight w:val="none"/>
          <w:lang w:val="en-US" w:eastAsia="zh-CN"/>
        </w:rPr>
        <w:t>完善重大活动气象服务保障平台</w:t>
      </w:r>
      <w:r>
        <w:rPr>
          <w:rFonts w:hint="eastAsia" w:ascii="仿宋_GB2312" w:hAnsi="仿宋_GB2312" w:eastAsia="仿宋_GB2312" w:cs="仿宋_GB2312"/>
          <w:b w:val="0"/>
          <w:bCs/>
          <w:kern w:val="0"/>
          <w:sz w:val="32"/>
          <w:szCs w:val="32"/>
          <w:highlight w:val="none"/>
          <w:lang w:val="en-US" w:eastAsia="zh-CN"/>
        </w:rPr>
        <w:t>，整合气象观测数据、预报产品及多源信息，建成集监测、预报、预警、服务于一体的全流程保障平台，实现高影响天气主动提示、气象数据可视化展示，气象服务产品一键式制作等功能，结合气候风险评估及预报结果，智能生成重大活动服务提示信息。</w:t>
      </w:r>
      <w:r>
        <w:rPr>
          <w:rFonts w:hint="eastAsia" w:ascii="仿宋_GB2312" w:hAnsi="仿宋_GB2312" w:eastAsia="仿宋_GB2312" w:cs="仿宋_GB2312"/>
          <w:b/>
          <w:bCs w:val="0"/>
          <w:kern w:val="0"/>
          <w:sz w:val="32"/>
          <w:szCs w:val="32"/>
          <w:highlight w:val="none"/>
          <w:lang w:val="en-US" w:eastAsia="zh-CN"/>
        </w:rPr>
        <w:t>强化重点区域安全保障</w:t>
      </w:r>
      <w:r>
        <w:rPr>
          <w:rFonts w:hint="eastAsia" w:ascii="仿宋_GB2312" w:hAnsi="仿宋_GB2312" w:eastAsia="仿宋_GB2312" w:cs="仿宋_GB2312"/>
          <w:b w:val="0"/>
          <w:bCs/>
          <w:kern w:val="0"/>
          <w:sz w:val="32"/>
          <w:szCs w:val="32"/>
          <w:highlight w:val="none"/>
          <w:lang w:val="en-US" w:eastAsia="zh-CN"/>
        </w:rPr>
        <w:t>，依托微尺度精细化预报产品，为使馆区、北京</w:t>
      </w:r>
      <w:r>
        <w:rPr>
          <w:rFonts w:hint="eastAsia" w:ascii="Times New Roman" w:hAnsi="Times New Roman" w:eastAsia="仿宋_GB2312" w:cs="仿宋_GB2312"/>
          <w:b w:val="0"/>
          <w:bCs/>
          <w:color w:val="000000"/>
          <w:kern w:val="0"/>
          <w:sz w:val="32"/>
          <w:szCs w:val="32"/>
          <w:lang w:val="en-US" w:eastAsia="zh-CN" w:bidi="ar-SA"/>
        </w:rPr>
        <w:t>CBD</w:t>
      </w:r>
      <w:r>
        <w:rPr>
          <w:rFonts w:hint="eastAsia" w:ascii="仿宋_GB2312" w:hAnsi="仿宋_GB2312" w:eastAsia="仿宋_GB2312" w:cs="仿宋_GB2312"/>
          <w:b w:val="0"/>
          <w:bCs/>
          <w:kern w:val="0"/>
          <w:sz w:val="32"/>
          <w:szCs w:val="32"/>
          <w:highlight w:val="none"/>
          <w:lang w:val="en-US" w:eastAsia="zh-CN"/>
        </w:rPr>
        <w:t>、奥林匹克森林公园、温榆河公园等重点区域户外活动安全保障提供精细化气象决策支持。</w:t>
      </w:r>
    </w:p>
    <w:p w14:paraId="4FAE14C6">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spacing w:val="-20"/>
          <w:kern w:val="0"/>
          <w:sz w:val="32"/>
          <w:szCs w:val="32"/>
          <w:lang w:val="en-US" w:eastAsia="zh-CN" w:bidi="ar-SA"/>
        </w:rPr>
      </w:pPr>
      <w:bookmarkStart w:id="37" w:name="_Toc30012"/>
      <w:bookmarkStart w:id="38" w:name="_Toc1621"/>
      <w:r>
        <w:rPr>
          <w:rFonts w:hint="eastAsia" w:ascii="Times New Roman" w:hAnsi="Times New Roman" w:eastAsia="黑体" w:cs="黑体"/>
          <w:color w:val="000000"/>
          <w:spacing w:val="-20"/>
          <w:kern w:val="0"/>
          <w:sz w:val="32"/>
          <w:szCs w:val="32"/>
          <w:lang w:val="en-US" w:eastAsia="zh-CN" w:bidi="ar-SA"/>
        </w:rPr>
        <w:t>第二章 深化“气象+”赋能行动，服务区域经济社会高质量发展</w:t>
      </w:r>
      <w:bookmarkEnd w:id="37"/>
      <w:bookmarkEnd w:id="38"/>
    </w:p>
    <w:p w14:paraId="2D4CD24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一、强化生态文明建设气象支撑</w:t>
      </w:r>
    </w:p>
    <w:p w14:paraId="17B7D8CA">
      <w:pPr>
        <w:keepNext w:val="0"/>
        <w:keepLines w:val="0"/>
        <w:pageBreakBefore w:val="0"/>
        <w:widowControl w:val="0"/>
        <w:kinsoku/>
        <w:wordWrap/>
        <w:overflowPunct/>
        <w:topLinePunct w:val="0"/>
        <w:autoSpaceDE/>
        <w:autoSpaceDN/>
        <w:bidi w:val="0"/>
        <w:snapToGrid/>
        <w:spacing w:line="560" w:lineRule="exact"/>
        <w:ind w:firstLine="643" w:firstLineChars="200"/>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bCs w:val="0"/>
          <w:kern w:val="0"/>
          <w:sz w:val="32"/>
          <w:szCs w:val="32"/>
          <w:highlight w:val="none"/>
          <w:lang w:val="en-US" w:eastAsia="zh-CN"/>
        </w:rPr>
        <w:t>加强气候承载力与生态监测评估。</w:t>
      </w:r>
      <w:r>
        <w:rPr>
          <w:rFonts w:hint="eastAsia" w:ascii="仿宋_GB2312" w:hAnsi="仿宋_GB2312" w:eastAsia="仿宋_GB2312" w:cs="仿宋_GB2312"/>
          <w:b w:val="0"/>
          <w:bCs/>
          <w:kern w:val="0"/>
          <w:sz w:val="32"/>
          <w:szCs w:val="32"/>
          <w:highlight w:val="none"/>
          <w:lang w:val="en-US" w:eastAsia="zh-CN"/>
        </w:rPr>
        <w:t>围绕朝阳区“花园城市”与“五宜朝阳”建设，加强对“一道绿隔”公园环、温榆河生态走廊、亮马河、坝河等重点生态空间气候评估，为国土空间规划、重大项目布局、生态保护红线管控及适应气候变化行动提供定量的科学决策依据。</w:t>
      </w:r>
      <w:r>
        <w:rPr>
          <w:rFonts w:hint="eastAsia" w:ascii="仿宋_GB2312" w:hAnsi="仿宋_GB2312" w:eastAsia="仿宋_GB2312" w:cs="仿宋_GB2312"/>
          <w:b/>
          <w:bCs w:val="0"/>
          <w:kern w:val="0"/>
          <w:sz w:val="32"/>
          <w:szCs w:val="32"/>
          <w:highlight w:val="none"/>
          <w:lang w:val="en-US" w:eastAsia="zh-CN"/>
        </w:rPr>
        <w:t>推动坝河流域生态环境治理项目开展</w:t>
      </w:r>
      <w:r>
        <w:rPr>
          <w:rFonts w:hint="eastAsia" w:ascii="仿宋_GB2312" w:hAnsi="仿宋_GB2312" w:eastAsia="仿宋_GB2312" w:cs="仿宋_GB2312"/>
          <w:b w:val="0"/>
          <w:bCs/>
          <w:kern w:val="0"/>
          <w:sz w:val="32"/>
          <w:szCs w:val="32"/>
          <w:highlight w:val="none"/>
          <w:lang w:val="en-US" w:eastAsia="zh-CN"/>
        </w:rPr>
        <w:t>，开展朝阳区坝河流域基于降水</w:t>
      </w:r>
      <w:r>
        <w:rPr>
          <w:rFonts w:hint="eastAsia" w:ascii="仿宋_GB2312" w:hAnsi="仿宋_GB2312" w:cs="仿宋_GB2312"/>
          <w:b w:val="0"/>
          <w:bCs/>
          <w:kern w:val="0"/>
          <w:sz w:val="32"/>
          <w:szCs w:val="32"/>
          <w:highlight w:val="none"/>
          <w:lang w:val="en-US" w:eastAsia="zh-CN"/>
        </w:rPr>
        <w:t>—</w:t>
      </w:r>
      <w:r>
        <w:rPr>
          <w:rFonts w:hint="eastAsia" w:ascii="仿宋_GB2312" w:hAnsi="仿宋_GB2312" w:eastAsia="仿宋_GB2312" w:cs="仿宋_GB2312"/>
          <w:b w:val="0"/>
          <w:bCs/>
          <w:kern w:val="0"/>
          <w:sz w:val="32"/>
          <w:szCs w:val="32"/>
          <w:highlight w:val="none"/>
          <w:lang w:val="en-US" w:eastAsia="zh-CN"/>
        </w:rPr>
        <w:t>水污染响应机制研究，建立“降水</w:t>
      </w:r>
      <w:r>
        <w:rPr>
          <w:rFonts w:hint="eastAsia" w:ascii="仿宋_GB2312" w:hAnsi="仿宋_GB2312" w:cs="仿宋_GB2312"/>
          <w:b w:val="0"/>
          <w:bCs/>
          <w:kern w:val="0"/>
          <w:sz w:val="32"/>
          <w:szCs w:val="32"/>
          <w:highlight w:val="none"/>
          <w:lang w:val="en-US" w:eastAsia="zh-CN"/>
        </w:rPr>
        <w:t>—</w:t>
      </w:r>
      <w:r>
        <w:rPr>
          <w:rFonts w:hint="eastAsia" w:ascii="仿宋_GB2312" w:hAnsi="仿宋_GB2312" w:eastAsia="仿宋_GB2312" w:cs="仿宋_GB2312"/>
          <w:b w:val="0"/>
          <w:bCs/>
          <w:kern w:val="0"/>
          <w:sz w:val="32"/>
          <w:szCs w:val="32"/>
          <w:highlight w:val="none"/>
          <w:lang w:val="en-US" w:eastAsia="zh-CN"/>
        </w:rPr>
        <w:t>污染</w:t>
      </w:r>
      <w:r>
        <w:rPr>
          <w:rFonts w:hint="eastAsia" w:ascii="仿宋_GB2312" w:hAnsi="仿宋_GB2312" w:cs="仿宋_GB2312"/>
          <w:b w:val="0"/>
          <w:bCs/>
          <w:kern w:val="0"/>
          <w:sz w:val="32"/>
          <w:szCs w:val="32"/>
          <w:highlight w:val="none"/>
          <w:lang w:val="en-US" w:eastAsia="zh-CN"/>
        </w:rPr>
        <w:t>—</w:t>
      </w:r>
      <w:r>
        <w:rPr>
          <w:rFonts w:hint="eastAsia" w:ascii="仿宋_GB2312" w:hAnsi="仿宋_GB2312" w:eastAsia="仿宋_GB2312" w:cs="仿宋_GB2312"/>
          <w:b w:val="0"/>
          <w:bCs/>
          <w:kern w:val="0"/>
          <w:sz w:val="32"/>
          <w:szCs w:val="32"/>
          <w:highlight w:val="none"/>
          <w:lang w:val="en-US" w:eastAsia="zh-CN"/>
        </w:rPr>
        <w:t>水生态”联动数据库、提出基于降水情景的差异化治理建议，为生态环境、水务等部门提供精准气象支撑，在不同降水情景下为相关单位提供科学管理工具与决策支撑，助力提升多部门协同履职效能，确保流域生态管护工作规范化、精准化。</w:t>
      </w:r>
    </w:p>
    <w:p w14:paraId="1C1CD0E3">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二、推动气象与文旅消费深度联动</w:t>
      </w:r>
    </w:p>
    <w:p w14:paraId="74E13AD2">
      <w:pPr>
        <w:keepNext w:val="0"/>
        <w:keepLines w:val="0"/>
        <w:pageBreakBefore w:val="0"/>
        <w:widowControl w:val="0"/>
        <w:kinsoku/>
        <w:wordWrap/>
        <w:overflowPunct/>
        <w:topLinePunct w:val="0"/>
        <w:autoSpaceDE/>
        <w:autoSpaceDN/>
        <w:bidi w:val="0"/>
        <w:snapToGrid/>
        <w:spacing w:line="560" w:lineRule="exact"/>
        <w:ind w:firstLine="643" w:firstLineChars="200"/>
        <w:textAlignment w:val="auto"/>
        <w:rPr>
          <w:rFonts w:hint="eastAsia" w:ascii="仿宋_GB2312" w:hAnsi="仿宋_GB2312" w:eastAsia="仿宋_GB2312" w:cs="仿宋_GB2312"/>
          <w:b w:val="0"/>
          <w:bCs/>
          <w:kern w:val="0"/>
          <w:sz w:val="32"/>
          <w:szCs w:val="32"/>
          <w:highlight w:val="none"/>
          <w:lang w:val="en-US" w:eastAsia="zh-CN"/>
        </w:rPr>
      </w:pPr>
      <w:r>
        <w:rPr>
          <w:rFonts w:hint="eastAsia" w:ascii="仿宋_GB2312" w:hAnsi="仿宋_GB2312" w:eastAsia="仿宋_GB2312" w:cs="仿宋_GB2312"/>
          <w:b/>
          <w:bCs w:val="0"/>
          <w:kern w:val="0"/>
          <w:sz w:val="32"/>
          <w:szCs w:val="32"/>
          <w:highlight w:val="none"/>
          <w:lang w:val="en-US" w:eastAsia="zh-CN"/>
        </w:rPr>
        <w:t>加强对文旅消费空间和文娱活动的气象保障。</w:t>
      </w:r>
      <w:r>
        <w:rPr>
          <w:rFonts w:hint="eastAsia" w:ascii="仿宋_GB2312" w:hAnsi="仿宋_GB2312" w:eastAsia="仿宋_GB2312" w:cs="仿宋_GB2312"/>
          <w:b w:val="0"/>
          <w:bCs/>
          <w:kern w:val="0"/>
          <w:sz w:val="32"/>
          <w:szCs w:val="32"/>
          <w:highlight w:val="none"/>
          <w:lang w:val="en-US" w:eastAsia="zh-CN"/>
        </w:rPr>
        <w:t>聚焦“两河一带”世界级滨水经济带、夜间经济地标、特色商圈等重点区域，研发精细化气象服务产品。针对首发首秀、时尚秀场、品牌赛事等消费领域重大活动，健全“一活动一策”气象服务保障机制，开展高影响天气风险研判与应对指导，保障活动安全、有序、精彩举办。</w:t>
      </w:r>
      <w:r>
        <w:rPr>
          <w:rFonts w:hint="eastAsia" w:ascii="仿宋_GB2312" w:hAnsi="仿宋_GB2312" w:eastAsia="仿宋_GB2312" w:cs="仿宋_GB2312"/>
          <w:b/>
          <w:bCs w:val="0"/>
          <w:kern w:val="0"/>
          <w:sz w:val="32"/>
          <w:szCs w:val="32"/>
          <w:highlight w:val="none"/>
          <w:lang w:val="en-US" w:eastAsia="zh-CN"/>
        </w:rPr>
        <w:t>促进气候资源向消费动能转化。</w:t>
      </w:r>
      <w:r>
        <w:rPr>
          <w:rFonts w:hint="eastAsia" w:ascii="仿宋_GB2312" w:hAnsi="仿宋_GB2312" w:eastAsia="仿宋_GB2312" w:cs="仿宋_GB2312"/>
          <w:b w:val="0"/>
          <w:bCs/>
          <w:kern w:val="0"/>
          <w:sz w:val="32"/>
          <w:szCs w:val="32"/>
          <w:highlight w:val="none"/>
          <w:lang w:val="en-US" w:eastAsia="zh-CN"/>
        </w:rPr>
        <w:t>结合季节与气候特点，发布消费目的地特色气象景观预报（如秋叶、晴雪、晚霞等），丰富消费体验维度，引导消费人流。</w:t>
      </w:r>
      <w:r>
        <w:rPr>
          <w:rFonts w:hint="eastAsia" w:ascii="仿宋_GB2312" w:hAnsi="仿宋_GB2312" w:eastAsia="仿宋_GB2312" w:cs="仿宋_GB2312"/>
          <w:b/>
          <w:bCs w:val="0"/>
          <w:kern w:val="0"/>
          <w:sz w:val="32"/>
          <w:szCs w:val="32"/>
          <w:highlight w:val="none"/>
          <w:lang w:val="en-US" w:eastAsia="zh-CN"/>
        </w:rPr>
        <w:t>强化数据共享与智慧平台协同。</w:t>
      </w:r>
      <w:r>
        <w:rPr>
          <w:rFonts w:hint="eastAsia" w:ascii="仿宋_GB2312" w:hAnsi="仿宋_GB2312" w:eastAsia="仿宋_GB2312" w:cs="仿宋_GB2312"/>
          <w:b w:val="0"/>
          <w:bCs/>
          <w:kern w:val="0"/>
          <w:sz w:val="32"/>
          <w:szCs w:val="32"/>
          <w:highlight w:val="none"/>
          <w:lang w:val="en-US" w:eastAsia="zh-CN"/>
        </w:rPr>
        <w:t>探索将气象风险预警、舒适度指数、特色景观预报等信息，精准推送至商圈智慧屏、旅游服务平台、赛事</w:t>
      </w:r>
      <w:r>
        <w:rPr>
          <w:rFonts w:hint="eastAsia" w:ascii="Times New Roman" w:hAnsi="Times New Roman" w:eastAsia="仿宋_GB2312" w:cs="仿宋_GB2312"/>
          <w:b w:val="0"/>
          <w:bCs/>
          <w:color w:val="000000"/>
          <w:kern w:val="0"/>
          <w:sz w:val="32"/>
          <w:szCs w:val="32"/>
          <w:lang w:val="en-US" w:eastAsia="zh-CN" w:bidi="ar-SA"/>
        </w:rPr>
        <w:t>APP</w:t>
      </w:r>
      <w:r>
        <w:rPr>
          <w:rFonts w:hint="eastAsia" w:ascii="仿宋_GB2312" w:hAnsi="仿宋_GB2312" w:eastAsia="仿宋_GB2312" w:cs="仿宋_GB2312"/>
          <w:b w:val="0"/>
          <w:bCs/>
          <w:kern w:val="0"/>
          <w:sz w:val="32"/>
          <w:szCs w:val="32"/>
          <w:highlight w:val="none"/>
          <w:lang w:val="en-US" w:eastAsia="zh-CN"/>
        </w:rPr>
        <w:t>及导航软件，实现气象信息在消费决策端的智能嵌入与场景化应用，构建智慧消费气象服务生态。</w:t>
      </w:r>
    </w:p>
    <w:p w14:paraId="074A3A9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w:t>
      </w:r>
      <w:r>
        <w:rPr>
          <w:rFonts w:hint="default" w:ascii="Times New Roman" w:hAnsi="Times New Roman" w:eastAsia="楷体_GB2312" w:cs="楷体_GB2312"/>
          <w:bCs/>
          <w:szCs w:val="32"/>
          <w:lang w:val="en-US" w:eastAsia="zh-CN"/>
        </w:rPr>
        <w:t>发展智慧便捷的民生气象服务</w:t>
      </w:r>
    </w:p>
    <w:p w14:paraId="488B22C5">
      <w:pPr>
        <w:keepNext w:val="0"/>
        <w:keepLines w:val="0"/>
        <w:pageBreakBefore w:val="0"/>
        <w:widowControl w:val="0"/>
        <w:kinsoku/>
        <w:wordWrap/>
        <w:overflowPunct/>
        <w:topLinePunct w:val="0"/>
        <w:autoSpaceDE/>
        <w:autoSpaceDN/>
        <w:bidi w:val="0"/>
        <w:snapToGrid/>
        <w:spacing w:line="560" w:lineRule="exact"/>
        <w:ind w:firstLine="643" w:firstLineChars="200"/>
        <w:textAlignment w:val="auto"/>
        <w:rPr>
          <w:rFonts w:hint="eastAsia" w:ascii="仿宋_GB2312" w:hAnsi="仿宋_GB2312" w:eastAsia="仿宋_GB2312" w:cs="仿宋_GB2312"/>
          <w:bCs/>
          <w:kern w:val="0"/>
          <w:sz w:val="32"/>
          <w:szCs w:val="32"/>
          <w:highlight w:val="none"/>
          <w:lang w:val="en-US" w:eastAsia="zh-CN"/>
        </w:rPr>
      </w:pPr>
      <w:r>
        <w:rPr>
          <w:rFonts w:hint="eastAsia" w:ascii="仿宋_GB2312" w:hAnsi="仿宋_GB2312" w:eastAsia="仿宋_GB2312" w:cs="仿宋_GB2312"/>
          <w:b/>
          <w:bCs/>
          <w:sz w:val="32"/>
          <w:szCs w:val="32"/>
          <w:lang w:val="en-US" w:eastAsia="zh-CN"/>
        </w:rPr>
        <w:t>打造场景化、智能化线上服务平台。</w:t>
      </w:r>
      <w:r>
        <w:rPr>
          <w:rFonts w:hint="eastAsia" w:ascii="仿宋_GB2312" w:hAnsi="仿宋_GB2312" w:eastAsia="仿宋_GB2312" w:cs="仿宋_GB2312"/>
          <w:sz w:val="32"/>
          <w:szCs w:val="32"/>
          <w:lang w:val="en-US" w:eastAsia="zh-CN"/>
        </w:rPr>
        <w:t>升级微信公众号，结合大语言模型构建气象服务智能交互与知识问答功能，推动预报预警信息向公众与行业用户的智能转化与场景化解读，实现气象产品从“科学输出”到“服务触达”的全链条智能化升级，全面提升区域气象服务精细化、智慧化水平。</w:t>
      </w:r>
      <w:r>
        <w:rPr>
          <w:rFonts w:hint="eastAsia" w:ascii="仿宋_GB2312" w:hAnsi="仿宋_GB2312" w:eastAsia="仿宋_GB2312" w:cs="仿宋_GB2312"/>
          <w:b/>
          <w:bCs/>
          <w:sz w:val="32"/>
          <w:szCs w:val="32"/>
          <w:lang w:val="en-US" w:eastAsia="zh-CN"/>
        </w:rPr>
        <w:t>推动气象证明与保险理赔系统对接。</w:t>
      </w:r>
      <w:r>
        <w:rPr>
          <w:rFonts w:hint="eastAsia" w:ascii="仿宋_GB2312" w:hAnsi="仿宋_GB2312" w:eastAsia="仿宋_GB2312" w:cs="仿宋_GB2312"/>
          <w:sz w:val="32"/>
          <w:szCs w:val="32"/>
          <w:lang w:val="en-US" w:eastAsia="zh-CN"/>
        </w:rPr>
        <w:t>实现从气象灾害预警、风险防御到灾后快速理赔的全流程闭环服务，提升公共风险应对效率。</w:t>
      </w:r>
    </w:p>
    <w:p w14:paraId="5636656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eastAsia"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四、拓展健康气象服务领域</w:t>
      </w:r>
    </w:p>
    <w:p w14:paraId="4DF764DA">
      <w:pPr>
        <w:spacing w:line="560" w:lineRule="exact"/>
        <w:ind w:firstLine="643" w:firstLineChars="200"/>
        <w:rPr>
          <w:rFonts w:hint="eastAsia" w:ascii="Times New Roman" w:hAnsi="Times New Roman" w:eastAsia="仿宋_GB2312" w:cs="Times New Roman"/>
          <w:b w:val="0"/>
          <w:bCs/>
          <w:kern w:val="0"/>
          <w:sz w:val="32"/>
          <w:szCs w:val="32"/>
          <w:highlight w:val="none"/>
          <w:lang w:val="en-US" w:eastAsia="zh-CN"/>
        </w:rPr>
      </w:pPr>
      <w:r>
        <w:rPr>
          <w:rFonts w:hint="eastAsia" w:ascii="Times New Roman" w:hAnsi="Times New Roman" w:eastAsia="仿宋_GB2312" w:cs="Times New Roman"/>
          <w:b/>
          <w:bCs w:val="0"/>
          <w:kern w:val="0"/>
          <w:sz w:val="32"/>
          <w:szCs w:val="32"/>
          <w:highlight w:val="none"/>
          <w:lang w:val="en-US" w:eastAsia="zh-CN"/>
        </w:rPr>
        <w:t>加强与卫健、疾控部门的数据共享与机制协同。</w:t>
      </w:r>
      <w:r>
        <w:rPr>
          <w:rFonts w:hint="eastAsia" w:ascii="Times New Roman" w:hAnsi="Times New Roman" w:eastAsia="仿宋_GB2312" w:cs="Times New Roman"/>
          <w:b w:val="0"/>
          <w:bCs/>
          <w:kern w:val="0"/>
          <w:sz w:val="32"/>
          <w:szCs w:val="32"/>
          <w:highlight w:val="none"/>
          <w:lang w:val="en-US" w:eastAsia="zh-CN"/>
        </w:rPr>
        <w:t>研发健康气象服务产品。探索在“朝阳区气象台”微信服务号推出个性化的健康气象服务，开发面向花粉过敏、慢性病患者、老年人、儿童等敏感人群的定制化健康气象提示服务，实现基于实时天气的个性化养生建议推送。</w:t>
      </w:r>
    </w:p>
    <w:p w14:paraId="6DE486F4">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default" w:ascii="Times New Roman" w:hAnsi="Times New Roman" w:eastAsia="黑体" w:cs="黑体"/>
          <w:color w:val="000000"/>
          <w:kern w:val="0"/>
          <w:sz w:val="32"/>
          <w:szCs w:val="32"/>
          <w:lang w:val="en-US" w:eastAsia="zh-CN" w:bidi="ar-SA"/>
        </w:rPr>
      </w:pPr>
      <w:bookmarkStart w:id="39" w:name="_Toc10807"/>
      <w:bookmarkStart w:id="40" w:name="_Toc10416"/>
      <w:r>
        <w:rPr>
          <w:rFonts w:hint="eastAsia" w:ascii="Times New Roman" w:hAnsi="Times New Roman" w:eastAsia="黑体" w:cs="黑体"/>
          <w:color w:val="000000"/>
          <w:kern w:val="0"/>
          <w:sz w:val="32"/>
          <w:szCs w:val="32"/>
          <w:lang w:val="en-US" w:eastAsia="zh-CN" w:bidi="ar-SA"/>
        </w:rPr>
        <w:t xml:space="preserve">第三章 </w:t>
      </w:r>
      <w:r>
        <w:rPr>
          <w:rFonts w:hint="default" w:ascii="Times New Roman" w:hAnsi="Times New Roman" w:eastAsia="黑体" w:cs="黑体"/>
          <w:color w:val="000000"/>
          <w:kern w:val="0"/>
          <w:sz w:val="32"/>
          <w:szCs w:val="32"/>
          <w:lang w:val="en-US" w:eastAsia="zh-CN" w:bidi="ar-SA"/>
        </w:rPr>
        <w:t>推进气象业务能力现代化，夯实事业发展根基</w:t>
      </w:r>
      <w:bookmarkEnd w:id="39"/>
      <w:bookmarkEnd w:id="40"/>
    </w:p>
    <w:p w14:paraId="7D5B282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一、提高气象业务科技水平</w:t>
      </w:r>
    </w:p>
    <w:p w14:paraId="63BFE3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z w:val="32"/>
          <w:szCs w:val="32"/>
          <w:lang w:val="en-US" w:eastAsia="zh-CN"/>
        </w:rPr>
      </w:pPr>
      <w:r>
        <w:rPr>
          <w:rFonts w:hint="default" w:ascii="仿宋_GB2312" w:hAnsi="仿宋_GB2312" w:eastAsia="仿宋_GB2312" w:cs="仿宋_GB2312"/>
          <w:b/>
          <w:bCs/>
          <w:sz w:val="32"/>
          <w:szCs w:val="32"/>
          <w:lang w:val="en-US" w:eastAsia="zh-CN"/>
        </w:rPr>
        <w:t>发展智能数字预报预警技术</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b w:val="0"/>
          <w:bCs w:val="0"/>
          <w:sz w:val="32"/>
          <w:szCs w:val="32"/>
          <w:lang w:val="en-US" w:eastAsia="zh-CN"/>
        </w:rPr>
        <w:t>深度应用“睿图”系列模式产品、“灵犀”</w:t>
      </w:r>
      <w:r>
        <w:rPr>
          <w:rFonts w:hint="default" w:ascii="Times New Roman" w:hAnsi="Times New Roman" w:eastAsia="仿宋_GB2312" w:cs="仿宋_GB2312"/>
          <w:b w:val="0"/>
          <w:bCs/>
          <w:color w:val="000000"/>
          <w:kern w:val="0"/>
          <w:sz w:val="32"/>
          <w:szCs w:val="32"/>
          <w:lang w:val="en-US" w:eastAsia="zh-CN" w:bidi="ar-SA"/>
        </w:rPr>
        <w:t>AI</w:t>
      </w:r>
      <w:r>
        <w:rPr>
          <w:rFonts w:hint="default" w:ascii="仿宋_GB2312" w:hAnsi="仿宋_GB2312" w:eastAsia="仿宋_GB2312" w:cs="仿宋_GB2312"/>
          <w:b w:val="0"/>
          <w:bCs w:val="0"/>
          <w:sz w:val="32"/>
          <w:szCs w:val="32"/>
          <w:lang w:val="en-US" w:eastAsia="zh-CN"/>
        </w:rPr>
        <w:t>大模型产品等预报产品，并利用本区丰富的多源观测数据和高精度地理信息数据，形成符合全区</w:t>
      </w:r>
      <w:r>
        <w:rPr>
          <w:rFonts w:hint="default" w:ascii="Times New Roman" w:hAnsi="Times New Roman" w:eastAsia="仿宋_GB2312" w:cs="仿宋_GB2312"/>
          <w:b w:val="0"/>
          <w:bCs/>
          <w:color w:val="000000"/>
          <w:kern w:val="0"/>
          <w:sz w:val="32"/>
          <w:szCs w:val="32"/>
          <w:lang w:val="en-US" w:eastAsia="zh-CN" w:bidi="ar-SA"/>
        </w:rPr>
        <w:t>43</w:t>
      </w:r>
      <w:r>
        <w:rPr>
          <w:rFonts w:hint="default" w:ascii="仿宋_GB2312" w:hAnsi="仿宋_GB2312" w:eastAsia="仿宋_GB2312" w:cs="仿宋_GB2312"/>
          <w:b w:val="0"/>
          <w:bCs w:val="0"/>
          <w:sz w:val="32"/>
          <w:szCs w:val="32"/>
          <w:lang w:val="en-US" w:eastAsia="zh-CN"/>
        </w:rPr>
        <w:t>个街乡地理特征的预报结论。</w:t>
      </w:r>
      <w:r>
        <w:rPr>
          <w:rFonts w:hint="default" w:ascii="仿宋_GB2312" w:hAnsi="仿宋_GB2312" w:eastAsia="仿宋_GB2312" w:cs="仿宋_GB2312"/>
          <w:b/>
          <w:bCs/>
          <w:sz w:val="32"/>
          <w:szCs w:val="32"/>
          <w:lang w:val="en-US" w:eastAsia="zh-CN"/>
        </w:rPr>
        <w:t>构建分场景的智慧气象防灾减灾综合平台</w:t>
      </w:r>
      <w:r>
        <w:rPr>
          <w:rFonts w:hint="eastAsia" w:ascii="仿宋_GB2312" w:hAnsi="仿宋_GB2312" w:eastAsia="仿宋_GB2312" w:cs="仿宋_GB2312"/>
          <w:b/>
          <w:bCs/>
          <w:sz w:val="32"/>
          <w:szCs w:val="32"/>
          <w:lang w:val="en-US" w:eastAsia="zh-CN"/>
        </w:rPr>
        <w:t>。</w:t>
      </w:r>
      <w:r>
        <w:rPr>
          <w:rFonts w:hint="default" w:ascii="仿宋_GB2312" w:hAnsi="仿宋_GB2312" w:eastAsia="仿宋_GB2312" w:cs="仿宋_GB2312"/>
          <w:b w:val="0"/>
          <w:bCs w:val="0"/>
          <w:sz w:val="32"/>
          <w:szCs w:val="32"/>
          <w:lang w:val="en-US" w:eastAsia="zh-CN"/>
        </w:rPr>
        <w:t>实现气象灾害智能识别、气象产品自动化制作与融媒体精准发布，打造智能高效的业务运行体系，为城市精细化治理与公共服务提供实时、精准的气象科技支撑</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构建分场景（交通出行、文旅活动等）、分人群（决策管理者、普通市民、行业从业者）的智慧气象体系，全面提升气象服务的精准</w:t>
      </w:r>
      <w:r>
        <w:rPr>
          <w:rFonts w:hint="eastAsia" w:ascii="仿宋_GB2312" w:hAnsi="仿宋_GB2312" w:cs="仿宋_GB2312"/>
          <w:b w:val="0"/>
          <w:bCs w:val="0"/>
          <w:sz w:val="32"/>
          <w:szCs w:val="32"/>
          <w:lang w:val="en-US" w:eastAsia="zh-CN"/>
        </w:rPr>
        <w:t>职责履行</w:t>
      </w:r>
      <w:r>
        <w:rPr>
          <w:rFonts w:hint="default" w:ascii="仿宋_GB2312" w:hAnsi="仿宋_GB2312" w:eastAsia="仿宋_GB2312" w:cs="仿宋_GB2312"/>
          <w:b w:val="0"/>
          <w:bCs w:val="0"/>
          <w:sz w:val="32"/>
          <w:szCs w:val="32"/>
          <w:lang w:val="en-US" w:eastAsia="zh-CN"/>
        </w:rPr>
        <w:t>性、及时性与覆盖面，为城市安全运行、经济社会发展筑牢智慧气象防线。</w:t>
      </w:r>
    </w:p>
    <w:p w14:paraId="13277FB6">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二、</w:t>
      </w:r>
      <w:r>
        <w:rPr>
          <w:rFonts w:hint="default" w:ascii="Times New Roman" w:hAnsi="Times New Roman" w:eastAsia="楷体_GB2312" w:cs="楷体_GB2312"/>
          <w:bCs/>
          <w:szCs w:val="32"/>
          <w:lang w:val="en-US" w:eastAsia="zh-CN"/>
        </w:rPr>
        <w:t>提升气象科普供给能力</w:t>
      </w:r>
    </w:p>
    <w:p w14:paraId="7E82D387">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rPr>
          <w:rFonts w:hint="default" w:ascii="Calibri" w:hAnsi="Calibri" w:eastAsia="仿宋_GB2312" w:cs="Times New Roman"/>
          <w:kern w:val="2"/>
          <w:sz w:val="32"/>
          <w:szCs w:val="32"/>
          <w:lang w:val="en-US" w:eastAsia="zh-CN" w:bidi="ar-SA"/>
        </w:rPr>
      </w:pPr>
      <w:r>
        <w:rPr>
          <w:rFonts w:hint="default" w:ascii="Calibri" w:hAnsi="Calibri" w:eastAsia="仿宋_GB2312" w:cs="Times New Roman"/>
          <w:b/>
          <w:bCs/>
          <w:kern w:val="2"/>
          <w:sz w:val="32"/>
          <w:szCs w:val="32"/>
          <w:lang w:val="en-US" w:eastAsia="zh-CN" w:bidi="ar-SA"/>
        </w:rPr>
        <w:t>拓展多元化气象科普阵地</w:t>
      </w:r>
      <w:r>
        <w:rPr>
          <w:rFonts w:hint="eastAsia" w:ascii="Calibri" w:hAnsi="Calibri" w:eastAsia="仿宋_GB2312" w:cs="Times New Roman"/>
          <w:b/>
          <w:bCs/>
          <w:kern w:val="2"/>
          <w:sz w:val="32"/>
          <w:szCs w:val="32"/>
          <w:lang w:val="en-US" w:eastAsia="zh-CN" w:bidi="ar-SA"/>
        </w:rPr>
        <w:t>。</w:t>
      </w:r>
      <w:r>
        <w:rPr>
          <w:rFonts w:hint="default" w:ascii="Calibri" w:hAnsi="Calibri" w:eastAsia="仿宋_GB2312" w:cs="Times New Roman"/>
          <w:kern w:val="2"/>
          <w:sz w:val="32"/>
          <w:szCs w:val="32"/>
          <w:lang w:val="en-US" w:eastAsia="zh-CN" w:bidi="ar-SA"/>
        </w:rPr>
        <w:t>发挥全国气象科普教育基地示范作用，举办各类气象科普宣传活动</w:t>
      </w:r>
      <w:r>
        <w:rPr>
          <w:rFonts w:hint="eastAsia" w:ascii="Calibri" w:hAnsi="Calibri" w:eastAsia="仿宋_GB2312" w:cs="Times New Roman"/>
          <w:kern w:val="2"/>
          <w:sz w:val="32"/>
          <w:szCs w:val="32"/>
          <w:lang w:val="en-US" w:eastAsia="zh-CN" w:bidi="ar-SA"/>
        </w:rPr>
        <w:t>。</w:t>
      </w:r>
      <w:r>
        <w:rPr>
          <w:rFonts w:hint="default" w:ascii="Calibri" w:hAnsi="Calibri" w:eastAsia="仿宋_GB2312" w:cs="Times New Roman"/>
          <w:kern w:val="2"/>
          <w:sz w:val="32"/>
          <w:szCs w:val="32"/>
          <w:lang w:val="en-US" w:eastAsia="zh-CN" w:bidi="ar-SA"/>
        </w:rPr>
        <w:t>设计开发兼具科学性、趣味性与国际化特色的气象主题课程体系，打造面向不同文化背景受众的科普内容体系，助力气象知识在国内外广泛传播。</w:t>
      </w:r>
      <w:r>
        <w:rPr>
          <w:rFonts w:hint="eastAsia" w:ascii="Calibri" w:hAnsi="Calibri" w:eastAsia="仿宋_GB2312" w:cs="Times New Roman"/>
          <w:b/>
          <w:bCs/>
          <w:kern w:val="2"/>
          <w:sz w:val="32"/>
          <w:szCs w:val="32"/>
          <w:lang w:val="en-US" w:eastAsia="zh-CN" w:bidi="ar-SA"/>
        </w:rPr>
        <w:t>丰富气象科普内容与形式</w:t>
      </w:r>
      <w:r>
        <w:rPr>
          <w:rFonts w:hint="eastAsia" w:ascii="Calibri" w:hAnsi="Calibri" w:eastAsia="仿宋_GB2312" w:cs="Times New Roman"/>
          <w:kern w:val="2"/>
          <w:sz w:val="32"/>
          <w:szCs w:val="32"/>
          <w:lang w:val="en-US" w:eastAsia="zh-CN" w:bidi="ar-SA"/>
        </w:rPr>
        <w:t>，围绕气象防灾减灾、气候变化应对等主题，开发多语种科普短视频等多样化科普产品。</w:t>
      </w:r>
      <w:r>
        <w:rPr>
          <w:rFonts w:hint="default" w:ascii="Calibri" w:hAnsi="Calibri" w:eastAsia="仿宋_GB2312" w:cs="Times New Roman"/>
          <w:kern w:val="2"/>
          <w:sz w:val="32"/>
          <w:szCs w:val="32"/>
          <w:lang w:val="en-US" w:eastAsia="zh-CN" w:bidi="ar-SA"/>
        </w:rPr>
        <w:t>深度开展气象科普研学游活动，设计涵盖气象预报制作、防灾演练等环节的研学路线，让参与者沉浸式体验气象科学</w:t>
      </w:r>
      <w:r>
        <w:rPr>
          <w:rFonts w:hint="eastAsia" w:ascii="Calibri" w:hAnsi="Calibri" w:eastAsia="仿宋_GB2312" w:cs="Times New Roman"/>
          <w:kern w:val="2"/>
          <w:sz w:val="32"/>
          <w:szCs w:val="32"/>
          <w:lang w:val="en-US" w:eastAsia="zh-CN" w:bidi="ar-SA"/>
        </w:rPr>
        <w:t>。</w:t>
      </w:r>
      <w:r>
        <w:rPr>
          <w:rFonts w:hint="default" w:ascii="Calibri" w:hAnsi="Calibri" w:eastAsia="仿宋_GB2312" w:cs="Times New Roman"/>
          <w:kern w:val="2"/>
          <w:sz w:val="32"/>
          <w:szCs w:val="32"/>
          <w:lang w:val="en-US" w:eastAsia="zh-CN" w:bidi="ar-SA"/>
        </w:rPr>
        <w:t>结合现代信息技术开发科普互动平台，提升科普活动的参与感与实效性。</w:t>
      </w:r>
      <w:r>
        <w:rPr>
          <w:rFonts w:hint="eastAsia" w:ascii="Calibri" w:hAnsi="Calibri" w:eastAsia="仿宋_GB2312" w:cs="Times New Roman"/>
          <w:b/>
          <w:bCs/>
          <w:kern w:val="2"/>
          <w:sz w:val="32"/>
          <w:szCs w:val="32"/>
          <w:lang w:val="en-US" w:eastAsia="zh-CN" w:bidi="ar-SA"/>
        </w:rPr>
        <w:t>深化气象科普融合发展</w:t>
      </w:r>
      <w:r>
        <w:rPr>
          <w:rFonts w:hint="eastAsia" w:ascii="Calibri" w:hAnsi="Calibri" w:eastAsia="仿宋_GB2312" w:cs="Times New Roman"/>
          <w:kern w:val="2"/>
          <w:sz w:val="32"/>
          <w:szCs w:val="32"/>
          <w:lang w:val="en-US" w:eastAsia="zh-CN" w:bidi="ar-SA"/>
        </w:rPr>
        <w:t>。推动气象科普资源与学校教育体系深度融合，探索将气象科学知识纳入校本课程与课外实践活动，培养学生科学素养、环保意识与灾害防范能力。加强与各类公共文化设施等社会科普平台的协作联动，构建开放共享的气象科普资源网络，持续扩大气象科普的覆盖面与社会影响力。</w:t>
      </w:r>
    </w:p>
    <w:p w14:paraId="55AC154A">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2"/>
        <w:rPr>
          <w:rFonts w:hint="default" w:ascii="Times New Roman" w:hAnsi="Times New Roman" w:eastAsia="楷体_GB2312" w:cs="楷体_GB2312"/>
          <w:bCs/>
          <w:szCs w:val="32"/>
          <w:lang w:val="en-US" w:eastAsia="zh-CN"/>
        </w:rPr>
      </w:pPr>
      <w:r>
        <w:rPr>
          <w:rFonts w:hint="eastAsia" w:ascii="Times New Roman" w:hAnsi="Times New Roman" w:eastAsia="楷体_GB2312" w:cs="楷体_GB2312"/>
          <w:bCs/>
          <w:szCs w:val="32"/>
          <w:lang w:val="en-US" w:eastAsia="zh-CN"/>
        </w:rPr>
        <w:t>三、提高气象法治水平</w:t>
      </w:r>
    </w:p>
    <w:p w14:paraId="5ABA455B">
      <w:pPr>
        <w:numPr>
          <w:ilvl w:val="0"/>
          <w:numId w:val="0"/>
        </w:numPr>
        <w:spacing w:line="560" w:lineRule="exact"/>
        <w:ind w:firstLine="643" w:firstLineChars="200"/>
        <w:rPr>
          <w:rFonts w:hint="eastAsia"/>
          <w:lang w:val="en-US" w:eastAsia="zh-CN"/>
        </w:rPr>
      </w:pPr>
      <w:r>
        <w:rPr>
          <w:rFonts w:hint="eastAsia" w:ascii="仿宋_GB2312" w:hAnsi="仿宋_GB2312" w:eastAsia="仿宋_GB2312" w:cs="仿宋_GB2312"/>
          <w:b/>
          <w:bCs/>
          <w:sz w:val="32"/>
          <w:szCs w:val="32"/>
          <w:lang w:val="en-US" w:eastAsia="zh-CN"/>
        </w:rPr>
        <w:t>全面履行监管职责</w:t>
      </w:r>
      <w:r>
        <w:rPr>
          <w:rFonts w:hint="eastAsia" w:ascii="仿宋_GB2312" w:hAnsi="仿宋_GB2312" w:eastAsia="仿宋_GB2312" w:cs="仿宋_GB2312"/>
          <w:sz w:val="32"/>
          <w:szCs w:val="32"/>
          <w:lang w:val="en-US" w:eastAsia="zh-CN"/>
        </w:rPr>
        <w:t>，履行防雷领域组织管理职责，加强对行业部门的监督指导和防雷重点单位监管。</w:t>
      </w:r>
      <w:r>
        <w:rPr>
          <w:rFonts w:hint="eastAsia" w:ascii="仿宋_GB2312" w:hAnsi="仿宋_GB2312" w:eastAsia="仿宋_GB2312" w:cs="仿宋_GB2312"/>
          <w:b/>
          <w:bCs/>
          <w:sz w:val="32"/>
          <w:szCs w:val="32"/>
          <w:lang w:val="en-US" w:eastAsia="zh-CN"/>
        </w:rPr>
        <w:t>依法强化气象</w:t>
      </w:r>
      <w:r>
        <w:rPr>
          <w:rFonts w:hint="eastAsia" w:ascii="仿宋_GB2312" w:hAnsi="仿宋_GB2312" w:cs="仿宋_GB2312"/>
          <w:b/>
          <w:bCs/>
          <w:sz w:val="32"/>
          <w:szCs w:val="32"/>
          <w:lang w:val="en-US" w:eastAsia="zh-CN"/>
        </w:rPr>
        <w:t>行业</w:t>
      </w:r>
      <w:r>
        <w:rPr>
          <w:rFonts w:hint="eastAsia" w:ascii="仿宋_GB2312" w:hAnsi="仿宋_GB2312" w:eastAsia="仿宋_GB2312" w:cs="仿宋_GB2312"/>
          <w:b/>
          <w:bCs/>
          <w:sz w:val="32"/>
          <w:szCs w:val="32"/>
          <w:lang w:val="en-US" w:eastAsia="zh-CN"/>
        </w:rPr>
        <w:t>监管</w:t>
      </w:r>
      <w:r>
        <w:rPr>
          <w:rFonts w:hint="eastAsia" w:ascii="仿宋_GB2312" w:hAnsi="仿宋_GB2312" w:eastAsia="仿宋_GB2312" w:cs="仿宋_GB2312"/>
          <w:sz w:val="32"/>
          <w:szCs w:val="32"/>
          <w:lang w:val="en-US" w:eastAsia="zh-CN"/>
        </w:rPr>
        <w:t>，完善气象信息发布与传播、雷电灾害防御、升放气球活动、气象探测环境、气象专用技术装备、数据应用与安全、涉外气象探测等监管机制。</w:t>
      </w:r>
      <w:r>
        <w:rPr>
          <w:rFonts w:hint="eastAsia" w:ascii="仿宋_GB2312" w:hAnsi="仿宋_GB2312" w:eastAsia="仿宋_GB2312" w:cs="仿宋_GB2312"/>
          <w:b/>
          <w:bCs/>
          <w:sz w:val="32"/>
          <w:szCs w:val="32"/>
          <w:lang w:val="en-US" w:eastAsia="zh-CN"/>
        </w:rPr>
        <w:t>推动实现防雷领域非现场监管方式创新及落地应用。</w:t>
      </w:r>
      <w:r>
        <w:rPr>
          <w:rFonts w:hint="eastAsia" w:ascii="仿宋_GB2312" w:hAnsi="仿宋_GB2312" w:cs="仿宋_GB2312"/>
          <w:b/>
          <w:bCs/>
          <w:szCs w:val="32"/>
        </w:rPr>
        <w:t>加强气象法律法规宣传力度</w:t>
      </w:r>
      <w:r>
        <w:rPr>
          <w:rFonts w:hint="eastAsia" w:ascii="仿宋_GB2312" w:hAnsi="仿宋_GB2312" w:eastAsia="仿宋_GB2312" w:cs="仿宋_GB2312"/>
          <w:sz w:val="32"/>
          <w:szCs w:val="32"/>
          <w:lang w:val="en-US" w:eastAsia="zh-CN"/>
        </w:rPr>
        <w:t>。</w:t>
      </w:r>
    </w:p>
    <w:p w14:paraId="575AF021">
      <w:pPr>
        <w:pStyle w:val="25"/>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kern w:val="44"/>
          <w:sz w:val="36"/>
          <w:szCs w:val="36"/>
          <w:lang w:val="en-US" w:eastAsia="zh-CN"/>
        </w:rPr>
      </w:pPr>
      <w:bookmarkStart w:id="41" w:name="_Toc157"/>
      <w:bookmarkStart w:id="42" w:name="_Toc14681"/>
      <w:r>
        <w:rPr>
          <w:rFonts w:hint="eastAsia" w:ascii="Times New Roman" w:hAnsi="Times New Roman" w:eastAsia="方正小标宋简体" w:cs="Times New Roman"/>
          <w:kern w:val="44"/>
          <w:sz w:val="36"/>
          <w:szCs w:val="36"/>
          <w:lang w:val="en-US" w:eastAsia="zh-CN"/>
        </w:rPr>
        <w:t>第五篇 重点工程</w:t>
      </w:r>
      <w:bookmarkEnd w:id="41"/>
      <w:bookmarkEnd w:id="42"/>
    </w:p>
    <w:p w14:paraId="772725F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43" w:name="_Toc11429"/>
      <w:bookmarkStart w:id="44" w:name="_Toc3991"/>
      <w:r>
        <w:rPr>
          <w:rFonts w:hint="eastAsia" w:ascii="Times New Roman" w:hAnsi="Times New Roman" w:eastAsia="黑体" w:cs="黑体"/>
          <w:color w:val="000000"/>
          <w:kern w:val="0"/>
          <w:sz w:val="32"/>
          <w:szCs w:val="32"/>
          <w:lang w:val="en-US" w:eastAsia="zh-CN" w:bidi="ar-SA"/>
        </w:rPr>
        <w:t>第一章 气象灾害监测预报预警和防御能力建设工程</w:t>
      </w:r>
      <w:bookmarkEnd w:id="43"/>
      <w:bookmarkEnd w:id="44"/>
    </w:p>
    <w:p w14:paraId="102782E1">
      <w:pPr>
        <w:widowControl w:val="0"/>
        <w:autoSpaceDE/>
        <w:autoSpaceDN/>
        <w:adjustRightInd w:val="0"/>
        <w:spacing w:after="0" w:line="560" w:lineRule="exact"/>
        <w:ind w:firstLine="640" w:firstLineChars="200"/>
        <w:jc w:val="both"/>
        <w:rPr>
          <w:rFonts w:hint="eastAsia" w:ascii="仿宋_GB2312" w:hAnsi="仿宋_GB2312" w:eastAsia="仿宋_GB2312" w:cs="仿宋_GB2312"/>
          <w:b w:val="0"/>
          <w:bCs/>
          <w:kern w:val="0"/>
          <w:sz w:val="32"/>
          <w:szCs w:val="32"/>
          <w:highlight w:val="none"/>
          <w:lang w:val="en-US" w:eastAsia="zh-CN" w:bidi="ar-SA"/>
          <w14:ligatures w14:val="none"/>
        </w:rPr>
      </w:pPr>
      <w:bookmarkStart w:id="45" w:name="_Toc24238"/>
      <w:r>
        <w:rPr>
          <w:rFonts w:hint="eastAsia" w:ascii="仿宋_GB2312" w:hAnsi="仿宋_GB2312" w:eastAsia="仿宋_GB2312" w:cs="仿宋_GB2312"/>
          <w:b w:val="0"/>
          <w:bCs/>
          <w:kern w:val="0"/>
          <w:sz w:val="32"/>
          <w:szCs w:val="32"/>
          <w:highlight w:val="none"/>
          <w:lang w:val="en-US" w:eastAsia="zh-CN" w:bidi="ar-SA"/>
          <w14:ligatures w14:val="none"/>
        </w:rPr>
        <w:t>气象灾害监测预报预警和防御能力建设工程分三期推进。</w:t>
      </w:r>
    </w:p>
    <w:p w14:paraId="3DFE32BE">
      <w:pPr>
        <w:widowControl w:val="0"/>
        <w:autoSpaceDE/>
        <w:autoSpaceDN/>
        <w:adjustRightInd w:val="0"/>
        <w:spacing w:after="0" w:line="560" w:lineRule="exact"/>
        <w:ind w:firstLine="643" w:firstLineChars="200"/>
        <w:jc w:val="both"/>
        <w:rPr>
          <w:rFonts w:hint="eastAsia" w:ascii="仿宋_GB2312" w:hAnsi="仿宋_GB2312" w:eastAsia="仿宋_GB2312" w:cs="仿宋_GB2312"/>
          <w:b w:val="0"/>
          <w:bCs/>
          <w:kern w:val="0"/>
          <w:sz w:val="32"/>
          <w:szCs w:val="32"/>
          <w:highlight w:val="none"/>
          <w:lang w:val="en-US" w:eastAsia="zh-CN" w:bidi="ar-SA"/>
          <w14:ligatures w14:val="none"/>
        </w:rPr>
      </w:pPr>
      <w:r>
        <w:rPr>
          <w:rFonts w:hint="eastAsia" w:ascii="仿宋_GB2312" w:hAnsi="仿宋_GB2312" w:eastAsia="仿宋_GB2312" w:cs="仿宋_GB2312"/>
          <w:b/>
          <w:bCs w:val="0"/>
          <w:kern w:val="0"/>
          <w:sz w:val="32"/>
          <w:szCs w:val="32"/>
          <w:highlight w:val="none"/>
          <w:lang w:val="en-US" w:eastAsia="zh-CN" w:bidi="ar-SA"/>
          <w14:ligatures w14:val="none"/>
        </w:rPr>
        <w:t>一期实施气象观测基础设施提质升级项目。</w:t>
      </w:r>
      <w:r>
        <w:rPr>
          <w:rFonts w:hint="eastAsia" w:ascii="仿宋_GB2312" w:hAnsi="仿宋_GB2312" w:eastAsia="仿宋_GB2312" w:cs="仿宋_GB2312"/>
          <w:b w:val="0"/>
          <w:bCs/>
          <w:kern w:val="0"/>
          <w:sz w:val="32"/>
          <w:szCs w:val="32"/>
          <w:highlight w:val="none"/>
          <w:lang w:val="en-US" w:eastAsia="zh-CN" w:bidi="ar-SA"/>
          <w14:ligatures w14:val="none"/>
        </w:rPr>
        <w:t>聚焦极端天气高风险区感知盲区与实体算力瓶颈，对全区低洼易涝区、城市蓄滞洪区（如坝河沿线等）现有气象台站开展物理空间加固改造</w:t>
      </w:r>
      <w:r>
        <w:rPr>
          <w:rFonts w:hint="eastAsia"/>
          <w:lang w:val="en-US" w:eastAsia="zh-CN"/>
        </w:rPr>
        <w:t>与配套设施升级</w:t>
      </w:r>
      <w:r>
        <w:rPr>
          <w:rFonts w:hint="eastAsia" w:ascii="仿宋_GB2312" w:hAnsi="仿宋_GB2312" w:eastAsia="仿宋_GB2312" w:cs="仿宋_GB2312"/>
          <w:b w:val="0"/>
          <w:bCs/>
          <w:kern w:val="0"/>
          <w:sz w:val="32"/>
          <w:szCs w:val="32"/>
          <w:highlight w:val="none"/>
          <w:lang w:val="en-US" w:eastAsia="zh-CN" w:bidi="ar-SA"/>
          <w14:ligatures w14:val="none"/>
        </w:rPr>
        <w:t>，规模化部署高标准智能气象站成套硬件，消除监测盲区。</w:t>
      </w:r>
      <w:r>
        <w:rPr>
          <w:rFonts w:hint="eastAsia"/>
          <w:lang w:val="en-US" w:eastAsia="zh-CN"/>
        </w:rPr>
        <w:t>搭建本地边缘计算节点，实现多要素观测数据的实时采集、智能分析与本地缓存，全面提升基础气象观测数据的精度、频次与传输稳定性。</w:t>
      </w:r>
    </w:p>
    <w:p w14:paraId="4DE4DED5">
      <w:pPr>
        <w:widowControl w:val="0"/>
        <w:autoSpaceDE/>
        <w:autoSpaceDN/>
        <w:adjustRightInd w:val="0"/>
        <w:spacing w:after="0" w:line="560" w:lineRule="exact"/>
        <w:ind w:firstLine="643" w:firstLineChars="200"/>
        <w:jc w:val="both"/>
        <w:rPr>
          <w:rFonts w:hint="eastAsia"/>
          <w:lang w:val="en-US" w:eastAsia="zh-CN"/>
        </w:rPr>
      </w:pPr>
      <w:r>
        <w:rPr>
          <w:rFonts w:hint="eastAsia" w:ascii="仿宋_GB2312" w:hAnsi="仿宋_GB2312" w:eastAsia="仿宋_GB2312" w:cs="仿宋_GB2312"/>
          <w:b/>
          <w:bCs w:val="0"/>
          <w:kern w:val="0"/>
          <w:sz w:val="32"/>
          <w:szCs w:val="32"/>
          <w:highlight w:val="none"/>
          <w:lang w:val="en-US" w:eastAsia="zh-CN" w:bidi="ar-SA"/>
          <w14:ligatures w14:val="none"/>
        </w:rPr>
        <w:t>二期实施气象数据处理与指挥算力底座改造</w:t>
      </w:r>
      <w:r>
        <w:rPr>
          <w:rFonts w:hint="eastAsia" w:ascii="仿宋_GB2312" w:hAnsi="仿宋_GB2312" w:cs="仿宋_GB2312"/>
          <w:b/>
          <w:bCs w:val="0"/>
          <w:kern w:val="0"/>
          <w:sz w:val="32"/>
          <w:szCs w:val="32"/>
          <w:highlight w:val="none"/>
          <w:lang w:val="en-US" w:eastAsia="zh-CN" w:bidi="ar-SA"/>
          <w14:ligatures w14:val="none"/>
        </w:rPr>
        <w:t>项目</w:t>
      </w:r>
      <w:r>
        <w:rPr>
          <w:rFonts w:hint="eastAsia" w:ascii="仿宋_GB2312" w:hAnsi="仿宋_GB2312" w:eastAsia="仿宋_GB2312" w:cs="仿宋_GB2312"/>
          <w:b/>
          <w:bCs w:val="0"/>
          <w:kern w:val="0"/>
          <w:sz w:val="32"/>
          <w:szCs w:val="32"/>
          <w:highlight w:val="none"/>
          <w:lang w:val="en-US" w:eastAsia="zh-CN" w:bidi="ar-SA"/>
          <w14:ligatures w14:val="none"/>
        </w:rPr>
        <w:t>。</w:t>
      </w:r>
      <w:r>
        <w:rPr>
          <w:rFonts w:hint="eastAsia" w:ascii="仿宋_GB2312" w:hAnsi="仿宋_GB2312" w:eastAsia="仿宋_GB2312" w:cs="仿宋_GB2312"/>
          <w:b w:val="0"/>
          <w:bCs/>
          <w:kern w:val="0"/>
          <w:sz w:val="32"/>
          <w:szCs w:val="32"/>
          <w:highlight w:val="none"/>
          <w:lang w:val="en-US" w:eastAsia="zh-CN" w:bidi="ar-SA"/>
          <w14:ligatures w14:val="none"/>
        </w:rPr>
        <w:t>围绕多部门联动预警与精细化预报需求，重点开展业务支撑硬件设备的更新换代与集成部署。推进区级气象数据处理机房实体化改造，升级供电、消防、温控等基础设施，更新信息化硬件设备，扩展本地数据存储容量、提升数据运算和处理速度，满足极端天气下的气象数据供给服务需求，实现分钟级、百米级数据解析，为精准预警提供坚实的实体算力支撑。</w:t>
      </w:r>
    </w:p>
    <w:p w14:paraId="096A0A30">
      <w:pPr>
        <w:widowControl w:val="0"/>
        <w:autoSpaceDE/>
        <w:autoSpaceDN/>
        <w:adjustRightInd w:val="0"/>
        <w:spacing w:after="0" w:line="560" w:lineRule="exact"/>
        <w:ind w:firstLine="643" w:firstLineChars="200"/>
        <w:jc w:val="both"/>
        <w:rPr>
          <w:rFonts w:hint="eastAsia" w:ascii="仿宋_GB2312" w:hAnsi="仿宋_GB2312" w:eastAsia="仿宋_GB2312" w:cs="仿宋_GB2312"/>
          <w:b w:val="0"/>
          <w:bCs/>
          <w:kern w:val="0"/>
          <w:sz w:val="32"/>
          <w:szCs w:val="32"/>
          <w:highlight w:val="none"/>
          <w:lang w:val="en-US" w:eastAsia="zh-CN" w:bidi="ar-SA"/>
          <w14:ligatures w14:val="none"/>
        </w:rPr>
      </w:pPr>
      <w:r>
        <w:rPr>
          <w:rFonts w:hint="eastAsia" w:ascii="仿宋_GB2312" w:hAnsi="仿宋_GB2312" w:eastAsia="仿宋_GB2312" w:cs="仿宋_GB2312"/>
          <w:b/>
          <w:bCs w:val="0"/>
          <w:kern w:val="0"/>
          <w:sz w:val="32"/>
          <w:szCs w:val="32"/>
          <w:highlight w:val="none"/>
          <w:lang w:val="en-US" w:eastAsia="zh-CN" w:bidi="ar-SA"/>
          <w14:ligatures w14:val="none"/>
        </w:rPr>
        <w:t>三期实施气象科普与科研基地硬件焕新项目。</w:t>
      </w:r>
      <w:r>
        <w:rPr>
          <w:rFonts w:hint="eastAsia" w:ascii="仿宋_GB2312" w:hAnsi="仿宋_GB2312" w:eastAsia="仿宋_GB2312" w:cs="仿宋_GB2312"/>
          <w:b w:val="0"/>
          <w:bCs/>
          <w:kern w:val="0"/>
          <w:sz w:val="32"/>
          <w:szCs w:val="32"/>
          <w:highlight w:val="none"/>
          <w:lang w:val="en-US" w:eastAsia="zh-CN" w:bidi="ar-SA"/>
          <w14:ligatures w14:val="none"/>
        </w:rPr>
        <w:t>针对服役超十年、技术代差明显的现有气象科普教育基地，进行物理空间改造与升级，系统性淘汰老旧设备，配备新一代AR交互实践装置、气象数据分析终端等实体硬件设施，提升</w:t>
      </w:r>
      <w:r>
        <w:rPr>
          <w:rFonts w:hint="eastAsia" w:ascii="仿宋_GB2312" w:hAnsi="仿宋_GB2312" w:cs="仿宋_GB2312"/>
          <w:b w:val="0"/>
          <w:bCs/>
          <w:kern w:val="0"/>
          <w:sz w:val="32"/>
          <w:szCs w:val="32"/>
          <w:highlight w:val="none"/>
          <w:lang w:val="en-US" w:eastAsia="zh-CN" w:bidi="ar-SA"/>
          <w14:ligatures w14:val="none"/>
        </w:rPr>
        <w:t>朝阳区</w:t>
      </w:r>
      <w:r>
        <w:rPr>
          <w:rFonts w:hint="eastAsia" w:ascii="仿宋_GB2312" w:hAnsi="仿宋_GB2312" w:eastAsia="仿宋_GB2312" w:cs="仿宋_GB2312"/>
          <w:b w:val="0"/>
          <w:bCs/>
          <w:kern w:val="0"/>
          <w:sz w:val="32"/>
          <w:szCs w:val="32"/>
          <w:highlight w:val="none"/>
          <w:lang w:val="en-US" w:eastAsia="zh-CN" w:bidi="ar-SA"/>
          <w14:ligatures w14:val="none"/>
        </w:rPr>
        <w:t>科普教育互动性与科研验证支撑水平</w:t>
      </w:r>
      <w:r>
        <w:rPr>
          <w:rFonts w:hint="eastAsia" w:ascii="仿宋_GB2312" w:hAnsi="仿宋_GB2312" w:cs="仿宋_GB2312"/>
          <w:b w:val="0"/>
          <w:bCs/>
          <w:kern w:val="0"/>
          <w:sz w:val="32"/>
          <w:szCs w:val="32"/>
          <w:highlight w:val="none"/>
          <w:lang w:val="en-US" w:eastAsia="zh-CN" w:bidi="ar-SA"/>
          <w14:ligatures w14:val="none"/>
        </w:rPr>
        <w:t>。</w:t>
      </w:r>
    </w:p>
    <w:bookmarkEnd w:id="45"/>
    <w:p w14:paraId="1046BD7F">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46" w:name="_Toc5527"/>
      <w:bookmarkStart w:id="47" w:name="_Toc32156"/>
      <w:r>
        <w:rPr>
          <w:rFonts w:hint="eastAsia" w:ascii="Times New Roman" w:hAnsi="Times New Roman" w:eastAsia="黑体" w:cs="黑体"/>
          <w:color w:val="000000"/>
          <w:kern w:val="0"/>
          <w:sz w:val="32"/>
          <w:szCs w:val="32"/>
          <w:lang w:val="en-US" w:eastAsia="zh-CN" w:bidi="ar-SA"/>
        </w:rPr>
        <w:t>第二章 朝阳区坝河流域气象</w:t>
      </w:r>
      <w:r>
        <w:rPr>
          <w:rFonts w:hint="eastAsia" w:eastAsia="黑体" w:cs="黑体"/>
          <w:color w:val="000000"/>
          <w:kern w:val="0"/>
          <w:sz w:val="32"/>
          <w:szCs w:val="32"/>
          <w:lang w:val="en-US" w:eastAsia="zh-CN" w:bidi="ar-SA"/>
        </w:rPr>
        <w:t>—</w:t>
      </w:r>
      <w:r>
        <w:rPr>
          <w:rFonts w:hint="eastAsia" w:ascii="Times New Roman" w:hAnsi="Times New Roman" w:eastAsia="黑体" w:cs="黑体"/>
          <w:color w:val="000000"/>
          <w:kern w:val="0"/>
          <w:sz w:val="32"/>
          <w:szCs w:val="32"/>
          <w:lang w:val="en-US" w:eastAsia="zh-CN" w:bidi="ar-SA"/>
        </w:rPr>
        <w:t>水文</w:t>
      </w:r>
      <w:r>
        <w:rPr>
          <w:rFonts w:hint="eastAsia" w:eastAsia="黑体" w:cs="黑体"/>
          <w:color w:val="000000"/>
          <w:kern w:val="0"/>
          <w:sz w:val="32"/>
          <w:szCs w:val="32"/>
          <w:lang w:val="en-US" w:eastAsia="zh-CN" w:bidi="ar-SA"/>
        </w:rPr>
        <w:t>—</w:t>
      </w:r>
      <w:r>
        <w:rPr>
          <w:rFonts w:hint="eastAsia" w:ascii="Times New Roman" w:hAnsi="Times New Roman" w:eastAsia="黑体" w:cs="黑体"/>
          <w:color w:val="000000"/>
          <w:kern w:val="0"/>
          <w:sz w:val="32"/>
          <w:szCs w:val="32"/>
          <w:lang w:val="en-US" w:eastAsia="zh-CN" w:bidi="ar-SA"/>
        </w:rPr>
        <w:t>水污染协同防控工程</w:t>
      </w:r>
      <w:bookmarkEnd w:id="46"/>
      <w:bookmarkEnd w:id="47"/>
    </w:p>
    <w:p w14:paraId="60E2D2D5">
      <w:pPr>
        <w:widowControl w:val="0"/>
        <w:autoSpaceDE/>
        <w:autoSpaceDN/>
        <w:adjustRightInd w:val="0"/>
        <w:spacing w:after="0" w:line="560" w:lineRule="exact"/>
        <w:ind w:firstLine="640" w:firstLineChars="200"/>
        <w:jc w:val="both"/>
        <w:rPr>
          <w:rFonts w:hint="eastAsia" w:ascii="仿宋_GB2312" w:hAnsi="仿宋_GB2312" w:eastAsia="仿宋_GB2312" w:cs="仿宋_GB2312"/>
          <w:b w:val="0"/>
          <w:bCs/>
          <w:kern w:val="0"/>
          <w:sz w:val="32"/>
          <w:szCs w:val="32"/>
          <w:highlight w:val="none"/>
          <w:lang w:val="en-US" w:eastAsia="zh-CN" w:bidi="ar-SA"/>
          <w14:ligatures w14:val="none"/>
        </w:rPr>
      </w:pPr>
      <w:r>
        <w:rPr>
          <w:rFonts w:hint="eastAsia" w:ascii="仿宋_GB2312" w:hAnsi="仿宋_GB2312" w:eastAsia="仿宋_GB2312" w:cs="仿宋_GB2312"/>
          <w:b w:val="0"/>
          <w:bCs/>
          <w:kern w:val="0"/>
          <w:sz w:val="32"/>
          <w:szCs w:val="32"/>
          <w:highlight w:val="none"/>
          <w:lang w:val="en-US" w:eastAsia="zh-CN" w:bidi="ar-SA"/>
          <w14:ligatures w14:val="none"/>
        </w:rPr>
        <w:t>朝阳区坝河流域气象</w:t>
      </w:r>
      <w:r>
        <w:rPr>
          <w:rFonts w:hint="eastAsia" w:ascii="仿宋_GB2312" w:hAnsi="仿宋_GB2312" w:cs="仿宋_GB2312"/>
          <w:b w:val="0"/>
          <w:bCs/>
          <w:kern w:val="0"/>
          <w:sz w:val="32"/>
          <w:szCs w:val="32"/>
          <w:highlight w:val="none"/>
          <w:lang w:val="en-US" w:eastAsia="zh-CN" w:bidi="ar-SA"/>
          <w14:ligatures w14:val="none"/>
        </w:rPr>
        <w:t>—</w:t>
      </w:r>
      <w:r>
        <w:rPr>
          <w:rFonts w:hint="eastAsia" w:ascii="仿宋_GB2312" w:hAnsi="仿宋_GB2312" w:eastAsia="仿宋_GB2312" w:cs="仿宋_GB2312"/>
          <w:b w:val="0"/>
          <w:bCs/>
          <w:kern w:val="0"/>
          <w:sz w:val="32"/>
          <w:szCs w:val="32"/>
          <w:highlight w:val="none"/>
          <w:lang w:val="en-US" w:eastAsia="zh-CN" w:bidi="ar-SA"/>
          <w14:ligatures w14:val="none"/>
        </w:rPr>
        <w:t>水文</w:t>
      </w:r>
      <w:r>
        <w:rPr>
          <w:rFonts w:hint="eastAsia" w:ascii="仿宋_GB2312" w:hAnsi="仿宋_GB2312" w:cs="仿宋_GB2312"/>
          <w:b w:val="0"/>
          <w:bCs/>
          <w:kern w:val="0"/>
          <w:sz w:val="32"/>
          <w:szCs w:val="32"/>
          <w:highlight w:val="none"/>
          <w:lang w:val="en-US" w:eastAsia="zh-CN" w:bidi="ar-SA"/>
          <w14:ligatures w14:val="none"/>
        </w:rPr>
        <w:t>—</w:t>
      </w:r>
      <w:r>
        <w:rPr>
          <w:rFonts w:hint="eastAsia" w:ascii="仿宋_GB2312" w:hAnsi="仿宋_GB2312" w:eastAsia="仿宋_GB2312" w:cs="仿宋_GB2312"/>
          <w:b w:val="0"/>
          <w:bCs/>
          <w:kern w:val="0"/>
          <w:sz w:val="32"/>
          <w:szCs w:val="32"/>
          <w:highlight w:val="none"/>
          <w:lang w:val="en-US" w:eastAsia="zh-CN" w:bidi="ar-SA"/>
          <w14:ligatures w14:val="none"/>
        </w:rPr>
        <w:t>水污染协同防控工程分两期推进。</w:t>
      </w:r>
    </w:p>
    <w:p w14:paraId="032CCEE0">
      <w:pPr>
        <w:widowControl w:val="0"/>
        <w:autoSpaceDE/>
        <w:autoSpaceDN/>
        <w:adjustRightInd w:val="0"/>
        <w:spacing w:after="0" w:line="560" w:lineRule="exact"/>
        <w:ind w:firstLine="643" w:firstLineChars="200"/>
        <w:jc w:val="both"/>
        <w:rPr>
          <w:rFonts w:hint="eastAsia" w:ascii="仿宋_GB2312" w:hAnsi="仿宋_GB2312" w:eastAsia="仿宋_GB2312" w:cs="仿宋_GB2312"/>
          <w:b w:val="0"/>
          <w:bCs/>
          <w:kern w:val="0"/>
          <w:sz w:val="32"/>
          <w:szCs w:val="32"/>
          <w:highlight w:val="none"/>
          <w:lang w:val="en-US" w:eastAsia="zh-CN" w:bidi="ar-SA"/>
          <w14:ligatures w14:val="none"/>
        </w:rPr>
      </w:pPr>
      <w:r>
        <w:rPr>
          <w:rFonts w:hint="eastAsia" w:ascii="仿宋_GB2312" w:hAnsi="仿宋_GB2312" w:eastAsia="仿宋_GB2312" w:cs="仿宋_GB2312"/>
          <w:b/>
          <w:bCs w:val="0"/>
          <w:kern w:val="0"/>
          <w:sz w:val="32"/>
          <w:szCs w:val="32"/>
          <w:highlight w:val="none"/>
          <w:lang w:val="en-US" w:eastAsia="zh-CN" w:bidi="ar-SA"/>
          <w14:ligatures w14:val="none"/>
        </w:rPr>
        <w:t>一期开展朝阳区坝河流域基于降水</w:t>
      </w:r>
      <w:r>
        <w:rPr>
          <w:rFonts w:hint="eastAsia" w:ascii="仿宋_GB2312" w:hAnsi="仿宋_GB2312" w:cs="仿宋_GB2312"/>
          <w:b/>
          <w:bCs w:val="0"/>
          <w:kern w:val="0"/>
          <w:sz w:val="32"/>
          <w:szCs w:val="32"/>
          <w:highlight w:val="none"/>
          <w:lang w:val="en-US" w:eastAsia="zh-CN" w:bidi="ar-SA"/>
          <w14:ligatures w14:val="none"/>
        </w:rPr>
        <w:t>—</w:t>
      </w:r>
      <w:r>
        <w:rPr>
          <w:rFonts w:hint="eastAsia" w:ascii="仿宋_GB2312" w:hAnsi="仿宋_GB2312" w:eastAsia="仿宋_GB2312" w:cs="仿宋_GB2312"/>
          <w:b/>
          <w:bCs w:val="0"/>
          <w:kern w:val="0"/>
          <w:sz w:val="32"/>
          <w:szCs w:val="32"/>
          <w:highlight w:val="none"/>
          <w:lang w:val="en-US" w:eastAsia="zh-CN" w:bidi="ar-SA"/>
          <w14:ligatures w14:val="none"/>
        </w:rPr>
        <w:t>水污染响应机制研究。</w:t>
      </w:r>
      <w:r>
        <w:rPr>
          <w:rFonts w:hint="eastAsia" w:ascii="仿宋_GB2312" w:hAnsi="仿宋_GB2312" w:eastAsia="仿宋_GB2312" w:cs="仿宋_GB2312"/>
          <w:b w:val="0"/>
          <w:bCs/>
          <w:kern w:val="0"/>
          <w:sz w:val="32"/>
          <w:szCs w:val="32"/>
          <w:highlight w:val="none"/>
          <w:lang w:val="en-US" w:eastAsia="zh-CN" w:bidi="ar-SA"/>
          <w14:ligatures w14:val="none"/>
        </w:rPr>
        <w:t>搭建“降水</w:t>
      </w:r>
      <w:r>
        <w:rPr>
          <w:rFonts w:hint="eastAsia" w:ascii="仿宋_GB2312" w:hAnsi="仿宋_GB2312" w:cs="仿宋_GB2312"/>
          <w:b w:val="0"/>
          <w:bCs/>
          <w:kern w:val="0"/>
          <w:sz w:val="32"/>
          <w:szCs w:val="32"/>
          <w:highlight w:val="none"/>
          <w:lang w:val="en-US" w:eastAsia="zh-CN" w:bidi="ar-SA"/>
          <w14:ligatures w14:val="none"/>
        </w:rPr>
        <w:t>—</w:t>
      </w:r>
      <w:r>
        <w:rPr>
          <w:rFonts w:hint="eastAsia" w:ascii="仿宋_GB2312" w:hAnsi="仿宋_GB2312" w:eastAsia="仿宋_GB2312" w:cs="仿宋_GB2312"/>
          <w:b w:val="0"/>
          <w:bCs/>
          <w:kern w:val="0"/>
          <w:sz w:val="32"/>
          <w:szCs w:val="32"/>
          <w:highlight w:val="none"/>
          <w:lang w:val="en-US" w:eastAsia="zh-CN" w:bidi="ar-SA"/>
          <w14:ligatures w14:val="none"/>
        </w:rPr>
        <w:t>水质”数据库，开展降水对污染迁移转化的定量影响分析。构建“淹没模拟</w:t>
      </w:r>
      <w:r>
        <w:rPr>
          <w:rFonts w:hint="eastAsia" w:ascii="仿宋_GB2312" w:hAnsi="仿宋_GB2312" w:cs="仿宋_GB2312"/>
          <w:b w:val="0"/>
          <w:bCs/>
          <w:kern w:val="0"/>
          <w:sz w:val="32"/>
          <w:szCs w:val="32"/>
          <w:highlight w:val="none"/>
          <w:lang w:val="en-US" w:eastAsia="zh-CN" w:bidi="ar-SA"/>
          <w14:ligatures w14:val="none"/>
        </w:rPr>
        <w:t>+</w:t>
      </w:r>
      <w:r>
        <w:rPr>
          <w:rFonts w:hint="eastAsia" w:ascii="仿宋_GB2312" w:hAnsi="仿宋_GB2312" w:eastAsia="仿宋_GB2312" w:cs="仿宋_GB2312"/>
          <w:b w:val="0"/>
          <w:bCs/>
          <w:kern w:val="0"/>
          <w:sz w:val="32"/>
          <w:szCs w:val="32"/>
          <w:highlight w:val="none"/>
          <w:lang w:val="en-US" w:eastAsia="zh-CN" w:bidi="ar-SA"/>
          <w14:ligatures w14:val="none"/>
        </w:rPr>
        <w:t>水质关联”双模型，为降水驱动下的流域污染治理与生态修复提供策略。</w:t>
      </w:r>
    </w:p>
    <w:p w14:paraId="57D1570F">
      <w:pPr>
        <w:widowControl w:val="0"/>
        <w:autoSpaceDE/>
        <w:autoSpaceDN/>
        <w:adjustRightInd w:val="0"/>
        <w:spacing w:after="0" w:line="560" w:lineRule="exact"/>
        <w:ind w:firstLine="643" w:firstLineChars="200"/>
        <w:jc w:val="both"/>
        <w:rPr>
          <w:rFonts w:hint="eastAsia" w:ascii="仿宋_GB2312" w:hAnsi="仿宋_GB2312" w:eastAsia="仿宋_GB2312" w:cs="仿宋_GB2312"/>
          <w:b w:val="0"/>
          <w:bCs/>
          <w:kern w:val="0"/>
          <w:sz w:val="32"/>
          <w:szCs w:val="32"/>
          <w:highlight w:val="none"/>
          <w:lang w:val="en-US" w:eastAsia="zh-CN" w:bidi="ar-SA"/>
          <w14:ligatures w14:val="none"/>
        </w:rPr>
      </w:pPr>
      <w:r>
        <w:rPr>
          <w:rFonts w:hint="eastAsia" w:ascii="仿宋_GB2312" w:hAnsi="仿宋_GB2312" w:eastAsia="仿宋_GB2312" w:cs="仿宋_GB2312"/>
          <w:b/>
          <w:bCs w:val="0"/>
          <w:kern w:val="0"/>
          <w:sz w:val="32"/>
          <w:szCs w:val="32"/>
          <w:highlight w:val="none"/>
          <w:lang w:val="en-US" w:eastAsia="zh-CN" w:bidi="ar-SA"/>
          <w14:ligatures w14:val="none"/>
        </w:rPr>
        <w:t>二期打造朝阳区坝河流域气象</w:t>
      </w:r>
      <w:r>
        <w:rPr>
          <w:rFonts w:hint="eastAsia" w:ascii="仿宋_GB2312" w:hAnsi="仿宋_GB2312" w:cs="仿宋_GB2312"/>
          <w:b/>
          <w:bCs w:val="0"/>
          <w:kern w:val="0"/>
          <w:sz w:val="32"/>
          <w:szCs w:val="32"/>
          <w:highlight w:val="none"/>
          <w:lang w:val="en-US" w:eastAsia="zh-CN" w:bidi="ar-SA"/>
          <w14:ligatures w14:val="none"/>
        </w:rPr>
        <w:t>—</w:t>
      </w:r>
      <w:r>
        <w:rPr>
          <w:rFonts w:hint="eastAsia" w:ascii="仿宋_GB2312" w:hAnsi="仿宋_GB2312" w:eastAsia="仿宋_GB2312" w:cs="仿宋_GB2312"/>
          <w:b/>
          <w:bCs w:val="0"/>
          <w:kern w:val="0"/>
          <w:sz w:val="32"/>
          <w:szCs w:val="32"/>
          <w:highlight w:val="none"/>
          <w:lang w:val="en-US" w:eastAsia="zh-CN" w:bidi="ar-SA"/>
          <w14:ligatures w14:val="none"/>
        </w:rPr>
        <w:t>水文联动预警与污染防控工程建设项目。</w:t>
      </w:r>
      <w:r>
        <w:rPr>
          <w:rFonts w:hint="eastAsia" w:ascii="仿宋_GB2312" w:hAnsi="仿宋_GB2312" w:eastAsia="仿宋_GB2312" w:cs="仿宋_GB2312"/>
          <w:b w:val="0"/>
          <w:bCs/>
          <w:kern w:val="0"/>
          <w:sz w:val="32"/>
          <w:szCs w:val="32"/>
          <w:highlight w:val="none"/>
          <w:lang w:val="en-US" w:eastAsia="zh-CN" w:bidi="ar-SA"/>
          <w14:ligatures w14:val="none"/>
        </w:rPr>
        <w:t>基于一期的响应模型，搭建流域专属预警平台，实现水质突变提前预警、污染范围精准预判。在流域关键节点建设生态缓冲带、应急拦截设施，配套智能化调控设备，实现预警后快速防控。建立气象、水务、生态环境部门联动处置机制，定期开展流域防控演练。</w:t>
      </w:r>
    </w:p>
    <w:p w14:paraId="42DFB65D">
      <w:pPr>
        <w:widowControl w:val="0"/>
        <w:autoSpaceDE/>
        <w:autoSpaceDN/>
        <w:adjustRightInd w:val="0"/>
        <w:spacing w:after="0" w:line="560" w:lineRule="exact"/>
        <w:ind w:firstLine="600" w:firstLineChars="200"/>
        <w:jc w:val="both"/>
        <w:rPr>
          <w:rFonts w:hint="eastAsia" w:ascii="仿宋_GB2312" w:hAnsi="仿宋_GB2312" w:eastAsia="仿宋_GB2312" w:cs="仿宋_GB2312"/>
          <w:b w:val="0"/>
          <w:bCs/>
          <w:kern w:val="0"/>
          <w:sz w:val="30"/>
          <w:szCs w:val="30"/>
          <w:highlight w:val="none"/>
          <w:lang w:val="en-US" w:eastAsia="zh-CN" w:bidi="ar-SA"/>
          <w14:ligatures w14:val="none"/>
        </w:rPr>
      </w:pPr>
    </w:p>
    <w:p w14:paraId="0A14B473">
      <w:pPr>
        <w:pStyle w:val="25"/>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kern w:val="44"/>
          <w:sz w:val="36"/>
          <w:szCs w:val="36"/>
          <w:lang w:val="en-US" w:eastAsia="zh-CN"/>
        </w:rPr>
      </w:pPr>
      <w:bookmarkStart w:id="48" w:name="_Toc28287"/>
      <w:bookmarkStart w:id="49" w:name="_Toc31254"/>
      <w:r>
        <w:rPr>
          <w:rFonts w:hint="eastAsia" w:ascii="Times New Roman" w:hAnsi="Times New Roman" w:eastAsia="方正小标宋简体" w:cs="Times New Roman"/>
          <w:kern w:val="44"/>
          <w:sz w:val="36"/>
          <w:szCs w:val="36"/>
          <w:lang w:val="en-US" w:eastAsia="zh-CN"/>
        </w:rPr>
        <w:t>第六篇 保障措施</w:t>
      </w:r>
      <w:bookmarkEnd w:id="48"/>
      <w:bookmarkEnd w:id="49"/>
    </w:p>
    <w:p w14:paraId="230CEC3A">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50" w:name="_Toc9917"/>
      <w:bookmarkStart w:id="51" w:name="_Toc22526"/>
      <w:r>
        <w:rPr>
          <w:rFonts w:hint="eastAsia" w:ascii="Times New Roman" w:hAnsi="Times New Roman" w:eastAsia="黑体" w:cs="黑体"/>
          <w:color w:val="000000"/>
          <w:kern w:val="0"/>
          <w:sz w:val="32"/>
          <w:szCs w:val="32"/>
          <w:lang w:val="en-US" w:eastAsia="zh-CN" w:bidi="ar-SA"/>
        </w:rPr>
        <w:t>第一章 强化组织领导</w:t>
      </w:r>
      <w:bookmarkEnd w:id="50"/>
      <w:bookmarkEnd w:id="51"/>
    </w:p>
    <w:p w14:paraId="6E8E0E41">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Times New Roman" w:hAnsi="Times New Roman" w:eastAsia="仿宋_GB2312" w:cs="Times New Roman"/>
          <w:b w:val="0"/>
          <w:bCs/>
          <w:kern w:val="0"/>
          <w:sz w:val="32"/>
          <w:szCs w:val="32"/>
          <w:highlight w:val="none"/>
          <w:lang w:val="en-US" w:eastAsia="zh-CN"/>
        </w:rPr>
      </w:pPr>
      <w:r>
        <w:rPr>
          <w:rFonts w:hint="eastAsia" w:ascii="Times New Roman" w:hAnsi="Times New Roman" w:eastAsia="仿宋_GB2312" w:cs="Times New Roman"/>
          <w:b w:val="0"/>
          <w:bCs/>
          <w:kern w:val="0"/>
          <w:sz w:val="32"/>
          <w:szCs w:val="32"/>
          <w:highlight w:val="none"/>
          <w:lang w:val="en-US" w:eastAsia="zh-CN"/>
        </w:rPr>
        <w:t>成立规划实施领导小组，负责规划的组织实施和监督检查工作。明确各部门和单位的职责和任务分工，确保规划各项任务的顺利推进。加强规划实施过程中的统筹协调和督促检查工作，及时解决规划实施过程中出现的问题和困难。</w:t>
      </w:r>
    </w:p>
    <w:p w14:paraId="59BF8994">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52" w:name="_Toc24588"/>
      <w:bookmarkStart w:id="53" w:name="_Toc10744"/>
      <w:r>
        <w:rPr>
          <w:rFonts w:hint="eastAsia" w:ascii="Times New Roman" w:hAnsi="Times New Roman" w:eastAsia="黑体" w:cs="黑体"/>
          <w:color w:val="000000"/>
          <w:kern w:val="0"/>
          <w:sz w:val="32"/>
          <w:szCs w:val="32"/>
          <w:lang w:val="en-US" w:eastAsia="zh-CN" w:bidi="ar-SA"/>
        </w:rPr>
        <w:t>第二章 加强政策支持</w:t>
      </w:r>
      <w:bookmarkEnd w:id="52"/>
      <w:bookmarkEnd w:id="53"/>
    </w:p>
    <w:p w14:paraId="50E83549">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Times New Roman" w:hAnsi="Times New Roman" w:eastAsia="仿宋_GB2312" w:cs="Times New Roman"/>
          <w:b w:val="0"/>
          <w:bCs/>
          <w:kern w:val="0"/>
          <w:sz w:val="32"/>
          <w:szCs w:val="32"/>
          <w:highlight w:val="none"/>
          <w:lang w:val="en-US" w:eastAsia="zh-CN"/>
        </w:rPr>
      </w:pPr>
      <w:r>
        <w:rPr>
          <w:rFonts w:hint="eastAsia" w:ascii="Times New Roman" w:hAnsi="Times New Roman" w:eastAsia="仿宋_GB2312" w:cs="Times New Roman"/>
          <w:b w:val="0"/>
          <w:bCs/>
          <w:kern w:val="0"/>
          <w:sz w:val="32"/>
          <w:szCs w:val="32"/>
          <w:highlight w:val="none"/>
          <w:lang w:val="en-US" w:eastAsia="zh-CN"/>
        </w:rPr>
        <w:t>落实国家、北京市以及朝阳区相关政策，制定配套措施，为气象事业发展提供政策保障。加强政策宣传解读，提高政策知晓度和执行力度，确保政策落地见效。</w:t>
      </w:r>
    </w:p>
    <w:p w14:paraId="54B417F5">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54" w:name="_Toc22190"/>
      <w:bookmarkStart w:id="55" w:name="_Toc30310"/>
      <w:r>
        <w:rPr>
          <w:rFonts w:hint="eastAsia" w:ascii="Times New Roman" w:hAnsi="Times New Roman" w:eastAsia="黑体" w:cs="黑体"/>
          <w:color w:val="000000"/>
          <w:kern w:val="0"/>
          <w:sz w:val="32"/>
          <w:szCs w:val="32"/>
          <w:lang w:val="en-US" w:eastAsia="zh-CN" w:bidi="ar-SA"/>
        </w:rPr>
        <w:t xml:space="preserve">第三章 </w:t>
      </w:r>
      <w:r>
        <w:rPr>
          <w:rFonts w:hint="eastAsia" w:eastAsia="黑体" w:cs="黑体"/>
          <w:color w:val="000000"/>
          <w:kern w:val="0"/>
          <w:sz w:val="32"/>
          <w:szCs w:val="32"/>
          <w:lang w:val="en-US" w:eastAsia="zh-CN" w:bidi="ar-SA"/>
        </w:rPr>
        <w:t>强化</w:t>
      </w:r>
      <w:r>
        <w:rPr>
          <w:rFonts w:hint="eastAsia" w:ascii="Times New Roman" w:hAnsi="Times New Roman" w:eastAsia="黑体" w:cs="黑体"/>
          <w:color w:val="000000"/>
          <w:kern w:val="0"/>
          <w:sz w:val="32"/>
          <w:szCs w:val="32"/>
          <w:lang w:val="en-US" w:eastAsia="zh-CN" w:bidi="ar-SA"/>
        </w:rPr>
        <w:t>资金保障</w:t>
      </w:r>
      <w:bookmarkEnd w:id="54"/>
      <w:bookmarkEnd w:id="55"/>
    </w:p>
    <w:p w14:paraId="482646EC">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Times New Roman" w:hAnsi="Times New Roman" w:eastAsia="仿宋_GB2312" w:cs="Times New Roman"/>
          <w:b w:val="0"/>
          <w:bCs/>
          <w:kern w:val="0"/>
          <w:sz w:val="32"/>
          <w:szCs w:val="32"/>
          <w:highlight w:val="none"/>
          <w:lang w:val="en-US" w:eastAsia="zh-CN"/>
        </w:rPr>
      </w:pPr>
      <w:r>
        <w:rPr>
          <w:rFonts w:hint="eastAsia" w:ascii="Times New Roman" w:hAnsi="Times New Roman" w:eastAsia="仿宋_GB2312" w:cs="Times New Roman"/>
          <w:b w:val="0"/>
          <w:bCs/>
          <w:kern w:val="0"/>
          <w:sz w:val="32"/>
          <w:szCs w:val="32"/>
          <w:highlight w:val="none"/>
          <w:lang w:val="en-US" w:eastAsia="zh-CN"/>
        </w:rPr>
        <w:t>积极申请中央与地方财政支持，拓宽融资渠道，为气象事业发展提供资金保障。加强资金管理，提高资金使用效率，确保资金专款专用，保障气象事业发展需求。</w:t>
      </w:r>
    </w:p>
    <w:p w14:paraId="61D6D7B5">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jc w:val="center"/>
        <w:textAlignment w:val="auto"/>
        <w:outlineLvl w:val="1"/>
        <w:rPr>
          <w:rFonts w:hint="eastAsia" w:ascii="Times New Roman" w:hAnsi="Times New Roman" w:eastAsia="黑体" w:cs="黑体"/>
          <w:color w:val="000000"/>
          <w:kern w:val="0"/>
          <w:sz w:val="32"/>
          <w:szCs w:val="32"/>
          <w:lang w:val="en-US" w:eastAsia="zh-CN" w:bidi="ar-SA"/>
        </w:rPr>
      </w:pPr>
      <w:bookmarkStart w:id="56" w:name="_Toc28950"/>
      <w:bookmarkStart w:id="57" w:name="_Toc31153"/>
      <w:r>
        <w:rPr>
          <w:rFonts w:hint="eastAsia" w:ascii="Times New Roman" w:hAnsi="Times New Roman" w:eastAsia="黑体" w:cs="黑体"/>
          <w:color w:val="000000"/>
          <w:kern w:val="0"/>
          <w:sz w:val="32"/>
          <w:szCs w:val="32"/>
          <w:lang w:val="en-US" w:eastAsia="zh-CN" w:bidi="ar-SA"/>
        </w:rPr>
        <w:t>第四章 增强人才培养</w:t>
      </w:r>
      <w:bookmarkEnd w:id="56"/>
      <w:bookmarkEnd w:id="57"/>
    </w:p>
    <w:p w14:paraId="26C790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sz w:val="32"/>
          <w:szCs w:val="32"/>
          <w:lang w:val="en-US" w:eastAsia="zh-CN"/>
        </w:rPr>
      </w:pPr>
      <w:r>
        <w:rPr>
          <w:rFonts w:hint="eastAsia" w:ascii="Times New Roman" w:hAnsi="Times New Roman" w:eastAsia="仿宋_GB2312" w:cs="Times New Roman"/>
          <w:b w:val="0"/>
          <w:bCs/>
          <w:kern w:val="0"/>
          <w:sz w:val="32"/>
          <w:szCs w:val="32"/>
          <w:highlight w:val="none"/>
          <w:lang w:val="en-US" w:eastAsia="zh-CN"/>
        </w:rPr>
        <w:t>加快</w:t>
      </w:r>
      <w:r>
        <w:rPr>
          <w:rFonts w:hint="default" w:ascii="Times New Roman" w:hAnsi="Times New Roman" w:eastAsia="仿宋_GB2312" w:cs="Times New Roman"/>
          <w:b w:val="0"/>
          <w:bCs/>
          <w:kern w:val="0"/>
          <w:sz w:val="32"/>
          <w:szCs w:val="32"/>
          <w:highlight w:val="none"/>
          <w:lang w:val="en-US" w:eastAsia="zh-CN"/>
        </w:rPr>
        <w:t>人才培养工作</w:t>
      </w:r>
      <w:r>
        <w:rPr>
          <w:rFonts w:hint="eastAsia" w:ascii="Times New Roman" w:hAnsi="Times New Roman" w:eastAsia="仿宋_GB2312" w:cs="Times New Roman"/>
          <w:b w:val="0"/>
          <w:bCs/>
          <w:kern w:val="0"/>
          <w:sz w:val="32"/>
          <w:szCs w:val="32"/>
          <w:highlight w:val="none"/>
          <w:lang w:val="en-US" w:eastAsia="zh-CN"/>
        </w:rPr>
        <w:t>，建立完善的气象科技创新体系和人才培养机制，用活用好国家、部门、北京市、朝阳区人才政策，合理保障人才培养多层次、多维度需求，提升朝阳区气象事业的整体竞争力和影响力。加强气象教育与培训工作，提升气象队伍的整体素质和业务能力。</w:t>
      </w:r>
      <w:r>
        <w:rPr>
          <w:rFonts w:hint="eastAsia" w:cs="Times New Roman"/>
          <w:b w:val="0"/>
          <w:bCs/>
          <w:kern w:val="0"/>
          <w:sz w:val="32"/>
          <w:szCs w:val="32"/>
          <w:highlight w:val="none"/>
          <w:lang w:val="en-US" w:eastAsia="zh-CN"/>
        </w:rPr>
        <w:t xml:space="preserve"> </w:t>
      </w:r>
    </w:p>
    <w:sectPr>
      <w:footerReference r:id="rId4"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30F64">
    <w:pPr>
      <w:pStyle w:val="8"/>
      <w:tabs>
        <w:tab w:val="clear" w:pos="4153"/>
      </w:tabs>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1484F">
    <w:pPr>
      <w:pStyle w:val="8"/>
      <w:tabs>
        <w:tab w:val="clear" w:pos="4153"/>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71D34237">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vert="horz" wrap="none" lIns="0" tIns="0" rIns="0" bIns="0" anchor="t"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Okqg54QEAALkDAAAOAAAA&#10;AAAAAAEAIAAAAB4BAABkcnMvZTJvRG9jLnhtbFBLBQYAAAAABgAGAFkBAABxBQAAAAA=&#10;">
              <v:fill on="f" focussize="0,0"/>
              <v:stroke on="f"/>
              <v:imagedata o:title=""/>
              <o:lock v:ext="edit" aspectratio="f"/>
              <v:textbox inset="0mm,0mm,0mm,0mm" style="mso-fit-shape-to-text:t;">
                <w:txbxContent>
                  <w:p w14:paraId="71D34237">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2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FA7"/>
    <w:rsid w:val="00005168"/>
    <w:rsid w:val="0001683B"/>
    <w:rsid w:val="00017F72"/>
    <w:rsid w:val="000258F1"/>
    <w:rsid w:val="0003107D"/>
    <w:rsid w:val="00031CFE"/>
    <w:rsid w:val="0003241B"/>
    <w:rsid w:val="00033890"/>
    <w:rsid w:val="000346C6"/>
    <w:rsid w:val="00034C54"/>
    <w:rsid w:val="000371C0"/>
    <w:rsid w:val="00037F1B"/>
    <w:rsid w:val="000433DF"/>
    <w:rsid w:val="00044B06"/>
    <w:rsid w:val="000506F4"/>
    <w:rsid w:val="00061AA1"/>
    <w:rsid w:val="00073926"/>
    <w:rsid w:val="000747AD"/>
    <w:rsid w:val="00077244"/>
    <w:rsid w:val="00080388"/>
    <w:rsid w:val="0008554C"/>
    <w:rsid w:val="00091FFA"/>
    <w:rsid w:val="00094229"/>
    <w:rsid w:val="00096475"/>
    <w:rsid w:val="000A6AC7"/>
    <w:rsid w:val="000A782C"/>
    <w:rsid w:val="000B35FE"/>
    <w:rsid w:val="000C67FA"/>
    <w:rsid w:val="000C6A8F"/>
    <w:rsid w:val="000D2CB5"/>
    <w:rsid w:val="000D36B1"/>
    <w:rsid w:val="000D4C05"/>
    <w:rsid w:val="000E10EA"/>
    <w:rsid w:val="000E2D42"/>
    <w:rsid w:val="000E2FDD"/>
    <w:rsid w:val="000F7378"/>
    <w:rsid w:val="000F76DF"/>
    <w:rsid w:val="000F796C"/>
    <w:rsid w:val="00101BC2"/>
    <w:rsid w:val="00103F05"/>
    <w:rsid w:val="001069EB"/>
    <w:rsid w:val="001100B5"/>
    <w:rsid w:val="00112C88"/>
    <w:rsid w:val="00115613"/>
    <w:rsid w:val="001212EE"/>
    <w:rsid w:val="0012329B"/>
    <w:rsid w:val="001246C0"/>
    <w:rsid w:val="00126C33"/>
    <w:rsid w:val="00131EFA"/>
    <w:rsid w:val="001374A1"/>
    <w:rsid w:val="001378C5"/>
    <w:rsid w:val="0014446B"/>
    <w:rsid w:val="00150409"/>
    <w:rsid w:val="00153D35"/>
    <w:rsid w:val="001565CE"/>
    <w:rsid w:val="00157A13"/>
    <w:rsid w:val="001601B4"/>
    <w:rsid w:val="00162709"/>
    <w:rsid w:val="00164672"/>
    <w:rsid w:val="00164853"/>
    <w:rsid w:val="00171B2D"/>
    <w:rsid w:val="00172A79"/>
    <w:rsid w:val="00175852"/>
    <w:rsid w:val="001878E6"/>
    <w:rsid w:val="00190C9C"/>
    <w:rsid w:val="001940CA"/>
    <w:rsid w:val="001A067C"/>
    <w:rsid w:val="001A1BBD"/>
    <w:rsid w:val="001A2428"/>
    <w:rsid w:val="001A3C7C"/>
    <w:rsid w:val="001A6398"/>
    <w:rsid w:val="001A71EB"/>
    <w:rsid w:val="001B3D09"/>
    <w:rsid w:val="001B40D0"/>
    <w:rsid w:val="001B5AFB"/>
    <w:rsid w:val="001B681C"/>
    <w:rsid w:val="001C7DB1"/>
    <w:rsid w:val="001D03DC"/>
    <w:rsid w:val="001D209D"/>
    <w:rsid w:val="001D2376"/>
    <w:rsid w:val="001D2AD7"/>
    <w:rsid w:val="001E134A"/>
    <w:rsid w:val="001E14A5"/>
    <w:rsid w:val="001E2DCA"/>
    <w:rsid w:val="001E65E7"/>
    <w:rsid w:val="001E67F1"/>
    <w:rsid w:val="001F0880"/>
    <w:rsid w:val="001F42AA"/>
    <w:rsid w:val="002074AF"/>
    <w:rsid w:val="00207C38"/>
    <w:rsid w:val="00212EED"/>
    <w:rsid w:val="00214592"/>
    <w:rsid w:val="0022078B"/>
    <w:rsid w:val="00221A35"/>
    <w:rsid w:val="00221B7A"/>
    <w:rsid w:val="002238C9"/>
    <w:rsid w:val="002250FC"/>
    <w:rsid w:val="002253C5"/>
    <w:rsid w:val="002329BE"/>
    <w:rsid w:val="0023375A"/>
    <w:rsid w:val="00241467"/>
    <w:rsid w:val="00244A08"/>
    <w:rsid w:val="00255A9E"/>
    <w:rsid w:val="00274523"/>
    <w:rsid w:val="00277B89"/>
    <w:rsid w:val="002854CC"/>
    <w:rsid w:val="00297560"/>
    <w:rsid w:val="0029775E"/>
    <w:rsid w:val="002A1E99"/>
    <w:rsid w:val="002A6641"/>
    <w:rsid w:val="002B2D60"/>
    <w:rsid w:val="002B7EE7"/>
    <w:rsid w:val="002C0FBB"/>
    <w:rsid w:val="002C3141"/>
    <w:rsid w:val="002C331C"/>
    <w:rsid w:val="002C543C"/>
    <w:rsid w:val="002C5839"/>
    <w:rsid w:val="002C5F7C"/>
    <w:rsid w:val="002D5BCE"/>
    <w:rsid w:val="002E48FB"/>
    <w:rsid w:val="002E6D9B"/>
    <w:rsid w:val="002E71B4"/>
    <w:rsid w:val="00300416"/>
    <w:rsid w:val="00303702"/>
    <w:rsid w:val="00305142"/>
    <w:rsid w:val="00307FAC"/>
    <w:rsid w:val="003118DA"/>
    <w:rsid w:val="00314711"/>
    <w:rsid w:val="0031641D"/>
    <w:rsid w:val="003231C5"/>
    <w:rsid w:val="0032393D"/>
    <w:rsid w:val="003334D9"/>
    <w:rsid w:val="00333FE2"/>
    <w:rsid w:val="0033480F"/>
    <w:rsid w:val="00337E73"/>
    <w:rsid w:val="003438A3"/>
    <w:rsid w:val="00344169"/>
    <w:rsid w:val="003540BF"/>
    <w:rsid w:val="0035620B"/>
    <w:rsid w:val="00356BE7"/>
    <w:rsid w:val="00360279"/>
    <w:rsid w:val="00361EEE"/>
    <w:rsid w:val="00372866"/>
    <w:rsid w:val="00374959"/>
    <w:rsid w:val="00375B5C"/>
    <w:rsid w:val="0038045E"/>
    <w:rsid w:val="00385A81"/>
    <w:rsid w:val="0038653C"/>
    <w:rsid w:val="00387046"/>
    <w:rsid w:val="00391946"/>
    <w:rsid w:val="003B11AA"/>
    <w:rsid w:val="003B50DB"/>
    <w:rsid w:val="003B781C"/>
    <w:rsid w:val="003C3685"/>
    <w:rsid w:val="003D2662"/>
    <w:rsid w:val="003D6418"/>
    <w:rsid w:val="003E0F4E"/>
    <w:rsid w:val="003E3EB6"/>
    <w:rsid w:val="003E68C6"/>
    <w:rsid w:val="003F07A2"/>
    <w:rsid w:val="003F6387"/>
    <w:rsid w:val="0041097A"/>
    <w:rsid w:val="004113B6"/>
    <w:rsid w:val="0042043D"/>
    <w:rsid w:val="004249A2"/>
    <w:rsid w:val="00424BAB"/>
    <w:rsid w:val="00432604"/>
    <w:rsid w:val="00432F54"/>
    <w:rsid w:val="00432F9A"/>
    <w:rsid w:val="00434AB4"/>
    <w:rsid w:val="00437CBF"/>
    <w:rsid w:val="0044492B"/>
    <w:rsid w:val="00452D36"/>
    <w:rsid w:val="00453D01"/>
    <w:rsid w:val="00454CDA"/>
    <w:rsid w:val="00456506"/>
    <w:rsid w:val="00457C40"/>
    <w:rsid w:val="0046074B"/>
    <w:rsid w:val="00463EC8"/>
    <w:rsid w:val="0046413B"/>
    <w:rsid w:val="00472ED6"/>
    <w:rsid w:val="00476103"/>
    <w:rsid w:val="00477F19"/>
    <w:rsid w:val="004A334E"/>
    <w:rsid w:val="004A47F5"/>
    <w:rsid w:val="004B42B1"/>
    <w:rsid w:val="004C064A"/>
    <w:rsid w:val="004D259C"/>
    <w:rsid w:val="004D3E47"/>
    <w:rsid w:val="004D45F9"/>
    <w:rsid w:val="004D50E0"/>
    <w:rsid w:val="004D7FE4"/>
    <w:rsid w:val="004E0185"/>
    <w:rsid w:val="004E1BCF"/>
    <w:rsid w:val="004E78C3"/>
    <w:rsid w:val="004F458A"/>
    <w:rsid w:val="004F5CD1"/>
    <w:rsid w:val="005041C5"/>
    <w:rsid w:val="00505766"/>
    <w:rsid w:val="00506061"/>
    <w:rsid w:val="0050708F"/>
    <w:rsid w:val="00507C8C"/>
    <w:rsid w:val="00507D32"/>
    <w:rsid w:val="00507D67"/>
    <w:rsid w:val="00516463"/>
    <w:rsid w:val="005176BE"/>
    <w:rsid w:val="00540C61"/>
    <w:rsid w:val="0054335B"/>
    <w:rsid w:val="00547F90"/>
    <w:rsid w:val="00556D50"/>
    <w:rsid w:val="00557FA4"/>
    <w:rsid w:val="00561D11"/>
    <w:rsid w:val="005649A9"/>
    <w:rsid w:val="00566370"/>
    <w:rsid w:val="00570AE7"/>
    <w:rsid w:val="00572724"/>
    <w:rsid w:val="00580B2E"/>
    <w:rsid w:val="0058317B"/>
    <w:rsid w:val="00585798"/>
    <w:rsid w:val="00587175"/>
    <w:rsid w:val="00590CF7"/>
    <w:rsid w:val="00592675"/>
    <w:rsid w:val="00593C6C"/>
    <w:rsid w:val="00594BE7"/>
    <w:rsid w:val="005A0AEA"/>
    <w:rsid w:val="005A13C6"/>
    <w:rsid w:val="005A17F6"/>
    <w:rsid w:val="005B1AD9"/>
    <w:rsid w:val="005D1042"/>
    <w:rsid w:val="005D1F01"/>
    <w:rsid w:val="005D4E16"/>
    <w:rsid w:val="005E39C2"/>
    <w:rsid w:val="005E7DA6"/>
    <w:rsid w:val="005F2C3F"/>
    <w:rsid w:val="005F6F03"/>
    <w:rsid w:val="006004FA"/>
    <w:rsid w:val="006016E5"/>
    <w:rsid w:val="006059A8"/>
    <w:rsid w:val="0061198F"/>
    <w:rsid w:val="00613C44"/>
    <w:rsid w:val="00616363"/>
    <w:rsid w:val="006174FD"/>
    <w:rsid w:val="00622C77"/>
    <w:rsid w:val="00623187"/>
    <w:rsid w:val="00623512"/>
    <w:rsid w:val="00623F9F"/>
    <w:rsid w:val="00626106"/>
    <w:rsid w:val="006343EB"/>
    <w:rsid w:val="006374DB"/>
    <w:rsid w:val="006378B2"/>
    <w:rsid w:val="0064493E"/>
    <w:rsid w:val="0064515E"/>
    <w:rsid w:val="006455CB"/>
    <w:rsid w:val="00646BA3"/>
    <w:rsid w:val="00647601"/>
    <w:rsid w:val="00650FC4"/>
    <w:rsid w:val="00654FEF"/>
    <w:rsid w:val="0065530B"/>
    <w:rsid w:val="00655D90"/>
    <w:rsid w:val="00656460"/>
    <w:rsid w:val="00661EB8"/>
    <w:rsid w:val="0066510D"/>
    <w:rsid w:val="00665D6C"/>
    <w:rsid w:val="0067030D"/>
    <w:rsid w:val="006703BA"/>
    <w:rsid w:val="006715DB"/>
    <w:rsid w:val="00674BDB"/>
    <w:rsid w:val="006822D3"/>
    <w:rsid w:val="00682D0D"/>
    <w:rsid w:val="00685ACD"/>
    <w:rsid w:val="006918CB"/>
    <w:rsid w:val="006A182C"/>
    <w:rsid w:val="006A2606"/>
    <w:rsid w:val="006A365F"/>
    <w:rsid w:val="006A78B0"/>
    <w:rsid w:val="006A7C46"/>
    <w:rsid w:val="006B5595"/>
    <w:rsid w:val="006B712E"/>
    <w:rsid w:val="006C0D6D"/>
    <w:rsid w:val="006C5A18"/>
    <w:rsid w:val="006C700E"/>
    <w:rsid w:val="006C7527"/>
    <w:rsid w:val="006D2053"/>
    <w:rsid w:val="006D516A"/>
    <w:rsid w:val="006D7277"/>
    <w:rsid w:val="006D75B0"/>
    <w:rsid w:val="006E27AC"/>
    <w:rsid w:val="006E2A8D"/>
    <w:rsid w:val="006F1F47"/>
    <w:rsid w:val="006F3B81"/>
    <w:rsid w:val="006F753A"/>
    <w:rsid w:val="00702088"/>
    <w:rsid w:val="0070487D"/>
    <w:rsid w:val="00713D0D"/>
    <w:rsid w:val="00724E15"/>
    <w:rsid w:val="00726C88"/>
    <w:rsid w:val="00733FA7"/>
    <w:rsid w:val="00737D45"/>
    <w:rsid w:val="007419E3"/>
    <w:rsid w:val="00744455"/>
    <w:rsid w:val="00744C17"/>
    <w:rsid w:val="007557D5"/>
    <w:rsid w:val="007561FC"/>
    <w:rsid w:val="00756AD7"/>
    <w:rsid w:val="00756B75"/>
    <w:rsid w:val="007573A4"/>
    <w:rsid w:val="00767F32"/>
    <w:rsid w:val="00772B90"/>
    <w:rsid w:val="007738AD"/>
    <w:rsid w:val="00773F57"/>
    <w:rsid w:val="0078294B"/>
    <w:rsid w:val="00791321"/>
    <w:rsid w:val="00791ABA"/>
    <w:rsid w:val="007928F9"/>
    <w:rsid w:val="0079736E"/>
    <w:rsid w:val="007A2810"/>
    <w:rsid w:val="007B0D79"/>
    <w:rsid w:val="007B2DCE"/>
    <w:rsid w:val="007B3167"/>
    <w:rsid w:val="007C09CD"/>
    <w:rsid w:val="007C55E1"/>
    <w:rsid w:val="007C56CC"/>
    <w:rsid w:val="007C6CF3"/>
    <w:rsid w:val="007D57A9"/>
    <w:rsid w:val="007D7B4E"/>
    <w:rsid w:val="007E7934"/>
    <w:rsid w:val="007F0144"/>
    <w:rsid w:val="007F150D"/>
    <w:rsid w:val="00800416"/>
    <w:rsid w:val="008020C1"/>
    <w:rsid w:val="008033B8"/>
    <w:rsid w:val="00803BEF"/>
    <w:rsid w:val="00813A5D"/>
    <w:rsid w:val="00817EAF"/>
    <w:rsid w:val="00821DA7"/>
    <w:rsid w:val="00824CFD"/>
    <w:rsid w:val="00830203"/>
    <w:rsid w:val="008315F8"/>
    <w:rsid w:val="00831AFE"/>
    <w:rsid w:val="00852DC1"/>
    <w:rsid w:val="008549F0"/>
    <w:rsid w:val="0088018E"/>
    <w:rsid w:val="00882017"/>
    <w:rsid w:val="00882D1F"/>
    <w:rsid w:val="0088585D"/>
    <w:rsid w:val="00892FCA"/>
    <w:rsid w:val="008B1F7C"/>
    <w:rsid w:val="008B5740"/>
    <w:rsid w:val="008C1BEC"/>
    <w:rsid w:val="008C59F6"/>
    <w:rsid w:val="008C6F0D"/>
    <w:rsid w:val="008D262F"/>
    <w:rsid w:val="008E0503"/>
    <w:rsid w:val="008F139A"/>
    <w:rsid w:val="008F3026"/>
    <w:rsid w:val="008F63EA"/>
    <w:rsid w:val="009028BE"/>
    <w:rsid w:val="00903DA3"/>
    <w:rsid w:val="00904F0A"/>
    <w:rsid w:val="00910B01"/>
    <w:rsid w:val="009125A4"/>
    <w:rsid w:val="00915C7D"/>
    <w:rsid w:val="0091713D"/>
    <w:rsid w:val="009202C0"/>
    <w:rsid w:val="00922B2F"/>
    <w:rsid w:val="00923996"/>
    <w:rsid w:val="00925207"/>
    <w:rsid w:val="00925E02"/>
    <w:rsid w:val="00935738"/>
    <w:rsid w:val="00937655"/>
    <w:rsid w:val="009413AF"/>
    <w:rsid w:val="009434B1"/>
    <w:rsid w:val="00944391"/>
    <w:rsid w:val="0094547A"/>
    <w:rsid w:val="009526D7"/>
    <w:rsid w:val="00960938"/>
    <w:rsid w:val="00965978"/>
    <w:rsid w:val="009709B6"/>
    <w:rsid w:val="00972F76"/>
    <w:rsid w:val="009731AF"/>
    <w:rsid w:val="00975373"/>
    <w:rsid w:val="00984740"/>
    <w:rsid w:val="00990439"/>
    <w:rsid w:val="009A203D"/>
    <w:rsid w:val="009A5DB4"/>
    <w:rsid w:val="009A6743"/>
    <w:rsid w:val="009B1AC3"/>
    <w:rsid w:val="009C0A6B"/>
    <w:rsid w:val="009C2C13"/>
    <w:rsid w:val="009D16CD"/>
    <w:rsid w:val="009D5C73"/>
    <w:rsid w:val="009E072F"/>
    <w:rsid w:val="009E09FE"/>
    <w:rsid w:val="009E44DC"/>
    <w:rsid w:val="009F0150"/>
    <w:rsid w:val="009F06C2"/>
    <w:rsid w:val="009F14C5"/>
    <w:rsid w:val="009F6CA7"/>
    <w:rsid w:val="009F76B5"/>
    <w:rsid w:val="00A00805"/>
    <w:rsid w:val="00A010B6"/>
    <w:rsid w:val="00A05717"/>
    <w:rsid w:val="00A05F8C"/>
    <w:rsid w:val="00A06F73"/>
    <w:rsid w:val="00A10D5C"/>
    <w:rsid w:val="00A15A95"/>
    <w:rsid w:val="00A26F08"/>
    <w:rsid w:val="00A329E7"/>
    <w:rsid w:val="00A33EA6"/>
    <w:rsid w:val="00A36F8A"/>
    <w:rsid w:val="00A4275F"/>
    <w:rsid w:val="00A433ED"/>
    <w:rsid w:val="00A4374D"/>
    <w:rsid w:val="00A449B2"/>
    <w:rsid w:val="00A51CF2"/>
    <w:rsid w:val="00A57B7A"/>
    <w:rsid w:val="00A607A7"/>
    <w:rsid w:val="00A607FA"/>
    <w:rsid w:val="00A60FFB"/>
    <w:rsid w:val="00A71742"/>
    <w:rsid w:val="00A719B1"/>
    <w:rsid w:val="00A747D6"/>
    <w:rsid w:val="00A75725"/>
    <w:rsid w:val="00A809FE"/>
    <w:rsid w:val="00A84D2A"/>
    <w:rsid w:val="00A87E03"/>
    <w:rsid w:val="00A93A80"/>
    <w:rsid w:val="00A95C82"/>
    <w:rsid w:val="00AA0A72"/>
    <w:rsid w:val="00AA1B15"/>
    <w:rsid w:val="00AA2C20"/>
    <w:rsid w:val="00AB28AA"/>
    <w:rsid w:val="00AC0837"/>
    <w:rsid w:val="00AD30EC"/>
    <w:rsid w:val="00AD4882"/>
    <w:rsid w:val="00AD6569"/>
    <w:rsid w:val="00AD6DA9"/>
    <w:rsid w:val="00AE7F9E"/>
    <w:rsid w:val="00AF27B5"/>
    <w:rsid w:val="00AF3FC4"/>
    <w:rsid w:val="00AF53E6"/>
    <w:rsid w:val="00AF62F2"/>
    <w:rsid w:val="00B02CEE"/>
    <w:rsid w:val="00B03DF9"/>
    <w:rsid w:val="00B05649"/>
    <w:rsid w:val="00B123DD"/>
    <w:rsid w:val="00B13139"/>
    <w:rsid w:val="00B132F2"/>
    <w:rsid w:val="00B15B45"/>
    <w:rsid w:val="00B16B2B"/>
    <w:rsid w:val="00B20866"/>
    <w:rsid w:val="00B354AA"/>
    <w:rsid w:val="00B4102C"/>
    <w:rsid w:val="00B47C82"/>
    <w:rsid w:val="00B50168"/>
    <w:rsid w:val="00B51341"/>
    <w:rsid w:val="00B53169"/>
    <w:rsid w:val="00B534DD"/>
    <w:rsid w:val="00B55235"/>
    <w:rsid w:val="00B63F30"/>
    <w:rsid w:val="00B642E8"/>
    <w:rsid w:val="00B651B9"/>
    <w:rsid w:val="00B70045"/>
    <w:rsid w:val="00B7111B"/>
    <w:rsid w:val="00B76399"/>
    <w:rsid w:val="00B76CB9"/>
    <w:rsid w:val="00B83C09"/>
    <w:rsid w:val="00B868E4"/>
    <w:rsid w:val="00B93A4E"/>
    <w:rsid w:val="00B97EAF"/>
    <w:rsid w:val="00BA013F"/>
    <w:rsid w:val="00BA122B"/>
    <w:rsid w:val="00BA4B24"/>
    <w:rsid w:val="00BA5526"/>
    <w:rsid w:val="00BA5E0A"/>
    <w:rsid w:val="00BB03A5"/>
    <w:rsid w:val="00BB1098"/>
    <w:rsid w:val="00BB11E8"/>
    <w:rsid w:val="00BB426A"/>
    <w:rsid w:val="00BB6C14"/>
    <w:rsid w:val="00BD1F6D"/>
    <w:rsid w:val="00BD2397"/>
    <w:rsid w:val="00BD5A61"/>
    <w:rsid w:val="00BD5E2B"/>
    <w:rsid w:val="00BD6CEB"/>
    <w:rsid w:val="00BE1910"/>
    <w:rsid w:val="00BE2F4A"/>
    <w:rsid w:val="00BF3B65"/>
    <w:rsid w:val="00BF5A3A"/>
    <w:rsid w:val="00C05772"/>
    <w:rsid w:val="00C1218E"/>
    <w:rsid w:val="00C127E7"/>
    <w:rsid w:val="00C169C3"/>
    <w:rsid w:val="00C1715E"/>
    <w:rsid w:val="00C17E73"/>
    <w:rsid w:val="00C24BB3"/>
    <w:rsid w:val="00C31912"/>
    <w:rsid w:val="00C53401"/>
    <w:rsid w:val="00C55BAE"/>
    <w:rsid w:val="00C56553"/>
    <w:rsid w:val="00C5749F"/>
    <w:rsid w:val="00C60CD7"/>
    <w:rsid w:val="00C639FC"/>
    <w:rsid w:val="00C67A0B"/>
    <w:rsid w:val="00C7121C"/>
    <w:rsid w:val="00C72586"/>
    <w:rsid w:val="00C73423"/>
    <w:rsid w:val="00C85636"/>
    <w:rsid w:val="00C861AC"/>
    <w:rsid w:val="00C90F3D"/>
    <w:rsid w:val="00C94D81"/>
    <w:rsid w:val="00C974F3"/>
    <w:rsid w:val="00C9764B"/>
    <w:rsid w:val="00C9785A"/>
    <w:rsid w:val="00CA09A6"/>
    <w:rsid w:val="00CA3619"/>
    <w:rsid w:val="00CC05D9"/>
    <w:rsid w:val="00CC0A2F"/>
    <w:rsid w:val="00CC238E"/>
    <w:rsid w:val="00CC7A85"/>
    <w:rsid w:val="00CD12C8"/>
    <w:rsid w:val="00CE126A"/>
    <w:rsid w:val="00CE3E15"/>
    <w:rsid w:val="00CE45AE"/>
    <w:rsid w:val="00CE6BD5"/>
    <w:rsid w:val="00CE7A68"/>
    <w:rsid w:val="00CF2377"/>
    <w:rsid w:val="00CF2492"/>
    <w:rsid w:val="00CF6899"/>
    <w:rsid w:val="00CF7650"/>
    <w:rsid w:val="00D04A90"/>
    <w:rsid w:val="00D04C48"/>
    <w:rsid w:val="00D05D6F"/>
    <w:rsid w:val="00D100A2"/>
    <w:rsid w:val="00D13F5D"/>
    <w:rsid w:val="00D17C75"/>
    <w:rsid w:val="00D20101"/>
    <w:rsid w:val="00D202A5"/>
    <w:rsid w:val="00D22AF3"/>
    <w:rsid w:val="00D30A56"/>
    <w:rsid w:val="00D316F4"/>
    <w:rsid w:val="00D32C05"/>
    <w:rsid w:val="00D32F03"/>
    <w:rsid w:val="00D348DA"/>
    <w:rsid w:val="00D36687"/>
    <w:rsid w:val="00D3792E"/>
    <w:rsid w:val="00D47C5D"/>
    <w:rsid w:val="00D5007E"/>
    <w:rsid w:val="00D55FCB"/>
    <w:rsid w:val="00D66287"/>
    <w:rsid w:val="00D70FFB"/>
    <w:rsid w:val="00D84593"/>
    <w:rsid w:val="00D84D72"/>
    <w:rsid w:val="00D87829"/>
    <w:rsid w:val="00D943D9"/>
    <w:rsid w:val="00DA337A"/>
    <w:rsid w:val="00DA3490"/>
    <w:rsid w:val="00DA3D2C"/>
    <w:rsid w:val="00DB1E6C"/>
    <w:rsid w:val="00DB6849"/>
    <w:rsid w:val="00DC19B2"/>
    <w:rsid w:val="00DC4F79"/>
    <w:rsid w:val="00DD63EC"/>
    <w:rsid w:val="00DD7C42"/>
    <w:rsid w:val="00DE1D2D"/>
    <w:rsid w:val="00DE3D38"/>
    <w:rsid w:val="00DE49B5"/>
    <w:rsid w:val="00DF50D2"/>
    <w:rsid w:val="00E03295"/>
    <w:rsid w:val="00E06264"/>
    <w:rsid w:val="00E0667D"/>
    <w:rsid w:val="00E13551"/>
    <w:rsid w:val="00E23C53"/>
    <w:rsid w:val="00E247B4"/>
    <w:rsid w:val="00E25574"/>
    <w:rsid w:val="00E319B1"/>
    <w:rsid w:val="00E32E4B"/>
    <w:rsid w:val="00E3321A"/>
    <w:rsid w:val="00E360CF"/>
    <w:rsid w:val="00E36FC9"/>
    <w:rsid w:val="00E469F7"/>
    <w:rsid w:val="00E47F0B"/>
    <w:rsid w:val="00E54D77"/>
    <w:rsid w:val="00E562C6"/>
    <w:rsid w:val="00E63A86"/>
    <w:rsid w:val="00E65BE4"/>
    <w:rsid w:val="00E672E5"/>
    <w:rsid w:val="00E67AD3"/>
    <w:rsid w:val="00E735E6"/>
    <w:rsid w:val="00E742CA"/>
    <w:rsid w:val="00E74F1D"/>
    <w:rsid w:val="00E762ED"/>
    <w:rsid w:val="00E77F5C"/>
    <w:rsid w:val="00E827E5"/>
    <w:rsid w:val="00E82C51"/>
    <w:rsid w:val="00E82ED1"/>
    <w:rsid w:val="00E86A48"/>
    <w:rsid w:val="00E947B8"/>
    <w:rsid w:val="00EA17D3"/>
    <w:rsid w:val="00EA1DF1"/>
    <w:rsid w:val="00EB0C81"/>
    <w:rsid w:val="00EB18E9"/>
    <w:rsid w:val="00EB4BF4"/>
    <w:rsid w:val="00EB4D17"/>
    <w:rsid w:val="00EB5B9F"/>
    <w:rsid w:val="00EB5CA3"/>
    <w:rsid w:val="00EB7D9E"/>
    <w:rsid w:val="00EC73F5"/>
    <w:rsid w:val="00ED0813"/>
    <w:rsid w:val="00ED1B3A"/>
    <w:rsid w:val="00ED1D0E"/>
    <w:rsid w:val="00ED4F4E"/>
    <w:rsid w:val="00EF29D3"/>
    <w:rsid w:val="00EF53B8"/>
    <w:rsid w:val="00EF60CB"/>
    <w:rsid w:val="00EF6CD5"/>
    <w:rsid w:val="00F00B4E"/>
    <w:rsid w:val="00F01D61"/>
    <w:rsid w:val="00F05C8F"/>
    <w:rsid w:val="00F06779"/>
    <w:rsid w:val="00F10FCC"/>
    <w:rsid w:val="00F15AA4"/>
    <w:rsid w:val="00F23944"/>
    <w:rsid w:val="00F24E7F"/>
    <w:rsid w:val="00F24EC5"/>
    <w:rsid w:val="00F329AA"/>
    <w:rsid w:val="00F3331B"/>
    <w:rsid w:val="00F3515A"/>
    <w:rsid w:val="00F5206F"/>
    <w:rsid w:val="00F57340"/>
    <w:rsid w:val="00F57F0A"/>
    <w:rsid w:val="00F60D2B"/>
    <w:rsid w:val="00F61FE4"/>
    <w:rsid w:val="00F65988"/>
    <w:rsid w:val="00F700D1"/>
    <w:rsid w:val="00F709B9"/>
    <w:rsid w:val="00F74DD2"/>
    <w:rsid w:val="00F85E23"/>
    <w:rsid w:val="00F86665"/>
    <w:rsid w:val="00F91B3F"/>
    <w:rsid w:val="00F94803"/>
    <w:rsid w:val="00F97A8B"/>
    <w:rsid w:val="00FA2291"/>
    <w:rsid w:val="00FA2B83"/>
    <w:rsid w:val="00FA3116"/>
    <w:rsid w:val="00FA4B04"/>
    <w:rsid w:val="00FB3CB5"/>
    <w:rsid w:val="00FC38EC"/>
    <w:rsid w:val="00FC6BD4"/>
    <w:rsid w:val="00FD3910"/>
    <w:rsid w:val="00FD3F22"/>
    <w:rsid w:val="00FD7372"/>
    <w:rsid w:val="00FE0D1D"/>
    <w:rsid w:val="00FE2198"/>
    <w:rsid w:val="00FE31DE"/>
    <w:rsid w:val="00FE4035"/>
    <w:rsid w:val="00FE4A10"/>
    <w:rsid w:val="00FE4B40"/>
    <w:rsid w:val="00FE6757"/>
    <w:rsid w:val="00FE6B39"/>
    <w:rsid w:val="00FF18AB"/>
    <w:rsid w:val="00FF24BA"/>
    <w:rsid w:val="00FF4EBE"/>
    <w:rsid w:val="01641F5B"/>
    <w:rsid w:val="01766B44"/>
    <w:rsid w:val="027E35DC"/>
    <w:rsid w:val="03073D5F"/>
    <w:rsid w:val="0328580A"/>
    <w:rsid w:val="036659DE"/>
    <w:rsid w:val="05440504"/>
    <w:rsid w:val="069B7852"/>
    <w:rsid w:val="089F2050"/>
    <w:rsid w:val="0A375921"/>
    <w:rsid w:val="0A8E207C"/>
    <w:rsid w:val="0B4822D9"/>
    <w:rsid w:val="0B4A7356"/>
    <w:rsid w:val="0BCC4844"/>
    <w:rsid w:val="0DAD7ADC"/>
    <w:rsid w:val="0EF600FC"/>
    <w:rsid w:val="0FA71FA2"/>
    <w:rsid w:val="103510F8"/>
    <w:rsid w:val="10C54BD9"/>
    <w:rsid w:val="13770E9B"/>
    <w:rsid w:val="15DE37B9"/>
    <w:rsid w:val="166125B6"/>
    <w:rsid w:val="16685B75"/>
    <w:rsid w:val="17566E0E"/>
    <w:rsid w:val="176136E2"/>
    <w:rsid w:val="179A3EF5"/>
    <w:rsid w:val="1963648E"/>
    <w:rsid w:val="1AA3304A"/>
    <w:rsid w:val="1B0174FD"/>
    <w:rsid w:val="1BC259EC"/>
    <w:rsid w:val="1C534DE0"/>
    <w:rsid w:val="1E962B13"/>
    <w:rsid w:val="1F04597B"/>
    <w:rsid w:val="1F871AF8"/>
    <w:rsid w:val="1FFD35BA"/>
    <w:rsid w:val="220048A2"/>
    <w:rsid w:val="22946DD9"/>
    <w:rsid w:val="22C146DE"/>
    <w:rsid w:val="23404D6A"/>
    <w:rsid w:val="24D30093"/>
    <w:rsid w:val="24F77ADD"/>
    <w:rsid w:val="260013CF"/>
    <w:rsid w:val="263C7645"/>
    <w:rsid w:val="265A67F9"/>
    <w:rsid w:val="26B86277"/>
    <w:rsid w:val="274E4850"/>
    <w:rsid w:val="28AB69B8"/>
    <w:rsid w:val="29CE2D1D"/>
    <w:rsid w:val="2AED6F30"/>
    <w:rsid w:val="2B5B4C22"/>
    <w:rsid w:val="2BDE2D64"/>
    <w:rsid w:val="2D081325"/>
    <w:rsid w:val="2D23184F"/>
    <w:rsid w:val="2D363457"/>
    <w:rsid w:val="2D7B4905"/>
    <w:rsid w:val="2DF7CE8E"/>
    <w:rsid w:val="2EFF00B1"/>
    <w:rsid w:val="2F515928"/>
    <w:rsid w:val="2F68364F"/>
    <w:rsid w:val="301673AC"/>
    <w:rsid w:val="316A3DAE"/>
    <w:rsid w:val="31A26F3A"/>
    <w:rsid w:val="324E62F2"/>
    <w:rsid w:val="326A4AA9"/>
    <w:rsid w:val="33177DC7"/>
    <w:rsid w:val="3516619B"/>
    <w:rsid w:val="36637C26"/>
    <w:rsid w:val="37D91215"/>
    <w:rsid w:val="382F1907"/>
    <w:rsid w:val="38A6682A"/>
    <w:rsid w:val="38FC15CB"/>
    <w:rsid w:val="397A604C"/>
    <w:rsid w:val="39924450"/>
    <w:rsid w:val="39C268BC"/>
    <w:rsid w:val="3BB30232"/>
    <w:rsid w:val="3C0A509F"/>
    <w:rsid w:val="3D3E0C40"/>
    <w:rsid w:val="3D5F4E31"/>
    <w:rsid w:val="3DE77796"/>
    <w:rsid w:val="3EF3F652"/>
    <w:rsid w:val="3FFF0E6A"/>
    <w:rsid w:val="40F52D25"/>
    <w:rsid w:val="41DC741B"/>
    <w:rsid w:val="421C20FC"/>
    <w:rsid w:val="429E5FCA"/>
    <w:rsid w:val="4322697C"/>
    <w:rsid w:val="43782C30"/>
    <w:rsid w:val="444A137D"/>
    <w:rsid w:val="45DB537A"/>
    <w:rsid w:val="46B3684D"/>
    <w:rsid w:val="48BF306F"/>
    <w:rsid w:val="49430710"/>
    <w:rsid w:val="494F38BA"/>
    <w:rsid w:val="494F59D3"/>
    <w:rsid w:val="49A16AE6"/>
    <w:rsid w:val="4BB17E8F"/>
    <w:rsid w:val="4BEA49B9"/>
    <w:rsid w:val="4CE6191C"/>
    <w:rsid w:val="4D4935B4"/>
    <w:rsid w:val="4FEF5AAF"/>
    <w:rsid w:val="4FF1CF67"/>
    <w:rsid w:val="50425119"/>
    <w:rsid w:val="506A47A0"/>
    <w:rsid w:val="50AF2EEC"/>
    <w:rsid w:val="52196818"/>
    <w:rsid w:val="522B7B6E"/>
    <w:rsid w:val="522D4EEF"/>
    <w:rsid w:val="525A49A4"/>
    <w:rsid w:val="530A0C89"/>
    <w:rsid w:val="534C7AEF"/>
    <w:rsid w:val="537FC671"/>
    <w:rsid w:val="53AE66B9"/>
    <w:rsid w:val="56135517"/>
    <w:rsid w:val="568A7256"/>
    <w:rsid w:val="577B3A1C"/>
    <w:rsid w:val="578B32A9"/>
    <w:rsid w:val="58373784"/>
    <w:rsid w:val="58B41BCF"/>
    <w:rsid w:val="58B81676"/>
    <w:rsid w:val="59A166D5"/>
    <w:rsid w:val="59EE34F1"/>
    <w:rsid w:val="5A3F7257"/>
    <w:rsid w:val="5A563EF3"/>
    <w:rsid w:val="5AD518E5"/>
    <w:rsid w:val="5BD438E8"/>
    <w:rsid w:val="5BD963A8"/>
    <w:rsid w:val="5C673457"/>
    <w:rsid w:val="5D4608CC"/>
    <w:rsid w:val="5F197FA0"/>
    <w:rsid w:val="5F7E1F34"/>
    <w:rsid w:val="5FD805C6"/>
    <w:rsid w:val="5FFE2437"/>
    <w:rsid w:val="6007774C"/>
    <w:rsid w:val="60E96871"/>
    <w:rsid w:val="61884C58"/>
    <w:rsid w:val="61E912AC"/>
    <w:rsid w:val="63726C26"/>
    <w:rsid w:val="645351E4"/>
    <w:rsid w:val="646A0045"/>
    <w:rsid w:val="65B023CE"/>
    <w:rsid w:val="65E00621"/>
    <w:rsid w:val="669EAF0E"/>
    <w:rsid w:val="693E43B1"/>
    <w:rsid w:val="69C749A5"/>
    <w:rsid w:val="6AC0781D"/>
    <w:rsid w:val="6CF36819"/>
    <w:rsid w:val="6E380D0C"/>
    <w:rsid w:val="6FF72A15"/>
    <w:rsid w:val="7133549F"/>
    <w:rsid w:val="71BE0F7E"/>
    <w:rsid w:val="722976E1"/>
    <w:rsid w:val="734E14E8"/>
    <w:rsid w:val="73923B78"/>
    <w:rsid w:val="73E9F3E9"/>
    <w:rsid w:val="73FA0175"/>
    <w:rsid w:val="7403017C"/>
    <w:rsid w:val="74A20E04"/>
    <w:rsid w:val="74CF5E36"/>
    <w:rsid w:val="7567126A"/>
    <w:rsid w:val="75935A8C"/>
    <w:rsid w:val="7613767C"/>
    <w:rsid w:val="764C08A5"/>
    <w:rsid w:val="76D52DE4"/>
    <w:rsid w:val="7723716C"/>
    <w:rsid w:val="77FBCD45"/>
    <w:rsid w:val="77FF6B75"/>
    <w:rsid w:val="77FFBEBD"/>
    <w:rsid w:val="78F6023A"/>
    <w:rsid w:val="7A901610"/>
    <w:rsid w:val="7B1F86FB"/>
    <w:rsid w:val="7B372F5B"/>
    <w:rsid w:val="7C203DF9"/>
    <w:rsid w:val="7C2C0E25"/>
    <w:rsid w:val="7C8417B6"/>
    <w:rsid w:val="7CD274F9"/>
    <w:rsid w:val="7CF8123A"/>
    <w:rsid w:val="7E6C276D"/>
    <w:rsid w:val="7EDFBF47"/>
    <w:rsid w:val="7F366E90"/>
    <w:rsid w:val="9B19711F"/>
    <w:rsid w:val="9EFBA714"/>
    <w:rsid w:val="9EFE1FF0"/>
    <w:rsid w:val="BDEF4DDA"/>
    <w:rsid w:val="BFAC138D"/>
    <w:rsid w:val="D7FFBF4D"/>
    <w:rsid w:val="DDBBF786"/>
    <w:rsid w:val="DF6FF2A1"/>
    <w:rsid w:val="DF7F18B6"/>
    <w:rsid w:val="DF7FBDFF"/>
    <w:rsid w:val="DFE7998A"/>
    <w:rsid w:val="DFFAE50B"/>
    <w:rsid w:val="EFBA193C"/>
    <w:rsid w:val="F1E8BBCC"/>
    <w:rsid w:val="F3FDB14C"/>
    <w:rsid w:val="FBDBA92F"/>
    <w:rsid w:val="FBFFB6A1"/>
    <w:rsid w:val="FEFE272B"/>
    <w:rsid w:val="FFBB58BA"/>
    <w:rsid w:val="FFD37388"/>
    <w:rsid w:val="FFF3DC21"/>
    <w:rsid w:val="FFFE35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4">
    <w:name w:val="heading 1"/>
    <w:basedOn w:val="1"/>
    <w:next w:val="1"/>
    <w:qFormat/>
    <w:uiPriority w:val="0"/>
    <w:pPr>
      <w:keepNext/>
      <w:keepLines/>
      <w:spacing w:before="156" w:beforeLines="50" w:after="156" w:afterLines="50" w:line="560" w:lineRule="exact"/>
      <w:jc w:val="center"/>
      <w:outlineLvl w:val="0"/>
    </w:pPr>
    <w:rPr>
      <w:rFonts w:eastAsia="方正小标宋简体"/>
      <w:kern w:val="44"/>
      <w:sz w:val="36"/>
      <w:szCs w:val="36"/>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before="190"/>
    </w:pPr>
    <w:rPr>
      <w:szCs w:val="32"/>
    </w:r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5">
    <w:name w:val="annotation text"/>
    <w:basedOn w:val="1"/>
    <w:qFormat/>
    <w:uiPriority w:val="0"/>
    <w:pPr>
      <w:jc w:val="left"/>
    </w:pPr>
  </w:style>
  <w:style w:type="paragraph" w:styleId="6">
    <w:name w:val="Plain Text"/>
    <w:basedOn w:val="1"/>
    <w:next w:val="1"/>
    <w:qFormat/>
    <w:uiPriority w:val="0"/>
    <w:rPr>
      <w:rFonts w:ascii="宋体" w:hAnsi="宋体" w:eastAsia="宋体"/>
      <w:color w:val="000000"/>
      <w:kern w:val="0"/>
      <w:sz w:val="20"/>
      <w:szCs w:val="21"/>
    </w:rPr>
  </w:style>
  <w:style w:type="paragraph" w:styleId="7">
    <w:name w:val="Balloon Text"/>
    <w:basedOn w:val="1"/>
    <w:semiHidden/>
    <w:qFormat/>
    <w:uiPriority w:val="0"/>
    <w:rPr>
      <w:sz w:val="18"/>
      <w:szCs w:val="18"/>
    </w:r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pPr>
      <w:spacing w:line="560" w:lineRule="exact"/>
      <w:ind w:firstLine="200" w:firstLineChars="200"/>
    </w:pPr>
    <w:rPr>
      <w:rFonts w:eastAsia="黑体"/>
      <w:sz w:val="28"/>
      <w:szCs w:val="28"/>
    </w:rPr>
  </w:style>
  <w:style w:type="paragraph" w:styleId="11">
    <w:name w:val="footnote text"/>
    <w:basedOn w:val="1"/>
    <w:qFormat/>
    <w:uiPriority w:val="0"/>
    <w:pPr>
      <w:snapToGrid w:val="0"/>
      <w:jc w:val="left"/>
    </w:pPr>
    <w:rPr>
      <w:sz w:val="18"/>
    </w:rPr>
  </w:style>
  <w:style w:type="paragraph" w:styleId="12">
    <w:name w:val="index 9"/>
    <w:basedOn w:val="1"/>
    <w:next w:val="1"/>
    <w:qFormat/>
    <w:uiPriority w:val="0"/>
    <w:pPr>
      <w:spacing w:line="560" w:lineRule="exact"/>
      <w:ind w:firstLine="640" w:firstLineChars="200"/>
    </w:pPr>
    <w:rPr>
      <w:rFonts w:ascii="仿宋_GB2312" w:hAnsi="仿宋" w:eastAsia="仿宋_GB2312" w:cs="仿宋"/>
      <w:sz w:val="32"/>
      <w:szCs w:val="32"/>
    </w:rPr>
  </w:style>
  <w:style w:type="paragraph" w:styleId="13">
    <w:name w:val="toc 2"/>
    <w:basedOn w:val="1"/>
    <w:next w:val="1"/>
    <w:qFormat/>
    <w:uiPriority w:val="0"/>
    <w:pPr>
      <w:spacing w:line="560" w:lineRule="exact"/>
      <w:ind w:firstLine="200" w:firstLineChars="200"/>
    </w:pPr>
    <w:rPr>
      <w:rFonts w:eastAsia="楷体_GB2312"/>
      <w:sz w:val="28"/>
      <w:szCs w:val="28"/>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Hyperlink"/>
    <w:qFormat/>
    <w:uiPriority w:val="0"/>
    <w:rPr>
      <w:color w:val="0563C1"/>
      <w:u w:val="single"/>
    </w:rPr>
  </w:style>
  <w:style w:type="character" w:styleId="18">
    <w:name w:val="footnote reference"/>
    <w:basedOn w:val="16"/>
    <w:qFormat/>
    <w:uiPriority w:val="0"/>
    <w:rPr>
      <w:vertAlign w:val="superscript"/>
    </w:rPr>
  </w:style>
  <w:style w:type="character" w:customStyle="1" w:styleId="19">
    <w:name w:val="页眉 Char"/>
    <w:basedOn w:val="16"/>
    <w:link w:val="9"/>
    <w:qFormat/>
    <w:uiPriority w:val="0"/>
    <w:rPr>
      <w:rFonts w:ascii="Times New Roman" w:hAnsi="Times New Roman" w:eastAsia="仿宋_GB2312" w:cs="Times New Roman"/>
      <w:kern w:val="2"/>
      <w:sz w:val="18"/>
      <w:szCs w:val="18"/>
    </w:rPr>
  </w:style>
  <w:style w:type="character" w:customStyle="1" w:styleId="20">
    <w:name w:val="页脚 Char"/>
    <w:basedOn w:val="16"/>
    <w:link w:val="8"/>
    <w:qFormat/>
    <w:uiPriority w:val="0"/>
    <w:rPr>
      <w:rFonts w:ascii="Times New Roman" w:hAnsi="Times New Roman" w:eastAsia="仿宋_GB2312" w:cs="Times New Roman"/>
      <w:kern w:val="2"/>
      <w:sz w:val="18"/>
      <w:szCs w:val="18"/>
    </w:rPr>
  </w:style>
  <w:style w:type="paragraph" w:customStyle="1" w:styleId="21">
    <w:name w:val="样式 样式 四号 行距: 固定值 25 磅 + 首行缩进:  2 字符"/>
    <w:basedOn w:val="1"/>
    <w:qFormat/>
    <w:uiPriority w:val="99"/>
    <w:pPr>
      <w:spacing w:line="500" w:lineRule="atLeast"/>
      <w:ind w:firstLine="560" w:firstLineChars="200"/>
    </w:pPr>
    <w:rPr>
      <w:rFonts w:eastAsia="宋体"/>
      <w:sz w:val="28"/>
      <w:szCs w:val="28"/>
    </w:rPr>
  </w:style>
  <w:style w:type="paragraph" w:customStyle="1" w:styleId="22">
    <w:name w:val="样式 正文 + 首行缩进:  2 字符"/>
    <w:basedOn w:val="23"/>
    <w:next w:val="23"/>
    <w:qFormat/>
    <w:uiPriority w:val="0"/>
    <w:pPr>
      <w:keepNext/>
      <w:keepLines/>
      <w:spacing w:line="360" w:lineRule="auto"/>
      <w:ind w:firstLine="880" w:firstLineChars="200"/>
      <w:jc w:val="left"/>
    </w:pPr>
    <w:rPr>
      <w:rFonts w:ascii="宋体" w:hAnsi="宋体" w:cs="宋体"/>
      <w:kern w:val="0"/>
    </w:rPr>
  </w:style>
  <w:style w:type="paragraph" w:customStyle="1" w:styleId="23">
    <w:name w:val="正文1"/>
    <w:basedOn w:val="1"/>
    <w:qFormat/>
    <w:uiPriority w:val="0"/>
    <w:pPr>
      <w:widowControl/>
    </w:pPr>
    <w:rPr>
      <w:szCs w:val="21"/>
    </w:rPr>
  </w:style>
  <w:style w:type="paragraph" w:customStyle="1" w:styleId="24">
    <w:name w:val="TOC 标题3"/>
    <w:basedOn w:val="4"/>
    <w:next w:val="1"/>
    <w:unhideWhenUsed/>
    <w:qFormat/>
    <w:uiPriority w:val="39"/>
    <w:pPr>
      <w:widowControl/>
      <w:spacing w:before="240" w:beforeLines="0" w:after="0" w:afterLines="0" w:line="259" w:lineRule="auto"/>
      <w:jc w:val="left"/>
      <w:outlineLvl w:val="9"/>
    </w:pPr>
    <w:rPr>
      <w:rFonts w:asciiTheme="majorHAnsi" w:hAnsiTheme="majorHAnsi" w:eastAsiaTheme="majorEastAsia" w:cstheme="majorBidi"/>
      <w:color w:val="376092" w:themeColor="accent1" w:themeShade="BF"/>
      <w:kern w:val="0"/>
      <w:sz w:val="32"/>
      <w:szCs w:val="32"/>
    </w:rPr>
  </w:style>
  <w:style w:type="paragraph" w:customStyle="1" w:styleId="25">
    <w:name w:val="BodyText"/>
    <w:basedOn w:val="1"/>
    <w:qFormat/>
    <w:uiPriority w:val="0"/>
    <w:pPr>
      <w:suppressAutoHyphens/>
      <w:spacing w:after="120" w:line="240" w:lineRule="auto"/>
      <w:textAlignment w:val="baseline"/>
    </w:pPr>
    <w:rPr>
      <w:rFonts w:ascii="仿宋_GB2312" w:hAnsi="Tahoma" w:eastAsia="仿宋_GB2312"/>
      <w:kern w:val="0"/>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25</Pages>
  <Words>2897</Words>
  <Characters>2975</Characters>
  <Lines>3</Lines>
  <Paragraphs>2</Paragraphs>
  <TotalTime>1</TotalTime>
  <ScaleCrop>false</ScaleCrop>
  <LinksUpToDate>false</LinksUpToDate>
  <CharactersWithSpaces>3034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2023-04-10T01:40:00Z</dcterms:created>
  <dc:creator>V</dc:creator>
  <cp:lastModifiedBy>朝阳文秘</cp:lastModifiedBy>
  <cp:lastPrinted>2025-08-21T02:17:00Z</cp:lastPrinted>
  <dcterms:modified xsi:type="dcterms:W3CDTF">2026-10-26T08:38:20Z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eyJoZGlkIjoiMWVkOGM4NDZiNmM2ZGU5ODhlOTM1NmY5YTg4ZDY1NDIiLCJ1c2VySWQiOiIxMzM0ODI2MTQyIn0=</vt:lpwstr>
  </property>
  <property fmtid="{D5CDD505-2E9C-101B-9397-08002B2CF9AE}" pid="4" name="ICV">
    <vt:lpwstr>42623E5C35AF4CED9482BB7741C9D11B_13</vt:lpwstr>
  </property>
</Properties>
</file>