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eastAsia="方正小标宋简体"/>
          <w:sz w:val="44"/>
          <w:szCs w:val="44"/>
        </w:rPr>
      </w:pP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朝阳左家庄中国铁建大桥工程局集团有限公司“11·8”一般车辆伤害事故整改和防范措施落实情况评估报告</w:t>
      </w:r>
    </w:p>
    <w:p>
      <w:pPr>
        <w:spacing w:line="540" w:lineRule="exact"/>
        <w:jc w:val="center"/>
        <w:rPr>
          <w:rFonts w:ascii="方正小标宋简体" w:eastAsia="方正小标宋简体"/>
          <w:sz w:val="44"/>
          <w:szCs w:val="44"/>
        </w:rPr>
      </w:pPr>
    </w:p>
    <w:p>
      <w:pPr>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为深入贯彻落实市安委会、区委区政府做好生产安全事故调查的工作要求，充分发挥事故调查处理对加强和改进安全生产工作的促进作用，督促本区生产安全事故整改和防范措施有效落实，防范生产安全事故发生，依据《</w:t>
      </w:r>
      <w:r>
        <w:rPr>
          <w:rFonts w:hint="eastAsia" w:ascii="仿宋_GB2312" w:hAnsi="仿宋" w:eastAsia="仿宋_GB2312"/>
          <w:sz w:val="32"/>
          <w:szCs w:val="32"/>
        </w:rPr>
        <w:t>中华人民共和国安全生产法</w:t>
      </w:r>
      <w:r>
        <w:rPr>
          <w:rFonts w:hint="eastAsia" w:ascii="仿宋_GB2312" w:hAnsi="Calibri" w:eastAsia="仿宋_GB2312"/>
          <w:sz w:val="32"/>
          <w:szCs w:val="32"/>
        </w:rPr>
        <w:t>》、</w:t>
      </w:r>
      <w:r>
        <w:rPr>
          <w:rFonts w:hint="eastAsia" w:ascii="仿宋_GB2312" w:eastAsia="仿宋_GB2312"/>
          <w:sz w:val="32"/>
          <w:szCs w:val="32"/>
        </w:rPr>
        <w:t>国务院安委会办公室《生产安全事故整改和防范措施落实情况评估办法》及《北京市生产安全事故整改和防范措施落实情况评估办法》要求</w:t>
      </w:r>
      <w:r>
        <w:rPr>
          <w:rFonts w:hint="eastAsia" w:ascii="仿宋_GB2312" w:hAnsi="Calibri" w:eastAsia="仿宋_GB2312"/>
          <w:sz w:val="32"/>
          <w:szCs w:val="32"/>
        </w:rPr>
        <w:t>，朝阳</w:t>
      </w:r>
      <w:r>
        <w:rPr>
          <w:rFonts w:hint="eastAsia" w:ascii="仿宋_GB2312" w:hAnsi="仿宋" w:eastAsia="仿宋_GB2312"/>
          <w:sz w:val="32"/>
          <w:szCs w:val="32"/>
        </w:rPr>
        <w:t>区应急管理局会同公安朝阳分局</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公安公交分局、区总工会、区司法局、区人力社保局、区住建委</w:t>
      </w:r>
      <w:r>
        <w:rPr>
          <w:rFonts w:hint="eastAsia" w:ascii="仿宋_GB2312" w:hAnsi="仿宋" w:eastAsia="仿宋_GB2312"/>
          <w:sz w:val="32"/>
          <w:szCs w:val="32"/>
        </w:rPr>
        <w:t>等有关部门组</w:t>
      </w:r>
      <w:r>
        <w:rPr>
          <w:rFonts w:hint="eastAsia" w:ascii="仿宋_GB2312" w:hAnsi="仿宋" w:eastAsia="仿宋_GB2312"/>
          <w:sz w:val="32"/>
          <w:szCs w:val="32"/>
          <w:lang w:eastAsia="zh-CN"/>
        </w:rPr>
        <w:t>成评估组</w:t>
      </w:r>
      <w:r>
        <w:rPr>
          <w:rFonts w:hint="eastAsia" w:ascii="仿宋_GB2312" w:hAnsi="仿宋" w:eastAsia="仿宋_GB2312"/>
          <w:sz w:val="32"/>
          <w:szCs w:val="32"/>
        </w:rPr>
        <w:t>，</w:t>
      </w:r>
      <w:r>
        <w:rPr>
          <w:rFonts w:hint="eastAsia" w:ascii="仿宋_GB2312" w:eastAsia="仿宋_GB2312"/>
          <w:sz w:val="32"/>
          <w:szCs w:val="32"/>
        </w:rPr>
        <w:t>邀请区纪委区监委参与评估，并聘请专业技术机构配合评估组对</w:t>
      </w:r>
      <w:r>
        <w:rPr>
          <w:rFonts w:hint="eastAsia" w:ascii="仿宋_GB2312" w:hAnsi="Times New Roman" w:eastAsia="仿宋_GB2312" w:cs="Times New Roman"/>
          <w:sz w:val="32"/>
          <w:szCs w:val="32"/>
        </w:rPr>
        <w:t>朝阳左家庄中国铁建大桥工程局集团有限公司“11·8”一般车辆伤害事故</w:t>
      </w:r>
      <w:r>
        <w:rPr>
          <w:rFonts w:hint="eastAsia" w:ascii="仿宋_GB2312" w:hAnsi="仿宋" w:eastAsia="仿宋_GB2312"/>
          <w:sz w:val="32"/>
          <w:szCs w:val="32"/>
        </w:rPr>
        <w:t>责</w:t>
      </w:r>
      <w:r>
        <w:rPr>
          <w:rFonts w:hint="eastAsia" w:ascii="仿宋_GB2312" w:hAnsi="Calibri" w:eastAsia="仿宋_GB2312"/>
          <w:sz w:val="32"/>
          <w:szCs w:val="32"/>
        </w:rPr>
        <w:t>任追究和整改防范措施建议的落实情况进行评估。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一、评估工作开展情况及相关做法</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评估组依据相关规定，召开了会议研讨评估工作，并依据《</w:t>
      </w:r>
      <w:r>
        <w:rPr>
          <w:rFonts w:hint="eastAsia" w:ascii="仿宋_GB2312" w:eastAsia="仿宋_GB2312" w:cs="Times New Roman"/>
          <w:sz w:val="32"/>
          <w:szCs w:val="32"/>
          <w:lang w:eastAsia="zh-CN"/>
        </w:rPr>
        <w:t>朝阳左家庄中国铁建大桥工程局集团有限公司“11·8”一般车辆伤害事故</w:t>
      </w:r>
      <w:r>
        <w:rPr>
          <w:rFonts w:hint="eastAsia" w:ascii="仿宋_GB2312" w:hAnsi="Calibri" w:eastAsia="仿宋_GB2312"/>
          <w:sz w:val="32"/>
          <w:szCs w:val="32"/>
        </w:rPr>
        <w:t>调查报告》（以下简称《事故调查报告》）中明确的责任追究建议和整改防范措施要求，通过资料审查、查阅文件、座谈询问、走访核查等方式，对该事故责任追究落实情况、涉事单位事故整改和防范措施的落实情况及安全</w:t>
      </w:r>
      <w:r>
        <w:rPr>
          <w:rFonts w:hint="eastAsia" w:ascii="仿宋_GB2312" w:hAnsi="Calibri" w:eastAsia="仿宋_GB2312"/>
          <w:sz w:val="32"/>
          <w:szCs w:val="32"/>
          <w:lang w:val="en-US" w:eastAsia="zh-CN"/>
        </w:rPr>
        <w:t>管理</w:t>
      </w:r>
      <w:r>
        <w:rPr>
          <w:rFonts w:hint="eastAsia" w:ascii="仿宋_GB2312" w:hAnsi="Calibri" w:eastAsia="仿宋_GB2312"/>
          <w:sz w:val="32"/>
          <w:szCs w:val="32"/>
        </w:rPr>
        <w:t>现状进行了评估。参与评估的第三方专业技术单位根据评估情况编制了《</w:t>
      </w:r>
      <w:r>
        <w:rPr>
          <w:rFonts w:hint="eastAsia" w:ascii="仿宋_GB2312" w:hAnsi="Calibri" w:eastAsia="仿宋_GB2312"/>
          <w:sz w:val="32"/>
          <w:szCs w:val="32"/>
          <w:lang w:val="en-US" w:eastAsia="zh-CN"/>
        </w:rPr>
        <w:t>朝阳左家庄中国铁建大桥工程局集团有限公司“11·8”一般车辆伤害事故</w:t>
      </w:r>
      <w:r>
        <w:rPr>
          <w:rFonts w:hint="eastAsia" w:ascii="仿宋_GB2312" w:eastAsia="仿宋_GB2312"/>
          <w:sz w:val="32"/>
          <w:szCs w:val="32"/>
        </w:rPr>
        <w:t>整改和防范措施</w:t>
      </w:r>
      <w:r>
        <w:rPr>
          <w:rFonts w:hint="eastAsia" w:ascii="仿宋_GB2312" w:hAnsi="Calibri" w:eastAsia="仿宋_GB2312"/>
          <w:sz w:val="32"/>
          <w:szCs w:val="32"/>
        </w:rPr>
        <w:t>落实专项评估报告》（以下简称《专项评估报告》）。主要工作情况如下：</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首先，朝阳区应急管理局组织</w:t>
      </w:r>
      <w:r>
        <w:rPr>
          <w:rFonts w:hint="eastAsia" w:ascii="仿宋_GB2312" w:hAnsi="Calibri" w:eastAsia="仿宋_GB2312"/>
          <w:sz w:val="32"/>
          <w:szCs w:val="32"/>
          <w:lang w:val="en-US" w:eastAsia="zh-CN"/>
        </w:rPr>
        <w:t>2024年15起生产安全</w:t>
      </w:r>
      <w:r>
        <w:rPr>
          <w:rFonts w:hint="eastAsia" w:ascii="仿宋_GB2312" w:hAnsi="Calibri" w:eastAsia="仿宋_GB2312"/>
          <w:sz w:val="32"/>
          <w:szCs w:val="32"/>
        </w:rPr>
        <w:t>事故</w:t>
      </w:r>
      <w:r>
        <w:rPr>
          <w:rFonts w:hint="eastAsia" w:ascii="仿宋_GB2312" w:hAnsi="Calibri" w:eastAsia="仿宋_GB2312"/>
          <w:sz w:val="32"/>
          <w:szCs w:val="32"/>
          <w:lang w:val="en-US" w:eastAsia="zh-CN"/>
        </w:rPr>
        <w:t>相关</w:t>
      </w:r>
      <w:r>
        <w:rPr>
          <w:rFonts w:hint="eastAsia" w:ascii="仿宋_GB2312" w:hAnsi="Calibri" w:eastAsia="仿宋_GB2312"/>
          <w:sz w:val="32"/>
          <w:szCs w:val="32"/>
        </w:rPr>
        <w:t>单位召开工作部署会，明确事后评估工作内容及要求，要求各单位进一步提高重视程度，切实</w:t>
      </w:r>
      <w:r>
        <w:rPr>
          <w:rFonts w:hint="eastAsia" w:ascii="仿宋_GB2312" w:hAnsi="Calibri" w:eastAsia="仿宋_GB2312"/>
          <w:sz w:val="32"/>
          <w:szCs w:val="32"/>
          <w:lang w:val="en-US" w:eastAsia="zh-CN"/>
        </w:rPr>
        <w:t>配合做好</w:t>
      </w:r>
      <w:r>
        <w:rPr>
          <w:rFonts w:hint="eastAsia" w:ascii="仿宋_GB2312" w:hAnsi="Calibri" w:eastAsia="仿宋_GB2312"/>
          <w:sz w:val="32"/>
          <w:szCs w:val="32"/>
        </w:rPr>
        <w:t>评估工作，认真评估企业安全现状，严格制定并落实整改计划，保证本次评估的权威性、公正性、客观性。</w:t>
      </w:r>
    </w:p>
    <w:p>
      <w:pPr>
        <w:spacing w:line="560" w:lineRule="exact"/>
        <w:ind w:firstLine="640" w:firstLineChars="200"/>
        <w:rPr>
          <w:rFonts w:hint="eastAsia" w:ascii="仿宋_GB2312" w:hAnsi="Calibri" w:eastAsia="仿宋_GB2312"/>
          <w:sz w:val="32"/>
          <w:szCs w:val="32"/>
          <w:lang w:eastAsia="zh-CN"/>
        </w:rPr>
      </w:pPr>
      <w:r>
        <w:rPr>
          <w:rFonts w:hint="eastAsia" w:ascii="仿宋_GB2312" w:hAnsi="Calibri" w:eastAsia="仿宋_GB2312"/>
          <w:sz w:val="32"/>
          <w:szCs w:val="32"/>
          <w:lang w:val="en-US" w:eastAsia="zh-CN"/>
        </w:rPr>
        <w:t>随后，评估组对</w:t>
      </w:r>
      <w:r>
        <w:rPr>
          <w:rFonts w:hint="eastAsia" w:ascii="仿宋_GB2312" w:hAnsi="Calibri" w:eastAsia="仿宋_GB2312"/>
          <w:sz w:val="32"/>
          <w:szCs w:val="32"/>
          <w:lang w:eastAsia="zh-CN"/>
        </w:rPr>
        <w:t>中国铁建大桥工程局集团有限公司（以下简称“中铁大桥局”）、北京铭城嘉业工程建筑有限公司（以下简称“铭城嘉业公司”）和北京致远工程建设监理有限责任公司（以下简称“致远监理公司”）</w:t>
      </w:r>
      <w:r>
        <w:rPr>
          <w:rFonts w:hint="eastAsia" w:ascii="仿宋_GB2312" w:hAnsi="Calibri" w:eastAsia="仿宋_GB2312"/>
          <w:sz w:val="32"/>
          <w:szCs w:val="32"/>
          <w:lang w:val="en-US" w:eastAsia="zh-CN"/>
        </w:rPr>
        <w:t>等三家事故相关单位进行访谈，并</w:t>
      </w:r>
      <w:r>
        <w:rPr>
          <w:rFonts w:hint="eastAsia" w:ascii="仿宋_GB2312" w:hAnsi="Calibri" w:eastAsia="仿宋_GB2312"/>
          <w:sz w:val="32"/>
          <w:szCs w:val="32"/>
        </w:rPr>
        <w:t>组织人员赴事故现场勘查。</w:t>
      </w:r>
      <w:r>
        <w:rPr>
          <w:rFonts w:hint="eastAsia" w:ascii="仿宋_GB2312" w:hAnsi="Calibri" w:eastAsia="仿宋_GB2312"/>
          <w:sz w:val="32"/>
          <w:szCs w:val="32"/>
          <w:highlight w:val="none"/>
        </w:rPr>
        <w:t>经核实，事故地点——北京地铁17号线工程土建施工09合同段</w:t>
      </w:r>
      <w:r>
        <w:rPr>
          <w:rFonts w:hint="eastAsia" w:ascii="仿宋_GB2312" w:hAnsi="Calibri" w:eastAsia="仿宋_GB2312"/>
          <w:sz w:val="32"/>
          <w:szCs w:val="32"/>
          <w:highlight w:val="none"/>
          <w:lang w:val="en-US" w:eastAsia="zh-CN"/>
        </w:rPr>
        <w:t>已建设完毕</w:t>
      </w:r>
      <w:r>
        <w:rPr>
          <w:rFonts w:hint="eastAsia" w:ascii="仿宋_GB2312" w:hAnsi="Calibri" w:eastAsia="仿宋_GB2312"/>
          <w:sz w:val="32"/>
          <w:szCs w:val="32"/>
          <w:highlight w:val="none"/>
          <w:lang w:eastAsia="zh-CN"/>
        </w:rPr>
        <w:t>。</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lang w:val="en-US" w:eastAsia="zh-CN"/>
        </w:rPr>
        <w:t>最后</w:t>
      </w:r>
      <w:r>
        <w:rPr>
          <w:rFonts w:hint="eastAsia" w:ascii="仿宋_GB2312" w:hAnsi="Calibri" w:eastAsia="仿宋_GB2312"/>
          <w:sz w:val="32"/>
          <w:szCs w:val="32"/>
        </w:rPr>
        <w:t>，评估组对《事故调查报告》中被调查单位的责任追究落实情况、事故整改和防范措施落实情况的相关证明资料初步分析，并要求事故相关单位补充提交落实责任追究及整改防范措施的相关证明材料；收到补交资料后，评估组再次对事故相关单位责任追究及事故整改和防范措施落实的相关证明资料进行分析。</w:t>
      </w:r>
    </w:p>
    <w:p>
      <w:pPr>
        <w:spacing w:line="560" w:lineRule="exact"/>
        <w:rPr>
          <w:rFonts w:ascii="仿宋_GB2312" w:hAnsi="Calibri" w:eastAsia="仿宋_GB2312"/>
          <w:sz w:val="32"/>
          <w:szCs w:val="32"/>
        </w:rPr>
      </w:pPr>
      <w:r>
        <w:rPr>
          <w:rFonts w:hint="eastAsia" w:ascii="仿宋_GB2312" w:hAnsi="Calibri" w:eastAsia="仿宋_GB2312"/>
          <w:sz w:val="32"/>
          <w:szCs w:val="32"/>
        </w:rPr>
        <w:t>专业技术机构在前期调研访谈、资料分析的基础上，依据相关规定编制完成了《专项评估报告》。</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评估组结合专业技术机构出具的《专项评估报告》，起草了《</w:t>
      </w:r>
      <w:r>
        <w:rPr>
          <w:rFonts w:hint="eastAsia" w:ascii="仿宋_GB2312" w:hAnsi="Calibri" w:eastAsia="仿宋_GB2312"/>
          <w:sz w:val="32"/>
          <w:szCs w:val="32"/>
          <w:lang w:val="en-US" w:eastAsia="zh-CN"/>
        </w:rPr>
        <w:t>朝阳左家庄中国铁建大桥工程局集团有限公司“11·8”一般车辆伤害事故</w:t>
      </w:r>
      <w:r>
        <w:rPr>
          <w:rFonts w:hint="eastAsia" w:ascii="仿宋_GB2312" w:hAnsi="Calibri" w:eastAsia="仿宋_GB2312"/>
          <w:sz w:val="32"/>
          <w:szCs w:val="32"/>
        </w:rPr>
        <w:t>整改和防范措施建议落实情况评估报告》（以下简称《评估报告》）。</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责任追究落实情况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《事故调查报告》中要求对责任单位依法进行责任追究，</w:t>
      </w:r>
      <w:r>
        <w:rPr>
          <w:rFonts w:hint="eastAsia" w:ascii="仿宋_GB2312" w:eastAsia="仿宋_GB2312"/>
          <w:sz w:val="32"/>
          <w:szCs w:val="32"/>
          <w:lang w:val="en-US" w:eastAsia="zh-CN"/>
        </w:rPr>
        <w:t>具体</w:t>
      </w:r>
      <w:r>
        <w:rPr>
          <w:rFonts w:hint="eastAsia" w:ascii="仿宋_GB2312" w:eastAsia="仿宋_GB2312"/>
          <w:sz w:val="32"/>
          <w:szCs w:val="32"/>
        </w:rPr>
        <w:t>落实处理情况如下：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（一）建议移送司法机关处理的人员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于某滨违章作业，对事故发生负有直接责任。</w:t>
      </w:r>
      <w:r>
        <w:rPr>
          <w:rFonts w:hint="eastAsia" w:ascii="仿宋_GB2312" w:eastAsia="仿宋_GB2312"/>
          <w:sz w:val="32"/>
          <w:szCs w:val="32"/>
          <w:lang w:val="en-US" w:eastAsia="zh-CN"/>
        </w:rPr>
        <w:t>已</w:t>
      </w:r>
      <w:r>
        <w:rPr>
          <w:rFonts w:hint="eastAsia" w:ascii="仿宋_GB2312" w:eastAsia="仿宋_GB2312"/>
          <w:sz w:val="32"/>
          <w:szCs w:val="32"/>
        </w:rPr>
        <w:t>由公安机关立案侦查，</w:t>
      </w:r>
      <w:r>
        <w:rPr>
          <w:rFonts w:hint="eastAsia" w:ascii="仿宋_GB2312" w:eastAsia="仿宋_GB2312"/>
          <w:sz w:val="32"/>
          <w:szCs w:val="32"/>
          <w:lang w:val="en-US" w:eastAsia="zh-CN"/>
        </w:rPr>
        <w:t>取保候审中</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二</w:t>
      </w:r>
      <w:r>
        <w:rPr>
          <w:rFonts w:hint="eastAsia" w:ascii="仿宋_GB2312" w:eastAsia="仿宋_GB2312"/>
          <w:sz w:val="32"/>
          <w:szCs w:val="32"/>
        </w:rPr>
        <w:t>）对事故有关责任人员和责任单位的行政处罚建议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中铁大桥局安全总监</w:t>
      </w:r>
      <w:r>
        <w:rPr>
          <w:rFonts w:hint="eastAsia" w:ascii="仿宋_GB2312" w:eastAsia="仿宋_GB2312"/>
          <w:sz w:val="32"/>
          <w:szCs w:val="32"/>
          <w:lang w:val="en-US" w:eastAsia="zh-CN"/>
        </w:rPr>
        <w:t>戴某革</w:t>
      </w:r>
      <w:r>
        <w:rPr>
          <w:rFonts w:hint="eastAsia" w:ascii="仿宋_GB2312" w:eastAsia="仿宋_GB2312"/>
          <w:sz w:val="32"/>
          <w:szCs w:val="32"/>
        </w:rPr>
        <w:t>，本单位专职安全生产分管负责人，协助本单位负责人履行安全生产管理职责。未严格履行安全生产法定职责，督促、检查本单位的安全生产状况不到位，未及时排查生产安全事故隐患，其行为违反了《中华人民共和国安全生产法》第二十五条第一款第（五）项的规定，对事故发生负有管理责任。依据《中华人民共和国安全生产法》第九十六条的规定，建议由朝阳区应急管理局给予</w:t>
      </w:r>
      <w:r>
        <w:rPr>
          <w:rFonts w:hint="eastAsia" w:ascii="仿宋_GB2312" w:eastAsia="仿宋_GB2312"/>
          <w:sz w:val="32"/>
          <w:szCs w:val="32"/>
          <w:lang w:val="en-US" w:eastAsia="zh-CN"/>
        </w:rPr>
        <w:t>戴某革</w:t>
      </w:r>
      <w:r>
        <w:rPr>
          <w:rFonts w:hint="eastAsia" w:ascii="仿宋_GB2312" w:eastAsia="仿宋_GB2312"/>
          <w:sz w:val="32"/>
          <w:szCs w:val="32"/>
        </w:rPr>
        <w:t>处上一年年收入百分之二十以上百分之五十以下罚款的行政处罚。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eastAsia" w:ascii="仿宋_GB2312" w:eastAsia="仿宋_GB2312"/>
          <w:sz w:val="32"/>
          <w:szCs w:val="32"/>
          <w:lang w:val="en-US" w:eastAsia="zh-CN"/>
        </w:rPr>
        <w:t>戴某革</w:t>
      </w:r>
      <w:r>
        <w:rPr>
          <w:rFonts w:hint="eastAsia" w:ascii="仿宋_GB2312" w:eastAsia="仿宋_GB2312"/>
          <w:sz w:val="32"/>
          <w:szCs w:val="32"/>
        </w:rPr>
        <w:t>处以人民币</w:t>
      </w:r>
      <w:r>
        <w:rPr>
          <w:rFonts w:hint="eastAsia" w:ascii="仿宋_GB2312" w:eastAsia="仿宋_GB2312"/>
          <w:sz w:val="32"/>
          <w:szCs w:val="32"/>
          <w:lang w:val="en-US" w:eastAsia="zh-CN"/>
        </w:rPr>
        <w:t>柒万陆仟贰佰零伍元壹角伍分</w:t>
      </w:r>
      <w:r>
        <w:rPr>
          <w:rFonts w:hint="eastAsia" w:ascii="仿宋_GB2312" w:eastAsia="仿宋_GB2312"/>
          <w:sz w:val="32"/>
          <w:szCs w:val="32"/>
        </w:rPr>
        <w:t>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04</w:t>
      </w:r>
      <w:r>
        <w:rPr>
          <w:rFonts w:hint="eastAsia" w:ascii="仿宋_GB2312" w:eastAsia="仿宋_GB2312"/>
          <w:sz w:val="32"/>
          <w:szCs w:val="32"/>
        </w:rPr>
        <w:t>-A</w:t>
      </w:r>
      <w:r>
        <w:rPr>
          <w:rFonts w:hint="eastAsia" w:ascii="仿宋_GB2312" w:eastAsia="仿宋_GB2312"/>
          <w:sz w:val="32"/>
          <w:szCs w:val="32"/>
          <w:lang w:val="en-US" w:eastAsia="zh-CN"/>
        </w:rPr>
        <w:t>2</w:t>
      </w:r>
      <w:r>
        <w:rPr>
          <w:rFonts w:hint="eastAsia" w:ascii="仿宋_GB2312" w:eastAsia="仿宋_GB2312"/>
          <w:sz w:val="32"/>
          <w:szCs w:val="32"/>
        </w:rPr>
        <w:t>号，并已结案。</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中铁大桥局驻事发项目项目经理</w:t>
      </w:r>
      <w:r>
        <w:rPr>
          <w:rFonts w:hint="eastAsia" w:ascii="仿宋_GB2312" w:eastAsia="仿宋_GB2312"/>
          <w:sz w:val="32"/>
          <w:szCs w:val="32"/>
          <w:lang w:val="en-US" w:eastAsia="zh-CN"/>
        </w:rPr>
        <w:t>蒙某林</w:t>
      </w:r>
      <w:r>
        <w:rPr>
          <w:rFonts w:hint="eastAsia" w:ascii="仿宋_GB2312" w:eastAsia="仿宋_GB2312"/>
          <w:sz w:val="32"/>
          <w:szCs w:val="32"/>
        </w:rPr>
        <w:t>，负责本单位在事发项目全面管理工作。未严格履行安全生产法定职责，对项目施工现场失管失控，未及时制止和纠正劳务分包单位作业人员违章作业行为，其行为违反了《中华人民共和国安全生产法》第二十五条第一款第（六）项的规定，对事故发生负有管理责任。依据《中华人民共和国安全生产法》第九十六条的规定，建议由朝阳区应急管理局给予</w:t>
      </w:r>
      <w:r>
        <w:rPr>
          <w:rFonts w:hint="eastAsia" w:ascii="仿宋_GB2312" w:eastAsia="仿宋_GB2312"/>
          <w:sz w:val="32"/>
          <w:szCs w:val="32"/>
          <w:lang w:val="en-US" w:eastAsia="zh-CN"/>
        </w:rPr>
        <w:t>蒙某林</w:t>
      </w:r>
      <w:r>
        <w:rPr>
          <w:rFonts w:hint="eastAsia" w:ascii="仿宋_GB2312" w:eastAsia="仿宋_GB2312"/>
          <w:sz w:val="32"/>
          <w:szCs w:val="32"/>
        </w:rPr>
        <w:t>处上一年年收入百分之二十以上百分之五十以下罚款的行政处罚。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eastAsia" w:ascii="仿宋_GB2312" w:eastAsia="仿宋_GB2312"/>
          <w:sz w:val="32"/>
          <w:szCs w:val="32"/>
          <w:lang w:val="en-US" w:eastAsia="zh-CN"/>
        </w:rPr>
        <w:t>蒙某林</w:t>
      </w:r>
      <w:r>
        <w:rPr>
          <w:rFonts w:hint="eastAsia" w:ascii="仿宋_GB2312" w:eastAsia="仿宋_GB2312"/>
          <w:sz w:val="32"/>
          <w:szCs w:val="32"/>
        </w:rPr>
        <w:t>处以人民币</w:t>
      </w:r>
      <w:r>
        <w:rPr>
          <w:rFonts w:hint="eastAsia" w:ascii="仿宋_GB2312" w:eastAsia="仿宋_GB2312"/>
          <w:sz w:val="32"/>
          <w:szCs w:val="32"/>
          <w:lang w:val="en-US" w:eastAsia="zh-CN"/>
        </w:rPr>
        <w:t>肆万叁仟玖佰伍拾玖元陆角玖分</w:t>
      </w:r>
      <w:r>
        <w:rPr>
          <w:rFonts w:hint="eastAsia" w:ascii="仿宋_GB2312" w:eastAsia="仿宋_GB2312"/>
          <w:sz w:val="32"/>
          <w:szCs w:val="32"/>
        </w:rPr>
        <w:t>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04</w:t>
      </w:r>
      <w:r>
        <w:rPr>
          <w:rFonts w:hint="eastAsia" w:ascii="仿宋_GB2312" w:eastAsia="仿宋_GB2312"/>
          <w:sz w:val="32"/>
          <w:szCs w:val="32"/>
        </w:rPr>
        <w:t>-A</w:t>
      </w:r>
      <w:r>
        <w:rPr>
          <w:rFonts w:hint="eastAsia" w:ascii="仿宋_GB2312" w:eastAsia="仿宋_GB2312"/>
          <w:sz w:val="32"/>
          <w:szCs w:val="32"/>
          <w:lang w:val="en-US" w:eastAsia="zh-CN"/>
        </w:rPr>
        <w:t>3</w:t>
      </w:r>
      <w:r>
        <w:rPr>
          <w:rFonts w:hint="eastAsia" w:ascii="仿宋_GB2312" w:eastAsia="仿宋_GB2312"/>
          <w:sz w:val="32"/>
          <w:szCs w:val="32"/>
        </w:rPr>
        <w:t>号。</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铭城嘉业公司总经理</w:t>
      </w:r>
      <w:r>
        <w:rPr>
          <w:rFonts w:hint="eastAsia" w:ascii="仿宋_GB2312" w:eastAsia="仿宋_GB2312"/>
          <w:sz w:val="32"/>
          <w:szCs w:val="32"/>
          <w:lang w:val="en-US" w:eastAsia="zh-CN"/>
        </w:rPr>
        <w:t>金某</w:t>
      </w:r>
      <w:r>
        <w:rPr>
          <w:rFonts w:hint="eastAsia" w:ascii="仿宋_GB2312" w:eastAsia="仿宋_GB2312"/>
          <w:sz w:val="32"/>
          <w:szCs w:val="32"/>
        </w:rPr>
        <w:t>，全面负责本单位安全生产工作。未严格履行安全生产管理职责，未组织建立并落实安全风险分级管控和隐患排查治理双重预防工作机制，督促、检查本单位的安全生产工作不到位，未及时消除本单位作业人员违章作业的生产安全事故隐患。其行为违反了《中华人民共和国安全生产法》第二十一条第（五）项的规定，对事故发生负有管理责任。依据《中华人民共和国安全生产法》第九十五条第（一）项的规定，建议由朝阳区应急管理局给予</w:t>
      </w:r>
      <w:r>
        <w:rPr>
          <w:rFonts w:hint="eastAsia" w:ascii="仿宋_GB2312" w:eastAsia="仿宋_GB2312"/>
          <w:sz w:val="32"/>
          <w:szCs w:val="32"/>
          <w:lang w:val="en-US" w:eastAsia="zh-CN"/>
        </w:rPr>
        <w:t>金某</w:t>
      </w:r>
      <w:r>
        <w:rPr>
          <w:rFonts w:hint="eastAsia" w:ascii="仿宋_GB2312" w:eastAsia="仿宋_GB2312"/>
          <w:sz w:val="32"/>
          <w:szCs w:val="32"/>
        </w:rPr>
        <w:t>处上一年年收入百分之四十罚款的行政处罚。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eastAsia" w:ascii="仿宋_GB2312" w:eastAsia="仿宋_GB2312"/>
          <w:sz w:val="32"/>
          <w:szCs w:val="32"/>
          <w:lang w:val="en-US" w:eastAsia="zh-CN"/>
        </w:rPr>
        <w:t>金某</w:t>
      </w:r>
      <w:r>
        <w:rPr>
          <w:rFonts w:hint="eastAsia" w:ascii="仿宋_GB2312" w:eastAsia="仿宋_GB2312"/>
          <w:sz w:val="32"/>
          <w:szCs w:val="32"/>
        </w:rPr>
        <w:t>处以人民币</w:t>
      </w:r>
      <w:r>
        <w:rPr>
          <w:rFonts w:hint="eastAsia" w:ascii="仿宋_GB2312" w:eastAsia="仿宋_GB2312"/>
          <w:sz w:val="32"/>
          <w:szCs w:val="32"/>
          <w:lang w:val="en-US" w:eastAsia="zh-CN"/>
        </w:rPr>
        <w:t>贰万陆仟叁佰陆拾肆元壹角贰分</w:t>
      </w:r>
      <w:r>
        <w:rPr>
          <w:rFonts w:hint="eastAsia" w:ascii="仿宋_GB2312" w:eastAsia="仿宋_GB2312"/>
          <w:sz w:val="32"/>
          <w:szCs w:val="32"/>
        </w:rPr>
        <w:t>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04</w:t>
      </w:r>
      <w:r>
        <w:rPr>
          <w:rFonts w:hint="eastAsia" w:ascii="仿宋_GB2312" w:eastAsia="仿宋_GB2312"/>
          <w:sz w:val="32"/>
          <w:szCs w:val="32"/>
        </w:rPr>
        <w:t>-A</w:t>
      </w:r>
      <w:r>
        <w:rPr>
          <w:rFonts w:hint="eastAsia" w:ascii="仿宋_GB2312" w:eastAsia="仿宋_GB2312"/>
          <w:sz w:val="32"/>
          <w:szCs w:val="32"/>
          <w:lang w:val="en-US" w:eastAsia="zh-CN"/>
        </w:rPr>
        <w:t>5</w:t>
      </w:r>
      <w:r>
        <w:rPr>
          <w:rFonts w:hint="eastAsia" w:ascii="仿宋_GB2312" w:eastAsia="仿宋_GB2312"/>
          <w:sz w:val="32"/>
          <w:szCs w:val="32"/>
        </w:rPr>
        <w:t>号。</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致远监理公司总经理</w:t>
      </w:r>
      <w:r>
        <w:rPr>
          <w:rFonts w:hint="eastAsia" w:ascii="仿宋_GB2312" w:eastAsia="仿宋_GB2312"/>
          <w:sz w:val="32"/>
          <w:szCs w:val="32"/>
          <w:lang w:val="en-US" w:eastAsia="zh-CN"/>
        </w:rPr>
        <w:t>陈某欣</w:t>
      </w:r>
      <w:r>
        <w:rPr>
          <w:rFonts w:hint="eastAsia" w:ascii="仿宋_GB2312" w:eastAsia="仿宋_GB2312"/>
          <w:sz w:val="32"/>
          <w:szCs w:val="32"/>
        </w:rPr>
        <w:t>，全面负责本单位安全生产工作。未严格履行安全生产管理职责，未组织建立并落实安全风险分级管控和隐患排查治理双重预防工作机制，督促、检查本单位的安全生产工作不到位，未及时消除事发项目监理部未切实履行监理职责的生产安全事故隐患。其行为违反了《中华人民共和国安全生产法》第二十一条第（五）项的规定，对事故发生负有管理责任。依据《中华人民共和国安全生产法》第九十五条第（一）项的规定，建议由朝阳区应急管理局给予陈</w:t>
      </w:r>
      <w:r>
        <w:rPr>
          <w:rFonts w:hint="eastAsia" w:ascii="仿宋_GB2312" w:eastAsia="仿宋_GB2312"/>
          <w:sz w:val="32"/>
          <w:szCs w:val="32"/>
          <w:lang w:val="en-US" w:eastAsia="zh-CN"/>
        </w:rPr>
        <w:t>某</w:t>
      </w:r>
      <w:r>
        <w:rPr>
          <w:rFonts w:hint="eastAsia" w:ascii="仿宋_GB2312" w:eastAsia="仿宋_GB2312"/>
          <w:sz w:val="32"/>
          <w:szCs w:val="32"/>
        </w:rPr>
        <w:t>欣处上一年年收入百分之四十罚款的行政处罚。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区应急管理局已根据《事故调查报告》的上述要求，依法对陈</w:t>
      </w:r>
      <w:r>
        <w:rPr>
          <w:rFonts w:hint="eastAsia" w:ascii="仿宋_GB2312" w:eastAsia="仿宋_GB2312"/>
          <w:sz w:val="32"/>
          <w:szCs w:val="32"/>
          <w:lang w:val="en-US" w:eastAsia="zh-CN"/>
        </w:rPr>
        <w:t>某</w:t>
      </w:r>
      <w:r>
        <w:rPr>
          <w:rFonts w:hint="eastAsia" w:ascii="仿宋_GB2312" w:eastAsia="仿宋_GB2312"/>
          <w:sz w:val="32"/>
          <w:szCs w:val="32"/>
        </w:rPr>
        <w:t>欣处以人民币</w:t>
      </w:r>
      <w:r>
        <w:rPr>
          <w:rFonts w:hint="eastAsia" w:ascii="仿宋_GB2312" w:eastAsia="仿宋_GB2312"/>
          <w:sz w:val="32"/>
          <w:szCs w:val="32"/>
          <w:lang w:val="en-US" w:eastAsia="zh-CN"/>
        </w:rPr>
        <w:t>壹拾贰万伍仟叁佰陆拾</w:t>
      </w:r>
      <w:r>
        <w:rPr>
          <w:rFonts w:hint="eastAsia" w:ascii="仿宋_GB2312" w:eastAsia="仿宋_GB2312"/>
          <w:sz w:val="32"/>
          <w:szCs w:val="32"/>
        </w:rPr>
        <w:t>元整的行政处罚，处罚决定书编号：（京朝）应急罚〔202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04</w:t>
      </w:r>
      <w:r>
        <w:rPr>
          <w:rFonts w:hint="eastAsia" w:ascii="仿宋_GB2312" w:eastAsia="仿宋_GB2312"/>
          <w:sz w:val="32"/>
          <w:szCs w:val="32"/>
        </w:rPr>
        <w:t>-A</w:t>
      </w:r>
      <w:r>
        <w:rPr>
          <w:rFonts w:hint="eastAsia" w:ascii="仿宋_GB2312" w:eastAsia="仿宋_GB2312"/>
          <w:sz w:val="32"/>
          <w:szCs w:val="32"/>
          <w:lang w:val="en-US" w:eastAsia="zh-CN"/>
        </w:rPr>
        <w:t>7</w:t>
      </w:r>
      <w:r>
        <w:rPr>
          <w:rFonts w:hint="eastAsia" w:ascii="仿宋_GB2312" w:eastAsia="仿宋_GB2312"/>
          <w:sz w:val="32"/>
          <w:szCs w:val="32"/>
        </w:rPr>
        <w:t>号。</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中铁大桥局。作为总承包单位，未健全并落实生产安全事故隐患排查治理制度，未采取技术、管理措施，及时发现并消除事发项目存在的事故隐患；未安排专门人员对吊装施工现场进行管理，操作规程和安全措施落实不到位。其行为违反了《中华人民共和国安全生产法》第四十一条第二款和第四十三条的规定，对事故发生负有主要管理责任。依据《中华人民共和国安全生产法》第一百一十四条第一款第（一）项的规定，建议由朝阳区应急管理局给予中铁大桥局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区应急管理局已根据《事故调查报告》的上述要求，依法对中铁大桥局处以人民币</w:t>
      </w:r>
      <w:r>
        <w:rPr>
          <w:rFonts w:hint="eastAsia" w:ascii="仿宋_GB2312" w:eastAsia="仿宋_GB2312"/>
          <w:sz w:val="32"/>
          <w:szCs w:val="32"/>
          <w:lang w:val="en-US" w:eastAsia="zh-CN"/>
        </w:rPr>
        <w:t>肆拾伍万</w:t>
      </w:r>
      <w:r>
        <w:rPr>
          <w:rFonts w:hint="eastAsia" w:ascii="仿宋_GB2312" w:eastAsia="仿宋_GB2312"/>
          <w:sz w:val="32"/>
          <w:szCs w:val="32"/>
        </w:rPr>
        <w:t>元整的行政处罚，处罚决定书编号：（京朝）应急罚〔202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04</w:t>
      </w:r>
      <w:r>
        <w:rPr>
          <w:rFonts w:hint="eastAsia" w:ascii="仿宋_GB2312" w:eastAsia="仿宋_GB2312"/>
          <w:sz w:val="32"/>
          <w:szCs w:val="32"/>
        </w:rPr>
        <w:t>-A</w:t>
      </w:r>
      <w:r>
        <w:rPr>
          <w:rFonts w:hint="eastAsia" w:ascii="仿宋_GB2312" w:eastAsia="仿宋_GB2312"/>
          <w:sz w:val="32"/>
          <w:szCs w:val="32"/>
          <w:lang w:val="en-US" w:eastAsia="zh-CN"/>
        </w:rPr>
        <w:t>1</w:t>
      </w:r>
      <w:r>
        <w:rPr>
          <w:rFonts w:hint="eastAsia" w:ascii="仿宋_GB2312" w:eastAsia="仿宋_GB2312"/>
          <w:sz w:val="32"/>
          <w:szCs w:val="32"/>
        </w:rPr>
        <w:t>号。</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铭城嘉业公司。未按法定要求对从业人员进行安全生产教育和培训，导致现场作业人员不具备必要的安全生产知识，不熟悉有关的安全生产规章制度和安全操作规程。其行为违反了《中华人民共和国安全生产法》第二十八条第一款的规定，对事故发生负有管理责任。依据《中华人民共和国安全生产法》第一百一十四条第一款第（一）项的规定，建议由朝阳区应急管理局给予铭城嘉业公司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区应急管理局已根据《事故调查报告》的上述要求，依法对铭城嘉业公司处以人民币</w:t>
      </w:r>
      <w:r>
        <w:rPr>
          <w:rFonts w:hint="eastAsia" w:ascii="仿宋_GB2312" w:eastAsia="仿宋_GB2312"/>
          <w:sz w:val="32"/>
          <w:szCs w:val="32"/>
          <w:lang w:val="en-US" w:eastAsia="zh-CN"/>
        </w:rPr>
        <w:t>肆拾伍万</w:t>
      </w:r>
      <w:r>
        <w:rPr>
          <w:rFonts w:hint="eastAsia" w:ascii="仿宋_GB2312" w:eastAsia="仿宋_GB2312"/>
          <w:sz w:val="32"/>
          <w:szCs w:val="32"/>
        </w:rPr>
        <w:t>元整的行政处罚，处罚决定书编号：（京朝）应急罚〔202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04</w:t>
      </w:r>
      <w:r>
        <w:rPr>
          <w:rFonts w:hint="eastAsia" w:ascii="仿宋_GB2312" w:eastAsia="仿宋_GB2312"/>
          <w:sz w:val="32"/>
          <w:szCs w:val="32"/>
        </w:rPr>
        <w:t>-A</w:t>
      </w:r>
      <w:r>
        <w:rPr>
          <w:rFonts w:hint="eastAsia" w:ascii="仿宋_GB2312" w:eastAsia="仿宋_GB2312"/>
          <w:sz w:val="32"/>
          <w:szCs w:val="32"/>
          <w:lang w:val="en-US" w:eastAsia="zh-CN"/>
        </w:rPr>
        <w:t>4</w:t>
      </w:r>
      <w:r>
        <w:rPr>
          <w:rFonts w:hint="eastAsia" w:ascii="仿宋_GB2312" w:eastAsia="仿宋_GB2312"/>
          <w:sz w:val="32"/>
          <w:szCs w:val="32"/>
        </w:rPr>
        <w:t>号。</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致远监理公司。作为本项目的监理单位，未切实履行监理职责，未及时发现并消除事发现场存在的安全隐患。其行为违反了《建设工程安全生产管理条例》第十四条的规定，对事故发生负有监理责任。依据《中华人民共和国安全生产法》第一百一十四条第一款第（一）项的规定，建议由朝阳区应急管理局给予致远监理公司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区应急管理局已根据《事故调查报告》的上述要求，依法对致远监理公司处以人民币</w:t>
      </w:r>
      <w:r>
        <w:rPr>
          <w:rFonts w:hint="eastAsia" w:ascii="仿宋_GB2312" w:eastAsia="仿宋_GB2312"/>
          <w:sz w:val="32"/>
          <w:szCs w:val="32"/>
          <w:lang w:val="en-US" w:eastAsia="zh-CN"/>
        </w:rPr>
        <w:t>肆拾伍万</w:t>
      </w:r>
      <w:r>
        <w:rPr>
          <w:rFonts w:hint="eastAsia" w:ascii="仿宋_GB2312" w:eastAsia="仿宋_GB2312"/>
          <w:sz w:val="32"/>
          <w:szCs w:val="32"/>
        </w:rPr>
        <w:t>元整的行政处罚，处罚决定书编号：（京朝）应急罚〔202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04</w:t>
      </w:r>
      <w:r>
        <w:rPr>
          <w:rFonts w:hint="eastAsia" w:ascii="仿宋_GB2312" w:eastAsia="仿宋_GB2312"/>
          <w:sz w:val="32"/>
          <w:szCs w:val="32"/>
        </w:rPr>
        <w:t>-A</w:t>
      </w:r>
      <w:r>
        <w:rPr>
          <w:rFonts w:hint="eastAsia" w:ascii="仿宋_GB2312" w:eastAsia="仿宋_GB2312"/>
          <w:sz w:val="32"/>
          <w:szCs w:val="32"/>
          <w:lang w:val="en-US" w:eastAsia="zh-CN"/>
        </w:rPr>
        <w:t>6</w:t>
      </w:r>
      <w:r>
        <w:rPr>
          <w:rFonts w:hint="eastAsia" w:ascii="仿宋_GB2312" w:eastAsia="仿宋_GB2312"/>
          <w:sz w:val="32"/>
          <w:szCs w:val="32"/>
        </w:rPr>
        <w:t>号。</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整改和防范措施落实情况</w:t>
      </w:r>
    </w:p>
    <w:p>
      <w:pPr>
        <w:spacing w:line="560" w:lineRule="exact"/>
        <w:ind w:firstLine="608" w:firstLineChars="190"/>
        <w:rPr>
          <w:rFonts w:hint="eastAsia" w:ascii="仿宋_GB2312" w:eastAsia="仿宋_GB2312"/>
          <w:sz w:val="32"/>
          <w:szCs w:val="32"/>
        </w:rPr>
      </w:pPr>
      <w:r>
        <w:rPr>
          <w:rFonts w:hint="eastAsia" w:ascii="仿宋_GB2312" w:eastAsia="仿宋_GB2312"/>
          <w:sz w:val="32"/>
          <w:szCs w:val="32"/>
        </w:rPr>
        <w:t>《事故调查报告》中要求：</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1.建立安全预防控制体系。中铁大桥局、铭城嘉业公司、致远监理公司，要坚持“风险优先、系统防控、全员参与、持续改进、信息化支撑”五项原则，落实好“主要负责人亲自上手、准确掌握基本知识、风险辨识评估全面、制定风险管控措施针对性要强、促进各种管理体系有机融合、风险管控和隐患排查要简明实用”六项基本要求、把握好“风险辨识、风险评估、风险分级管控、隐患排查治理、持续改进提升”五个关键环节。</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2.严格落实安全生产主体责任。中铁大桥局要深化安全风险管控，加强安全隐患排查力度，及时发现并消除事故隐患；加强对项目分包单位监督管理，安排专门人员进行安全管理，确保安全措施的落实。</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3.加强对从业人员教育力度。铭城嘉业公司要严格按照相关法律、法规加强对其从业人员的安全教育培训，保证从业人员具备必要的安全生产知识，掌握本岗位的安全操作技能，督促从业人员严格执行本单位的安全生产管理制度。</w:t>
      </w:r>
    </w:p>
    <w:p>
      <w:pPr>
        <w:spacing w:line="560" w:lineRule="exact"/>
        <w:ind w:firstLine="608" w:firstLineChars="190"/>
        <w:rPr>
          <w:rFonts w:ascii="仿宋_GB2312" w:eastAsia="仿宋_GB2312"/>
          <w:sz w:val="32"/>
          <w:szCs w:val="32"/>
        </w:rPr>
      </w:pPr>
      <w:r>
        <w:rPr>
          <w:rFonts w:hint="eastAsia" w:ascii="仿宋_GB2312" w:eastAsia="仿宋_GB2312"/>
          <w:sz w:val="32"/>
          <w:szCs w:val="32"/>
          <w:lang w:val="en-US" w:eastAsia="zh-CN"/>
        </w:rPr>
        <w:t>4.强化施工现场特种作业管理。中铁大桥局、铭城嘉业公司要严格审核特种作业人员资质，并要求作业人员定期参加复审培训，确保作业人员具备相关的技能和知识；要在施工过程中辨识每项特种作业内容，制定详细的施工方案，作业前对作业人员进行详细的技术交底；要在特种作业现场设置明显的安全警示标志，禁止无关人员进入；在作业过程要设置专人监护，及时发现并纠正不安全行为，及时发现并消除事故隐患。同时，要根据现场实际情况，不断完善和优化特种作业管理制度，持续提高安全管理水平。</w:t>
      </w:r>
    </w:p>
    <w:p>
      <w:pPr>
        <w:spacing w:line="560" w:lineRule="exact"/>
        <w:ind w:firstLine="610" w:firstLineChars="190"/>
        <w:rPr>
          <w:rFonts w:hint="eastAsia" w:ascii="仿宋_GB2312" w:eastAsia="仿宋_GB2312"/>
          <w:b/>
          <w:bCs/>
          <w:sz w:val="32"/>
          <w:szCs w:val="32"/>
        </w:rPr>
      </w:pPr>
      <w:r>
        <w:rPr>
          <w:rFonts w:hint="eastAsia" w:ascii="仿宋_GB2312" w:eastAsia="仿宋_GB2312"/>
          <w:b/>
          <w:bCs/>
          <w:sz w:val="32"/>
          <w:szCs w:val="32"/>
          <w:lang w:val="en-US" w:eastAsia="zh-CN"/>
        </w:rPr>
        <w:t>事故单位</w:t>
      </w:r>
      <w:r>
        <w:rPr>
          <w:rFonts w:hint="eastAsia" w:ascii="仿宋_GB2312" w:eastAsia="仿宋_GB2312"/>
          <w:b/>
          <w:bCs/>
          <w:sz w:val="32"/>
          <w:szCs w:val="32"/>
        </w:rPr>
        <w:t>深刻汲取事故教训，主要开展</w:t>
      </w:r>
      <w:r>
        <w:rPr>
          <w:rFonts w:hint="eastAsia" w:ascii="仿宋_GB2312" w:eastAsia="仿宋_GB2312"/>
          <w:b/>
          <w:bCs/>
          <w:sz w:val="32"/>
          <w:szCs w:val="32"/>
          <w:lang w:val="en-US" w:eastAsia="zh-CN"/>
        </w:rPr>
        <w:t>了</w:t>
      </w:r>
      <w:r>
        <w:rPr>
          <w:rFonts w:hint="eastAsia" w:ascii="仿宋_GB2312" w:eastAsia="仿宋_GB2312"/>
          <w:b/>
          <w:bCs/>
          <w:sz w:val="32"/>
          <w:szCs w:val="32"/>
        </w:rPr>
        <w:t>以下工作：</w:t>
      </w:r>
    </w:p>
    <w:p>
      <w:pPr>
        <w:spacing w:line="560" w:lineRule="exact"/>
        <w:ind w:firstLine="608" w:firstLineChars="190"/>
        <w:rPr>
          <w:rFonts w:hint="default"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致远监</w:t>
      </w:r>
      <w:r>
        <w:rPr>
          <w:rFonts w:hint="eastAsia" w:ascii="仿宋_GB2312" w:eastAsia="仿宋_GB2312"/>
          <w:sz w:val="32"/>
          <w:szCs w:val="32"/>
          <w:lang w:val="en-US" w:eastAsia="zh-CN"/>
        </w:rPr>
        <w:t>理公司自事故发生后，一是建立安全风险管控信息化平台，实现风险的实时监控和预警；二是建立完善的隐患排查治理制度，确保隐患排查工作常态化、制度化；三是对分包单位进行专人管理，加强审核人员资质，对特种人员进行专项检查；四是对从业人员进行安全教育培训，督促从业人员严格执行本单位的安全生产管理制度；五是对特种作业人员的资质进行严格审核，在施工前对施工方案进行详细审查，在作业过程中设置专人监护，及时发现并纠正不安全行为等。</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中铁大桥局</w:t>
      </w:r>
      <w:r>
        <w:rPr>
          <w:rFonts w:hint="eastAsia" w:ascii="仿宋_GB2312" w:eastAsia="仿宋_GB2312"/>
          <w:sz w:val="32"/>
          <w:szCs w:val="32"/>
          <w:lang w:val="en-US" w:eastAsia="zh-CN"/>
        </w:rPr>
        <w:t>自事故发生后，一是组织全体员工参与安全管理工作，主要负责人亲自上手，确保准确掌握安全基本知识；二是将风险防控置于首位，对施工现场进行全面系统的风险辨识和评估，制定针对性的风险管控措施；三是建立完善的隐患排查治理制度，对分包单位进行专人管理，加强审核人员资质，对特种人员进行专项检查；四是督促从业人员严格执行本单位的安全生产管理制度，对特种作业人员的资质进行严格审核；六是施工前对施工方案进行详细审查，要求施工单位对作业人员进行详细的技术交底；七是要求施工单位在特种现场设置明显的安全警示标志，禁止无关人员进入，在作业过程中设置专人监护，及时发现并纠正不安全行为等。</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cs="Times New Roman"/>
          <w:kern w:val="2"/>
          <w:sz w:val="32"/>
          <w:szCs w:val="32"/>
          <w:lang w:val="en-US" w:eastAsia="zh-CN" w:bidi="ar-SA"/>
        </w:rPr>
        <w:t>3</w:t>
      </w:r>
      <w:r>
        <w:rPr>
          <w:rFonts w:hint="eastAsia" w:ascii="仿宋_GB2312" w:hAnsi="Times New Roman" w:eastAsia="仿宋_GB2312" w:cs="Times New Roman"/>
          <w:kern w:val="2"/>
          <w:sz w:val="32"/>
          <w:szCs w:val="32"/>
          <w:lang w:val="en-US" w:eastAsia="zh-CN" w:bidi="ar-SA"/>
        </w:rPr>
        <w:t>.</w:t>
      </w:r>
      <w:r>
        <w:rPr>
          <w:rFonts w:hint="eastAsia" w:ascii="仿宋_GB2312" w:eastAsia="仿宋_GB2312"/>
          <w:sz w:val="32"/>
          <w:szCs w:val="32"/>
        </w:rPr>
        <w:t>铭城嘉业公司</w:t>
      </w:r>
      <w:r>
        <w:rPr>
          <w:rFonts w:hint="eastAsia" w:ascii="仿宋_GB2312" w:eastAsia="仿宋_GB2312"/>
          <w:sz w:val="32"/>
          <w:szCs w:val="32"/>
          <w:lang w:val="en-US" w:eastAsia="zh-CN"/>
        </w:rPr>
        <w:t>因经营情况，未提交事故整改评估相关材料。</w:t>
      </w:r>
    </w:p>
    <w:p>
      <w:pPr>
        <w:spacing w:line="560" w:lineRule="exact"/>
        <w:ind w:firstLine="608" w:firstLineChars="190"/>
        <w:rPr>
          <w:rFonts w:hint="default" w:ascii="仿宋_GB2312" w:eastAsia="仿宋_GB2312"/>
          <w:sz w:val="32"/>
          <w:szCs w:val="32"/>
          <w:lang w:val="en-US" w:eastAsia="zh-CN"/>
        </w:rPr>
      </w:pPr>
      <w:r>
        <w:rPr>
          <w:rFonts w:hint="default" w:ascii="仿宋_GB2312" w:eastAsia="仿宋_GB2312"/>
          <w:sz w:val="32"/>
          <w:szCs w:val="32"/>
          <w:lang w:val="en-US" w:eastAsia="zh-CN"/>
        </w:rPr>
        <w:t>上述材料基本证明事故发生后，</w:t>
      </w:r>
      <w:r>
        <w:rPr>
          <w:rFonts w:hint="eastAsia" w:ascii="仿宋_GB2312" w:eastAsia="仿宋_GB2312"/>
          <w:sz w:val="32"/>
          <w:szCs w:val="32"/>
          <w:lang w:val="en-US" w:eastAsia="zh-CN"/>
        </w:rPr>
        <w:t>事故单位</w:t>
      </w:r>
      <w:r>
        <w:rPr>
          <w:rFonts w:hint="default" w:ascii="仿宋_GB2312" w:eastAsia="仿宋_GB2312"/>
          <w:sz w:val="32"/>
          <w:szCs w:val="32"/>
          <w:lang w:val="en-US" w:eastAsia="zh-CN"/>
        </w:rPr>
        <w:t>按照《事故调查报告</w:t>
      </w:r>
      <w:r>
        <w:rPr>
          <w:rFonts w:hint="eastAsia" w:ascii="仿宋_GB2312" w:eastAsia="仿宋_GB2312"/>
          <w:sz w:val="32"/>
          <w:szCs w:val="32"/>
          <w:lang w:val="en-US" w:eastAsia="zh-CN"/>
        </w:rPr>
        <w:t>》</w:t>
      </w:r>
      <w:r>
        <w:rPr>
          <w:rFonts w:hint="default" w:ascii="仿宋_GB2312" w:eastAsia="仿宋_GB2312"/>
          <w:sz w:val="32"/>
          <w:szCs w:val="32"/>
          <w:lang w:val="en-US" w:eastAsia="zh-CN"/>
        </w:rPr>
        <w:t>要求，建立安全预防控制体系</w:t>
      </w:r>
      <w:r>
        <w:rPr>
          <w:rFonts w:hint="eastAsia" w:ascii="仿宋_GB2312" w:eastAsia="仿宋_GB2312"/>
          <w:sz w:val="32"/>
          <w:szCs w:val="32"/>
          <w:lang w:val="en-US" w:eastAsia="zh-CN"/>
        </w:rPr>
        <w:t>，严格落实安全生产主体责任，加强从业人员的安全教育培训，强化施工现场特种作业管理等，</w:t>
      </w:r>
      <w:r>
        <w:rPr>
          <w:rFonts w:hint="default" w:ascii="仿宋_GB2312" w:eastAsia="仿宋_GB2312"/>
          <w:sz w:val="32"/>
          <w:szCs w:val="32"/>
          <w:lang w:val="en-US" w:eastAsia="zh-CN"/>
        </w:rPr>
        <w:t>落实了事故整改措施。</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事故发生单位安全</w:t>
      </w:r>
      <w:r>
        <w:rPr>
          <w:rFonts w:hint="eastAsia" w:ascii="黑体" w:hAnsi="黑体" w:eastAsia="黑体"/>
          <w:sz w:val="32"/>
          <w:szCs w:val="32"/>
          <w:lang w:val="en-US" w:eastAsia="zh-CN"/>
        </w:rPr>
        <w:t>管理现状</w:t>
      </w:r>
    </w:p>
    <w:p>
      <w:pPr>
        <w:spacing w:line="560" w:lineRule="exact"/>
        <w:ind w:firstLine="608" w:firstLineChars="190"/>
        <w:rPr>
          <w:rFonts w:hint="eastAsia" w:ascii="仿宋_GB2312" w:hAnsi="Calibri" w:eastAsia="仿宋_GB2312"/>
          <w:sz w:val="32"/>
          <w:szCs w:val="32"/>
        </w:rPr>
      </w:pPr>
      <w:r>
        <w:rPr>
          <w:rFonts w:hint="eastAsia" w:ascii="仿宋_GB2312" w:hAnsi="Calibri" w:eastAsia="仿宋_GB2312"/>
          <w:sz w:val="32"/>
          <w:szCs w:val="32"/>
        </w:rPr>
        <w:t>经核实，事故地点——北京地铁17号线工程土建施工09合同段已建设完毕。</w:t>
      </w:r>
    </w:p>
    <w:p>
      <w:pPr>
        <w:spacing w:line="560" w:lineRule="exact"/>
        <w:ind w:firstLine="608" w:firstLineChars="190"/>
        <w:rPr>
          <w:rFonts w:hint="eastAsia" w:ascii="仿宋_GB2312" w:hAnsi="Calibri" w:eastAsia="仿宋_GB2312"/>
          <w:sz w:val="32"/>
          <w:szCs w:val="32"/>
          <w:highlight w:val="none"/>
        </w:rPr>
      </w:pPr>
      <w:r>
        <w:rPr>
          <w:rFonts w:hint="eastAsia" w:ascii="仿宋_GB2312" w:hAnsi="Calibri" w:eastAsia="仿宋_GB2312"/>
          <w:sz w:val="32"/>
          <w:szCs w:val="32"/>
          <w:highlight w:val="none"/>
        </w:rPr>
        <w:t>致远监理公司提供了安全生产规章制度、施工组织设计审核制度、危大工程清单、建立档案清单、监理旁站记录、分项工程验收表、监理安全工作通知及回复、停复工申请及报告等文件。</w:t>
      </w:r>
    </w:p>
    <w:p>
      <w:pPr>
        <w:spacing w:line="560" w:lineRule="exact"/>
        <w:ind w:firstLine="608" w:firstLineChars="190"/>
        <w:rPr>
          <w:rFonts w:hint="eastAsia" w:ascii="仿宋_GB2312" w:hAnsi="Calibri" w:eastAsia="仿宋_GB2312"/>
          <w:sz w:val="32"/>
          <w:szCs w:val="32"/>
          <w:highlight w:val="none"/>
        </w:rPr>
      </w:pPr>
      <w:r>
        <w:rPr>
          <w:rFonts w:hint="eastAsia" w:ascii="仿宋_GB2312" w:hAnsi="Calibri" w:eastAsia="仿宋_GB2312"/>
          <w:sz w:val="32"/>
          <w:szCs w:val="32"/>
          <w:highlight w:val="none"/>
        </w:rPr>
        <w:t>中铁大桥局提供了安全生产管理制度汇编、消防管理制度汇编、施工现场噪声控制管理制度、治安保卫管理制度、充电式管理制度、营区夜间巡查制度、公司各部门/各级/各班组安全生产责任制、生产安全事故综合应急预案、公司所属各党总支穿透式安全巡查管控实施办法、“结对子”活动深度融合的实施意见、安全生产“雷霆行动”实施方案、现场检查照片、安全管理周例会会议记录及现场照片、安全防护/文明施工措施费支出台账、劳动用品发放使用登记台账、安全生产责任险保单、技术交底记录、主体结构模板支架专项施工方案及审核记录等文件。</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eastAsia" w:ascii="仿宋_GB2312" w:hAnsi="Calibri" w:eastAsia="仿宋_GB2312"/>
          <w:sz w:val="32"/>
          <w:szCs w:val="32"/>
        </w:rPr>
      </w:pPr>
      <w:r>
        <w:rPr>
          <w:rFonts w:hint="eastAsia" w:ascii="仿宋_GB2312" w:hAnsi="Calibri" w:eastAsia="仿宋_GB2312"/>
          <w:sz w:val="32"/>
          <w:szCs w:val="32"/>
        </w:rPr>
        <w:t>根据致远监理公司</w:t>
      </w:r>
      <w:r>
        <w:rPr>
          <w:rFonts w:hint="eastAsia" w:ascii="仿宋_GB2312" w:hAnsi="Calibri" w:eastAsia="仿宋_GB2312"/>
          <w:sz w:val="32"/>
          <w:szCs w:val="32"/>
          <w:lang w:eastAsia="zh-CN"/>
        </w:rPr>
        <w:t>、</w:t>
      </w:r>
      <w:r>
        <w:rPr>
          <w:rFonts w:hint="eastAsia" w:ascii="仿宋_GB2312" w:hAnsi="Calibri" w:eastAsia="仿宋_GB2312"/>
          <w:sz w:val="32"/>
          <w:szCs w:val="32"/>
        </w:rPr>
        <w:t>中铁大桥局提供的事故发生后的</w:t>
      </w:r>
      <w:r>
        <w:rPr>
          <w:rFonts w:hint="eastAsia" w:ascii="仿宋_GB2312" w:hAnsi="Calibri" w:eastAsia="仿宋_GB2312"/>
          <w:sz w:val="32"/>
          <w:szCs w:val="32"/>
          <w:lang w:val="en-US" w:eastAsia="zh-CN"/>
        </w:rPr>
        <w:t>安全工作</w:t>
      </w:r>
      <w:r>
        <w:rPr>
          <w:rFonts w:hint="eastAsia" w:ascii="仿宋_GB2312" w:hAnsi="Calibri" w:eastAsia="仿宋_GB2312"/>
          <w:sz w:val="32"/>
          <w:szCs w:val="32"/>
        </w:rPr>
        <w:t>相关资料，基本可以证明</w:t>
      </w:r>
      <w:r>
        <w:rPr>
          <w:rFonts w:hint="eastAsia" w:ascii="仿宋_GB2312" w:hAnsi="Calibri" w:eastAsia="仿宋_GB2312"/>
          <w:sz w:val="32"/>
          <w:szCs w:val="32"/>
          <w:lang w:val="en-US" w:eastAsia="zh-CN"/>
        </w:rPr>
        <w:t>上述</w:t>
      </w:r>
      <w:r>
        <w:rPr>
          <w:rFonts w:hint="eastAsia" w:ascii="仿宋_GB2312" w:hAnsi="Calibri" w:eastAsia="仿宋_GB2312"/>
          <w:sz w:val="32"/>
          <w:szCs w:val="32"/>
        </w:rPr>
        <w:t>单位安全管理现状符合《事故调查报告》中的要求</w:t>
      </w: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但还应继续完善部分专项安全工作，具体见《</w:t>
      </w:r>
      <w:r>
        <w:rPr>
          <w:rFonts w:hint="eastAsia" w:ascii="仿宋_GB2312" w:hAnsi="Calibri" w:eastAsia="仿宋_GB2312"/>
          <w:sz w:val="32"/>
          <w:szCs w:val="32"/>
        </w:rPr>
        <w:t>专项评估报告</w:t>
      </w:r>
      <w:r>
        <w:rPr>
          <w:rFonts w:hint="eastAsia" w:ascii="仿宋_GB2312" w:hAnsi="Calibri" w:eastAsia="仿宋_GB2312"/>
          <w:sz w:val="32"/>
          <w:szCs w:val="32"/>
          <w:lang w:val="en-US" w:eastAsia="zh-CN"/>
        </w:rPr>
        <w:t>》</w:t>
      </w:r>
      <w:r>
        <w:rPr>
          <w:rFonts w:hint="eastAsia" w:ascii="仿宋_GB2312" w:hAnsi="Calibri" w:eastAsia="仿宋_GB2312"/>
          <w:sz w:val="32"/>
          <w:szCs w:val="32"/>
        </w:rPr>
        <w:t>。</w:t>
      </w:r>
    </w:p>
    <w:p>
      <w:pPr>
        <w:spacing w:line="560" w:lineRule="exact"/>
        <w:ind w:firstLine="608" w:firstLineChars="190"/>
        <w:rPr>
          <w:rFonts w:hint="eastAsia" w:ascii="仿宋_GB2312" w:hAnsi="Calibri" w:eastAsia="仿宋_GB2312"/>
          <w:sz w:val="32"/>
          <w:szCs w:val="32"/>
          <w:highlight w:val="yellow"/>
        </w:rPr>
      </w:pPr>
      <w:r>
        <w:rPr>
          <w:rFonts w:hint="eastAsia" w:ascii="仿宋_GB2312" w:eastAsia="仿宋_GB2312"/>
          <w:sz w:val="32"/>
          <w:szCs w:val="32"/>
        </w:rPr>
        <w:t>铭城嘉业公司</w:t>
      </w:r>
      <w:r>
        <w:rPr>
          <w:rFonts w:hint="eastAsia" w:ascii="仿宋_GB2312" w:hAnsi="Calibri" w:eastAsia="仿宋_GB2312"/>
          <w:sz w:val="32"/>
          <w:szCs w:val="32"/>
          <w:lang w:val="en-US" w:eastAsia="zh-CN"/>
        </w:rPr>
        <w:t>因经营问题，未提交现状经营情况相关材料，无</w:t>
      </w:r>
      <w:r>
        <w:rPr>
          <w:rFonts w:hint="eastAsia" w:ascii="仿宋_GB2312" w:eastAsia="仿宋_GB2312"/>
          <w:sz w:val="32"/>
          <w:szCs w:val="32"/>
          <w:lang w:val="en-US" w:eastAsia="zh-CN"/>
        </w:rPr>
        <w:t>法开展现状评估工作。</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评估发现的主要问题和相关工作建议</w:t>
      </w:r>
    </w:p>
    <w:p>
      <w:pPr>
        <w:spacing w:line="560" w:lineRule="exact"/>
        <w:ind w:firstLine="608" w:firstLineChars="190"/>
        <w:rPr>
          <w:rFonts w:ascii="仿宋_GB2312" w:hAnsi="Calibri" w:eastAsia="仿宋_GB2312"/>
          <w:sz w:val="32"/>
          <w:szCs w:val="32"/>
        </w:rPr>
      </w:pPr>
      <w:r>
        <w:rPr>
          <w:rFonts w:hint="eastAsia" w:ascii="仿宋_GB2312" w:hAnsi="Calibri" w:eastAsia="仿宋_GB2312"/>
          <w:sz w:val="32"/>
          <w:szCs w:val="32"/>
        </w:rPr>
        <w:t>本次事故发生的原因为</w:t>
      </w:r>
      <w:r>
        <w:rPr>
          <w:rFonts w:hint="eastAsia" w:ascii="仿宋_GB2312" w:hAnsi="Calibri" w:eastAsia="仿宋_GB2312"/>
          <w:sz w:val="32"/>
          <w:szCs w:val="32"/>
          <w:lang w:val="en-US" w:eastAsia="zh-CN"/>
        </w:rPr>
        <w:t>一些人员擅自、无证、违规操作，同时存在企业安全生产管理职责履行不到位，施工现场管理缺失，人员教育培训不到位等。</w:t>
      </w:r>
      <w:r>
        <w:rPr>
          <w:rFonts w:hint="eastAsia" w:ascii="仿宋_GB2312" w:hAnsi="Calibri" w:eastAsia="仿宋_GB2312"/>
          <w:sz w:val="32"/>
          <w:szCs w:val="32"/>
        </w:rPr>
        <w:t>具体问题和工作建议如下：</w:t>
      </w:r>
    </w:p>
    <w:p>
      <w:pPr>
        <w:snapToGrid w:val="0"/>
        <w:spacing w:line="600" w:lineRule="exact"/>
        <w:ind w:firstLine="643" w:firstLineChars="200"/>
        <w:rPr>
          <w:rFonts w:hint="default" w:ascii="仿宋_GB2312" w:hAnsi="Calibri" w:eastAsia="仿宋_GB2312"/>
          <w:sz w:val="32"/>
          <w:szCs w:val="32"/>
          <w:lang w:val="en-US" w:eastAsia="zh-CN"/>
        </w:rPr>
      </w:pPr>
      <w:r>
        <w:rPr>
          <w:rFonts w:hint="eastAsia" w:ascii="仿宋_GB2312" w:hAnsi="黑体" w:eastAsia="仿宋_GB2312"/>
          <w:b/>
          <w:sz w:val="32"/>
          <w:szCs w:val="32"/>
        </w:rPr>
        <w:t>问题</w:t>
      </w:r>
      <w:r>
        <w:rPr>
          <w:rFonts w:hint="eastAsia" w:ascii="仿宋_GB2312" w:hAnsi="Calibri" w:eastAsia="仿宋_GB2312"/>
          <w:b/>
          <w:sz w:val="32"/>
          <w:szCs w:val="32"/>
        </w:rPr>
        <w:t>：</w:t>
      </w:r>
      <w:r>
        <w:rPr>
          <w:rFonts w:hint="eastAsia" w:ascii="仿宋_GB2312" w:hAnsi="Calibri" w:eastAsia="仿宋_GB2312"/>
          <w:sz w:val="32"/>
          <w:szCs w:val="32"/>
        </w:rPr>
        <w:t>此次</w:t>
      </w:r>
      <w:r>
        <w:rPr>
          <w:rFonts w:hint="eastAsia" w:ascii="仿宋_GB2312" w:hAnsi="Calibri" w:eastAsia="仿宋_GB2312"/>
          <w:sz w:val="32"/>
          <w:szCs w:val="32"/>
          <w:lang w:val="en-US" w:eastAsia="zh-CN"/>
        </w:rPr>
        <w:t>建筑安全</w:t>
      </w:r>
      <w:r>
        <w:rPr>
          <w:rFonts w:hint="eastAsia" w:ascii="仿宋_GB2312" w:hAnsi="Calibri" w:eastAsia="仿宋_GB2312"/>
          <w:sz w:val="32"/>
          <w:szCs w:val="32"/>
        </w:rPr>
        <w:t>事故</w:t>
      </w:r>
      <w:r>
        <w:rPr>
          <w:rFonts w:hint="eastAsia" w:ascii="仿宋_GB2312" w:hAnsi="Calibri" w:eastAsia="仿宋_GB2312"/>
          <w:sz w:val="32"/>
          <w:szCs w:val="32"/>
          <w:lang w:val="en-US" w:eastAsia="zh-CN"/>
        </w:rPr>
        <w:t>与典型的从业人员违规作业不同，是一起班组管理人员冒险作业，且开展的是特种作业活动，各种高风险活动叠加导致的亡人事件</w:t>
      </w:r>
      <w:r>
        <w:rPr>
          <w:rFonts w:hint="eastAsia" w:ascii="仿宋_GB2312" w:hAnsi="Calibri" w:eastAsia="仿宋_GB2312"/>
          <w:sz w:val="32"/>
          <w:szCs w:val="32"/>
        </w:rPr>
        <w:t>。</w:t>
      </w:r>
    </w:p>
    <w:p>
      <w:pPr>
        <w:snapToGrid w:val="0"/>
        <w:spacing w:line="600" w:lineRule="exact"/>
        <w:ind w:firstLine="643" w:firstLineChars="200"/>
        <w:rPr>
          <w:rFonts w:hint="default" w:ascii="仿宋_GB2312" w:hAnsi="Calibri" w:eastAsia="仿宋_GB2312"/>
          <w:sz w:val="32"/>
          <w:szCs w:val="32"/>
          <w:lang w:val="en-US" w:eastAsia="zh-CN"/>
        </w:rPr>
      </w:pPr>
      <w:r>
        <w:rPr>
          <w:rFonts w:hint="eastAsia" w:ascii="仿宋_GB2312" w:hAnsi="黑体" w:eastAsia="仿宋_GB2312"/>
          <w:b/>
          <w:sz w:val="32"/>
          <w:szCs w:val="32"/>
        </w:rPr>
        <w:t>建议：</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lang w:val="en-US" w:eastAsia="zh-CN"/>
        </w:rPr>
        <w:t>刑法</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lang w:val="en-US" w:eastAsia="zh-CN"/>
        </w:rPr>
        <w:t>安全生产法</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lang w:val="en-US" w:eastAsia="zh-CN"/>
        </w:rPr>
        <w:t>规定组织他人违章冒险作业罪的构成要件，发生重大伤亡事故的，处五年以下有期徒刑或者拘役，若其同时明知存在重大事故隐患而不排除，仍冒险组织作业，同样适用该条款，且为加重情节。</w:t>
      </w:r>
      <w:r>
        <w:rPr>
          <w:rFonts w:hint="eastAsia" w:ascii="仿宋_GB2312" w:hAnsi="Calibri" w:eastAsia="仿宋_GB2312"/>
          <w:sz w:val="32"/>
          <w:szCs w:val="32"/>
          <w:lang w:val="en-US" w:eastAsia="zh-CN"/>
        </w:rPr>
        <w:t>建设单位、总包单位应与施工单位明确安全职责，并签订安全协议，特别是一些高风险作业的关键环节，如明确班组长“无审批权、无拆改权、无停送电权”等，加强教育培训，提高全员、特别是一线作业人员安全意识，提高作业人员识别、判断和报告现场隐患的能力；针对特种设备操作，总包单位应核验身份证、资格证原件，留存复印件并建立台账，进场后由总包进行安全再教育、安全技术交底，每日班前进行“作业环境、指挥信号、应急措施”确认，交底记录双方签字存档；住建部门和属地应加强监管，发现未登记、未检验、无证操作等问题，立即移交处罚。</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评估工作组综合评估意见</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综上所述，评估组依法对</w:t>
      </w:r>
      <w:r>
        <w:rPr>
          <w:rFonts w:hint="eastAsia" w:ascii="仿宋_GB2312" w:hAnsi="Calibri" w:eastAsia="仿宋_GB2312"/>
          <w:sz w:val="32"/>
          <w:szCs w:val="32"/>
          <w:lang w:eastAsia="zh-CN"/>
        </w:rPr>
        <w:t>朝阳左家庄中国铁建大桥工程局集团有限公司“11·8”一般车辆伤害事故</w:t>
      </w:r>
      <w:r>
        <w:rPr>
          <w:rFonts w:hint="eastAsia" w:ascii="仿宋_GB2312" w:hAnsi="Calibri" w:eastAsia="仿宋_GB2312"/>
          <w:sz w:val="32"/>
          <w:szCs w:val="32"/>
        </w:rPr>
        <w:t>责任追究和防范整改措施落实情况进行评估后认定：区应急管理局已依法落实了对</w:t>
      </w:r>
      <w:r>
        <w:rPr>
          <w:rFonts w:hint="eastAsia" w:ascii="仿宋_GB2312" w:hAnsi="Calibri" w:eastAsia="仿宋_GB2312"/>
          <w:sz w:val="32"/>
          <w:szCs w:val="32"/>
          <w:lang w:eastAsia="zh-CN"/>
        </w:rPr>
        <w:t>中铁大桥局</w:t>
      </w:r>
      <w:r>
        <w:rPr>
          <w:rFonts w:hint="eastAsia" w:ascii="仿宋_GB2312" w:hAnsi="Calibri" w:eastAsia="仿宋_GB2312"/>
          <w:sz w:val="32"/>
          <w:szCs w:val="32"/>
          <w:lang w:val="en-US" w:eastAsia="zh-CN"/>
        </w:rPr>
        <w:t>、</w:t>
      </w:r>
      <w:r>
        <w:rPr>
          <w:rFonts w:hint="eastAsia" w:ascii="仿宋_GB2312" w:hAnsi="Calibri" w:eastAsia="仿宋_GB2312"/>
          <w:sz w:val="32"/>
          <w:szCs w:val="32"/>
          <w:lang w:eastAsia="zh-CN"/>
        </w:rPr>
        <w:t>铭城嘉业公司</w:t>
      </w:r>
      <w:r>
        <w:rPr>
          <w:rFonts w:hint="eastAsia" w:ascii="仿宋_GB2312" w:hAnsi="Calibri" w:eastAsia="仿宋_GB2312"/>
          <w:sz w:val="32"/>
          <w:szCs w:val="32"/>
          <w:lang w:val="en-US" w:eastAsia="zh-CN"/>
        </w:rPr>
        <w:t>和</w:t>
      </w:r>
      <w:r>
        <w:rPr>
          <w:rFonts w:hint="eastAsia" w:ascii="仿宋_GB2312" w:hAnsi="Calibri" w:eastAsia="仿宋_GB2312"/>
          <w:sz w:val="32"/>
          <w:szCs w:val="32"/>
          <w:lang w:eastAsia="zh-CN"/>
        </w:rPr>
        <w:t>致远监理公司</w:t>
      </w:r>
      <w:r>
        <w:rPr>
          <w:rFonts w:hint="eastAsia" w:ascii="仿宋_GB2312" w:hAnsi="Calibri" w:eastAsia="仿宋_GB2312"/>
          <w:sz w:val="32"/>
          <w:szCs w:val="32"/>
          <w:lang w:val="en-US" w:eastAsia="zh-CN"/>
        </w:rPr>
        <w:t>及相关人员</w:t>
      </w:r>
      <w:r>
        <w:rPr>
          <w:rFonts w:hint="eastAsia" w:ascii="仿宋_GB2312" w:hAnsi="宋体" w:eastAsia="仿宋_GB2312" w:cs="MingLiU"/>
          <w:sz w:val="32"/>
          <w:szCs w:val="32"/>
        </w:rPr>
        <w:t>的行政处罚</w:t>
      </w:r>
      <w:r>
        <w:rPr>
          <w:rFonts w:hint="eastAsia" w:ascii="仿宋_GB2312" w:hAnsi="宋体" w:eastAsia="仿宋_GB2312" w:cs="MingLiU"/>
          <w:sz w:val="32"/>
          <w:szCs w:val="32"/>
          <w:lang w:eastAsia="zh-CN"/>
        </w:rPr>
        <w:t>。</w:t>
      </w:r>
      <w:r>
        <w:rPr>
          <w:rFonts w:hint="eastAsia" w:ascii="仿宋_GB2312" w:hAnsi="Calibri" w:eastAsia="仿宋_GB2312"/>
          <w:sz w:val="32"/>
          <w:szCs w:val="32"/>
          <w:lang w:eastAsia="zh-CN"/>
        </w:rPr>
        <w:t>中铁大桥局</w:t>
      </w:r>
      <w:r>
        <w:rPr>
          <w:rFonts w:hint="eastAsia" w:ascii="仿宋_GB2312" w:hAnsi="Calibri" w:eastAsia="仿宋_GB2312"/>
          <w:sz w:val="32"/>
          <w:szCs w:val="32"/>
          <w:lang w:val="en-US" w:eastAsia="zh-CN"/>
        </w:rPr>
        <w:t>和</w:t>
      </w:r>
      <w:r>
        <w:rPr>
          <w:rFonts w:hint="eastAsia" w:ascii="仿宋_GB2312" w:hAnsi="Calibri" w:eastAsia="仿宋_GB2312"/>
          <w:sz w:val="32"/>
          <w:szCs w:val="32"/>
          <w:lang w:eastAsia="zh-CN"/>
        </w:rPr>
        <w:t>致远监理公司</w:t>
      </w:r>
      <w:r>
        <w:rPr>
          <w:rFonts w:hint="eastAsia" w:ascii="仿宋_GB2312" w:hAnsi="宋体" w:eastAsia="仿宋_GB2312" w:cs="MingLiU"/>
          <w:sz w:val="32"/>
          <w:szCs w:val="32"/>
        </w:rPr>
        <w:t>已基本落实了事故整改和防范措施</w:t>
      </w:r>
      <w:r>
        <w:rPr>
          <w:rFonts w:hint="eastAsia" w:ascii="仿宋_GB2312" w:hAnsi="宋体" w:eastAsia="仿宋_GB2312" w:cs="MingLiU"/>
          <w:sz w:val="32"/>
          <w:szCs w:val="32"/>
          <w:lang w:eastAsia="zh-CN"/>
        </w:rPr>
        <w:t>，</w:t>
      </w:r>
      <w:r>
        <w:rPr>
          <w:rFonts w:hint="eastAsia" w:ascii="仿宋_GB2312" w:hAnsi="Calibri" w:eastAsia="仿宋_GB2312"/>
          <w:sz w:val="32"/>
          <w:szCs w:val="32"/>
        </w:rPr>
        <w:t>安全</w:t>
      </w:r>
      <w:r>
        <w:rPr>
          <w:rFonts w:hint="eastAsia" w:ascii="仿宋_GB2312" w:hAnsi="Calibri" w:eastAsia="仿宋_GB2312"/>
          <w:sz w:val="32"/>
          <w:szCs w:val="32"/>
          <w:lang w:val="en-US" w:eastAsia="zh-CN"/>
        </w:rPr>
        <w:t>管理</w:t>
      </w:r>
      <w:r>
        <w:rPr>
          <w:rFonts w:hint="eastAsia" w:ascii="仿宋_GB2312" w:hAnsi="Calibri" w:eastAsia="仿宋_GB2312"/>
          <w:sz w:val="32"/>
          <w:szCs w:val="32"/>
        </w:rPr>
        <w:t>现状基本符合《事故调查报告》中的要求。</w:t>
      </w:r>
    </w:p>
    <w:p>
      <w:pPr>
        <w:pStyle w:val="7"/>
        <w:rPr>
          <w:rFonts w:hint="eastAsia" w:ascii="仿宋_GB2312" w:hAnsi="Calibri" w:eastAsia="仿宋_GB2312"/>
          <w:sz w:val="32"/>
          <w:szCs w:val="32"/>
        </w:rPr>
      </w:pPr>
    </w:p>
    <w:p>
      <w:pPr>
        <w:rPr>
          <w:rFonts w:hint="eastAsia" w:ascii="仿宋_GB2312" w:hAnsi="Calibri" w:eastAsia="仿宋_GB2312"/>
          <w:sz w:val="32"/>
          <w:szCs w:val="32"/>
        </w:rPr>
      </w:pPr>
    </w:p>
    <w:p>
      <w:pPr>
        <w:pStyle w:val="7"/>
        <w:rPr>
          <w:rFonts w:hint="eastAsia" w:ascii="仿宋_GB2312" w:hAnsi="Calibri" w:eastAsia="仿宋_GB2312"/>
          <w:sz w:val="32"/>
          <w:szCs w:val="32"/>
        </w:rPr>
      </w:pPr>
    </w:p>
    <w:p>
      <w:pPr>
        <w:rPr>
          <w:rFonts w:hint="eastAsia" w:ascii="仿宋_GB2312" w:hAnsi="Calibri" w:eastAsia="仿宋_GB2312"/>
          <w:sz w:val="32"/>
          <w:szCs w:val="32"/>
        </w:rPr>
      </w:pPr>
    </w:p>
    <w:p>
      <w:pPr>
        <w:pStyle w:val="7"/>
        <w:rPr>
          <w:rFonts w:hint="eastAsia" w:ascii="仿宋_GB2312" w:hAnsi="Calibri" w:eastAsia="仿宋_GB2312"/>
          <w:sz w:val="32"/>
          <w:szCs w:val="32"/>
        </w:rPr>
      </w:pPr>
    </w:p>
    <w:p>
      <w:pPr>
        <w:rPr>
          <w:rFonts w:hint="eastAsia" w:ascii="仿宋_GB2312" w:hAnsi="Calibri" w:eastAsia="仿宋_GB2312"/>
          <w:sz w:val="32"/>
          <w:szCs w:val="32"/>
        </w:rPr>
      </w:pPr>
    </w:p>
    <w:p>
      <w:pPr>
        <w:rPr>
          <w:rFonts w:hint="eastAsia"/>
          <w:lang w:val="en-US" w:eastAsia="zh-CN"/>
        </w:rPr>
      </w:pPr>
      <w:r>
        <w:rPr>
          <w:rFonts w:ascii="仿宋" w:hAnsi="仿宋" w:eastAsia="仿宋"/>
          <w:sz w:val="32"/>
          <w:szCs w:val="32"/>
          <w:lang w:bidi="ta-IN"/>
        </w:rPr>
        <mc:AlternateContent>
          <mc:Choice Requires="wps">
            <w:drawing>
              <wp:anchor distT="0" distB="0" distL="114300" distR="114300" simplePos="0" relativeHeight="251665408" behindDoc="0" locked="0" layoutInCell="1" allowOverlap="1">
                <wp:simplePos x="0" y="0"/>
                <wp:positionH relativeFrom="column">
                  <wp:posOffset>191135</wp:posOffset>
                </wp:positionH>
                <wp:positionV relativeFrom="paragraph">
                  <wp:posOffset>190500</wp:posOffset>
                </wp:positionV>
                <wp:extent cx="5292090" cy="1905"/>
                <wp:effectExtent l="0" t="0" r="0" b="0"/>
                <wp:wrapNone/>
                <wp:docPr id="16" name="直线 8"/>
                <wp:cNvGraphicFramePr/>
                <a:graphic xmlns:a="http://schemas.openxmlformats.org/drawingml/2006/main">
                  <a:graphicData uri="http://schemas.microsoft.com/office/word/2010/wordprocessingShape">
                    <wps:wsp>
                      <wps:cNvCnPr/>
                      <wps:spPr>
                        <a:xfrm>
                          <a:off x="0" y="0"/>
                          <a:ext cx="5292090" cy="190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15.05pt;margin-top:15pt;height:0.15pt;width:416.7pt;z-index:251665408;mso-width-relative:page;mso-height-relative:page;" filled="f" stroked="t" coordsize="21600,21600" o:gfxdata="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6WuLXAAAACAEAAA8AAAAAAAAAAQAgAAAA&#10;IgAAAGRycy9kb3ducmV2LnhtbFBLAQIUABQAAAAIAIdO4kAYL2gb0wEAAKADAAAOAAAAAAAAAAEA&#10;IAAAACYBAABkcnMvZTJvRG9jLnhtbFBLBQYAAAAABgAGAFkBAABrBQAAAAA=&#10;">
                <v:fill on="f" focussize="0,0"/>
                <v:stroke weight="1pt" color="#00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line="360" w:lineRule="exact"/>
        <w:ind w:right="0" w:firstLine="640" w:firstLineChars="200"/>
        <w:jc w:val="left"/>
        <w:textAlignment w:val="auto"/>
        <w:rPr>
          <w:rFonts w:hint="eastAsia" w:ascii="仿宋_GB2312" w:hAnsi="Calibri" w:eastAsia="仿宋_GB2312"/>
          <w:sz w:val="32"/>
          <w:szCs w:val="32"/>
        </w:rPr>
      </w:pPr>
      <w:bookmarkStart w:id="0" w:name="_GoBack"/>
      <w:r>
        <w:rPr>
          <w:rFonts w:ascii="仿宋" w:hAnsi="仿宋" w:eastAsia="仿宋"/>
          <w:sz w:val="32"/>
          <w:szCs w:val="32"/>
          <w:lang w:bidi="ta-IN"/>
        </w:rPr>
        <mc:AlternateContent>
          <mc:Choice Requires="wps">
            <w:drawing>
              <wp:anchor distT="0" distB="0" distL="114300" distR="114300" simplePos="0" relativeHeight="251666432" behindDoc="0" locked="0" layoutInCell="1" allowOverlap="1">
                <wp:simplePos x="0" y="0"/>
                <wp:positionH relativeFrom="column">
                  <wp:posOffset>184785</wp:posOffset>
                </wp:positionH>
                <wp:positionV relativeFrom="paragraph">
                  <wp:posOffset>236855</wp:posOffset>
                </wp:positionV>
                <wp:extent cx="5292725" cy="3175"/>
                <wp:effectExtent l="0" t="0" r="0" b="0"/>
                <wp:wrapNone/>
                <wp:docPr id="3" name="直线 8"/>
                <wp:cNvGraphicFramePr/>
                <a:graphic xmlns:a="http://schemas.openxmlformats.org/drawingml/2006/main">
                  <a:graphicData uri="http://schemas.microsoft.com/office/word/2010/wordprocessingShape">
                    <wps:wsp>
                      <wps:cNvCnPr/>
                      <wps:spPr>
                        <a:xfrm flipV="1">
                          <a:off x="0" y="0"/>
                          <a:ext cx="5292725" cy="317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flip:y;margin-left:14.55pt;margin-top:18.65pt;height:0.25pt;width:416.75pt;z-index:251666432;mso-width-relative:page;mso-height-relative:page;" filled="f" stroked="t" coordsize="21600,21600" o:gfxdata="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fhAEA2AAAAAgBAAAPAAAA&#10;AAAAAAEAIAAAACIAAABkcnMvZG93bnJldi54bWxQSwECFAAUAAAACACHTuJAfnGCz9wBAACpAwAA&#10;DgAAAAAAAAABACAAAAAnAQAAZHJzL2Uyb0RvYy54bWxQSwUGAAAAAAYABgBZAQAAdQUAAAAA&#10;">
                <v:fill on="f" focussize="0,0"/>
                <v:stroke weight="1pt" color="#000000" joinstyle="round"/>
                <v:imagedata o:title=""/>
                <o:lock v:ext="edit" aspectratio="f"/>
              </v:line>
            </w:pict>
          </mc:Fallback>
        </mc:AlternateContent>
      </w:r>
      <w:bookmarkEnd w:id="0"/>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7</w:t>
      </w:r>
      <w:r>
        <w:rPr>
          <w:rFonts w:hint="eastAsia" w:ascii="仿宋" w:hAnsi="仿宋" w:eastAsia="仿宋"/>
          <w:sz w:val="32"/>
          <w:szCs w:val="32"/>
        </w:rPr>
        <w:t>日印发</w:t>
      </w:r>
    </w:p>
    <w:p>
      <w:pPr>
        <w:pStyle w:val="7"/>
      </w:pP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公文楷体">
    <w:altName w:val="楷体_GB2312"/>
    <w:panose1 w:val="02000500000000000000"/>
    <w:charset w:val="86"/>
    <w:family w:val="auto"/>
    <w:pitch w:val="default"/>
    <w:sig w:usb0="00000000" w:usb1="00000000" w:usb2="00000016" w:usb3="00000000" w:csb0="00040001" w:csb1="00000000"/>
  </w:font>
  <w:font w:name="方正公文仿宋">
    <w:altName w:val="仿宋"/>
    <w:panose1 w:val="02000500000000000000"/>
    <w:charset w:val="86"/>
    <w:family w:val="auto"/>
    <w:pitch w:val="default"/>
    <w:sig w:usb0="00000000" w:usb1="00000000"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44F919"/>
    <w:multiLevelType w:val="singleLevel"/>
    <w:tmpl w:val="9B44F9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zNmZhZmJkMzU5ZjUwM2U5YzU2NWZkODNmOWY1OGEifQ=="/>
  </w:docVars>
  <w:rsids>
    <w:rsidRoot w:val="00EA6BD4"/>
    <w:rsid w:val="00000288"/>
    <w:rsid w:val="000018C0"/>
    <w:rsid w:val="00003409"/>
    <w:rsid w:val="00004BCE"/>
    <w:rsid w:val="00004F43"/>
    <w:rsid w:val="000059E5"/>
    <w:rsid w:val="00011606"/>
    <w:rsid w:val="0001279E"/>
    <w:rsid w:val="00012828"/>
    <w:rsid w:val="0001412E"/>
    <w:rsid w:val="00015021"/>
    <w:rsid w:val="0001700E"/>
    <w:rsid w:val="000245E9"/>
    <w:rsid w:val="00027967"/>
    <w:rsid w:val="00027B02"/>
    <w:rsid w:val="00027E36"/>
    <w:rsid w:val="00032BD1"/>
    <w:rsid w:val="000339D2"/>
    <w:rsid w:val="00037EE2"/>
    <w:rsid w:val="000403E5"/>
    <w:rsid w:val="000418FA"/>
    <w:rsid w:val="00041952"/>
    <w:rsid w:val="00042626"/>
    <w:rsid w:val="00042E7A"/>
    <w:rsid w:val="000474C1"/>
    <w:rsid w:val="000514AF"/>
    <w:rsid w:val="00060F8E"/>
    <w:rsid w:val="000627E8"/>
    <w:rsid w:val="00062B1E"/>
    <w:rsid w:val="000634FF"/>
    <w:rsid w:val="000658F3"/>
    <w:rsid w:val="00066D29"/>
    <w:rsid w:val="00067608"/>
    <w:rsid w:val="000700E7"/>
    <w:rsid w:val="00070D36"/>
    <w:rsid w:val="00071718"/>
    <w:rsid w:val="00071912"/>
    <w:rsid w:val="000773FD"/>
    <w:rsid w:val="00077C5B"/>
    <w:rsid w:val="00090B8C"/>
    <w:rsid w:val="00095402"/>
    <w:rsid w:val="000959AE"/>
    <w:rsid w:val="0009699C"/>
    <w:rsid w:val="000A040B"/>
    <w:rsid w:val="000A0C4B"/>
    <w:rsid w:val="000A2969"/>
    <w:rsid w:val="000B0452"/>
    <w:rsid w:val="000B08D6"/>
    <w:rsid w:val="000B0B68"/>
    <w:rsid w:val="000B13BC"/>
    <w:rsid w:val="000B1DDA"/>
    <w:rsid w:val="000B2C6A"/>
    <w:rsid w:val="000B31D3"/>
    <w:rsid w:val="000B77B7"/>
    <w:rsid w:val="000C6EB8"/>
    <w:rsid w:val="000D0442"/>
    <w:rsid w:val="000D0B1B"/>
    <w:rsid w:val="000D1151"/>
    <w:rsid w:val="000D1C31"/>
    <w:rsid w:val="000D32FE"/>
    <w:rsid w:val="000D6C41"/>
    <w:rsid w:val="000E1E9B"/>
    <w:rsid w:val="000E2E45"/>
    <w:rsid w:val="000E42CC"/>
    <w:rsid w:val="000E5142"/>
    <w:rsid w:val="000F450F"/>
    <w:rsid w:val="000F73C9"/>
    <w:rsid w:val="00100929"/>
    <w:rsid w:val="00100971"/>
    <w:rsid w:val="00102FD2"/>
    <w:rsid w:val="00103E9E"/>
    <w:rsid w:val="001126B0"/>
    <w:rsid w:val="001147A0"/>
    <w:rsid w:val="00114F0E"/>
    <w:rsid w:val="001158AD"/>
    <w:rsid w:val="00115F55"/>
    <w:rsid w:val="0011724B"/>
    <w:rsid w:val="0012002D"/>
    <w:rsid w:val="00120C20"/>
    <w:rsid w:val="00121CD3"/>
    <w:rsid w:val="001228D1"/>
    <w:rsid w:val="00123966"/>
    <w:rsid w:val="00130CEE"/>
    <w:rsid w:val="001315D3"/>
    <w:rsid w:val="00132279"/>
    <w:rsid w:val="00132DD8"/>
    <w:rsid w:val="00135699"/>
    <w:rsid w:val="0013620A"/>
    <w:rsid w:val="00136A0D"/>
    <w:rsid w:val="00136CC0"/>
    <w:rsid w:val="00137A55"/>
    <w:rsid w:val="001419C7"/>
    <w:rsid w:val="001428AC"/>
    <w:rsid w:val="0014556C"/>
    <w:rsid w:val="00146305"/>
    <w:rsid w:val="00152030"/>
    <w:rsid w:val="0015205C"/>
    <w:rsid w:val="001526FE"/>
    <w:rsid w:val="00155D5C"/>
    <w:rsid w:val="0016221F"/>
    <w:rsid w:val="00163E6D"/>
    <w:rsid w:val="0016523C"/>
    <w:rsid w:val="001655B6"/>
    <w:rsid w:val="00166701"/>
    <w:rsid w:val="00170511"/>
    <w:rsid w:val="00173A69"/>
    <w:rsid w:val="00174F70"/>
    <w:rsid w:val="00177C53"/>
    <w:rsid w:val="00180CF1"/>
    <w:rsid w:val="00181D1F"/>
    <w:rsid w:val="00181F81"/>
    <w:rsid w:val="001823A5"/>
    <w:rsid w:val="00182530"/>
    <w:rsid w:val="001831FC"/>
    <w:rsid w:val="001832C8"/>
    <w:rsid w:val="001835DA"/>
    <w:rsid w:val="001841A4"/>
    <w:rsid w:val="0018475F"/>
    <w:rsid w:val="001859B0"/>
    <w:rsid w:val="00185D59"/>
    <w:rsid w:val="00186380"/>
    <w:rsid w:val="00193654"/>
    <w:rsid w:val="00197A96"/>
    <w:rsid w:val="001A0921"/>
    <w:rsid w:val="001A1BEC"/>
    <w:rsid w:val="001A1EDE"/>
    <w:rsid w:val="001A31B8"/>
    <w:rsid w:val="001A32E2"/>
    <w:rsid w:val="001A4C9B"/>
    <w:rsid w:val="001A60AA"/>
    <w:rsid w:val="001B4516"/>
    <w:rsid w:val="001B7CAB"/>
    <w:rsid w:val="001C0F94"/>
    <w:rsid w:val="001C2AE5"/>
    <w:rsid w:val="001C57AA"/>
    <w:rsid w:val="001C7DDA"/>
    <w:rsid w:val="001D2A53"/>
    <w:rsid w:val="001D36B8"/>
    <w:rsid w:val="001D4CD3"/>
    <w:rsid w:val="001D6BB2"/>
    <w:rsid w:val="001E015F"/>
    <w:rsid w:val="001E3463"/>
    <w:rsid w:val="001E3C69"/>
    <w:rsid w:val="001E4A5F"/>
    <w:rsid w:val="001E505D"/>
    <w:rsid w:val="001E6AC5"/>
    <w:rsid w:val="001F054C"/>
    <w:rsid w:val="001F0F59"/>
    <w:rsid w:val="001F1342"/>
    <w:rsid w:val="001F7763"/>
    <w:rsid w:val="0020598A"/>
    <w:rsid w:val="0020602C"/>
    <w:rsid w:val="00206F96"/>
    <w:rsid w:val="00207BDA"/>
    <w:rsid w:val="002117B2"/>
    <w:rsid w:val="0021209B"/>
    <w:rsid w:val="0021744B"/>
    <w:rsid w:val="00220895"/>
    <w:rsid w:val="00222069"/>
    <w:rsid w:val="0022742C"/>
    <w:rsid w:val="00231FAA"/>
    <w:rsid w:val="00235CD2"/>
    <w:rsid w:val="00241E84"/>
    <w:rsid w:val="0024552E"/>
    <w:rsid w:val="002455CE"/>
    <w:rsid w:val="0024716B"/>
    <w:rsid w:val="00250886"/>
    <w:rsid w:val="00255ED8"/>
    <w:rsid w:val="0025767B"/>
    <w:rsid w:val="00262FEE"/>
    <w:rsid w:val="002643BC"/>
    <w:rsid w:val="00264A0B"/>
    <w:rsid w:val="002666E7"/>
    <w:rsid w:val="00266F8B"/>
    <w:rsid w:val="002735D7"/>
    <w:rsid w:val="002764D6"/>
    <w:rsid w:val="00276CEC"/>
    <w:rsid w:val="00282119"/>
    <w:rsid w:val="00284C2C"/>
    <w:rsid w:val="002865C8"/>
    <w:rsid w:val="00286D35"/>
    <w:rsid w:val="00290ECE"/>
    <w:rsid w:val="00290F91"/>
    <w:rsid w:val="00292E4D"/>
    <w:rsid w:val="00293948"/>
    <w:rsid w:val="00293A8B"/>
    <w:rsid w:val="002A0436"/>
    <w:rsid w:val="002A1657"/>
    <w:rsid w:val="002A1BA9"/>
    <w:rsid w:val="002A41AA"/>
    <w:rsid w:val="002A7810"/>
    <w:rsid w:val="002A7D4B"/>
    <w:rsid w:val="002B0172"/>
    <w:rsid w:val="002B27F9"/>
    <w:rsid w:val="002B42F6"/>
    <w:rsid w:val="002B5CE6"/>
    <w:rsid w:val="002C072A"/>
    <w:rsid w:val="002C0C26"/>
    <w:rsid w:val="002C481D"/>
    <w:rsid w:val="002D0DD3"/>
    <w:rsid w:val="002D1C96"/>
    <w:rsid w:val="002D3C35"/>
    <w:rsid w:val="002D43AD"/>
    <w:rsid w:val="002D583E"/>
    <w:rsid w:val="002D70E6"/>
    <w:rsid w:val="002E1E00"/>
    <w:rsid w:val="002E303A"/>
    <w:rsid w:val="002E3E24"/>
    <w:rsid w:val="002F6F17"/>
    <w:rsid w:val="00301C1E"/>
    <w:rsid w:val="00305AD5"/>
    <w:rsid w:val="00306C44"/>
    <w:rsid w:val="00307114"/>
    <w:rsid w:val="00310851"/>
    <w:rsid w:val="00311A90"/>
    <w:rsid w:val="00311BAE"/>
    <w:rsid w:val="00314144"/>
    <w:rsid w:val="00317CDD"/>
    <w:rsid w:val="003210BD"/>
    <w:rsid w:val="003229E4"/>
    <w:rsid w:val="003229E9"/>
    <w:rsid w:val="00324EE1"/>
    <w:rsid w:val="00325DD6"/>
    <w:rsid w:val="0032762C"/>
    <w:rsid w:val="00331B73"/>
    <w:rsid w:val="0033200C"/>
    <w:rsid w:val="00332511"/>
    <w:rsid w:val="00343712"/>
    <w:rsid w:val="00344590"/>
    <w:rsid w:val="00351BF3"/>
    <w:rsid w:val="003521E2"/>
    <w:rsid w:val="00356FBE"/>
    <w:rsid w:val="003700DF"/>
    <w:rsid w:val="003706BE"/>
    <w:rsid w:val="003708E4"/>
    <w:rsid w:val="00376008"/>
    <w:rsid w:val="003770C2"/>
    <w:rsid w:val="00387599"/>
    <w:rsid w:val="00387B9E"/>
    <w:rsid w:val="00387F27"/>
    <w:rsid w:val="0039001D"/>
    <w:rsid w:val="00390AA6"/>
    <w:rsid w:val="003915A0"/>
    <w:rsid w:val="00391F96"/>
    <w:rsid w:val="00392A9E"/>
    <w:rsid w:val="00392C86"/>
    <w:rsid w:val="003973E5"/>
    <w:rsid w:val="003A00D8"/>
    <w:rsid w:val="003A07A9"/>
    <w:rsid w:val="003A1705"/>
    <w:rsid w:val="003A3271"/>
    <w:rsid w:val="003A615E"/>
    <w:rsid w:val="003B5335"/>
    <w:rsid w:val="003B6261"/>
    <w:rsid w:val="003B6CDC"/>
    <w:rsid w:val="003C009D"/>
    <w:rsid w:val="003C22CE"/>
    <w:rsid w:val="003C2813"/>
    <w:rsid w:val="003C3D86"/>
    <w:rsid w:val="003D6FE3"/>
    <w:rsid w:val="003E1363"/>
    <w:rsid w:val="003E57D1"/>
    <w:rsid w:val="003E6263"/>
    <w:rsid w:val="003F3C26"/>
    <w:rsid w:val="00400BDE"/>
    <w:rsid w:val="00400FAD"/>
    <w:rsid w:val="00401BC2"/>
    <w:rsid w:val="0040455B"/>
    <w:rsid w:val="004074C7"/>
    <w:rsid w:val="004117F3"/>
    <w:rsid w:val="00412AA3"/>
    <w:rsid w:val="00415C61"/>
    <w:rsid w:val="004160AE"/>
    <w:rsid w:val="00420FD8"/>
    <w:rsid w:val="00423056"/>
    <w:rsid w:val="00423A5E"/>
    <w:rsid w:val="0043039A"/>
    <w:rsid w:val="00432B34"/>
    <w:rsid w:val="0043434B"/>
    <w:rsid w:val="004379F3"/>
    <w:rsid w:val="0044310E"/>
    <w:rsid w:val="00444F13"/>
    <w:rsid w:val="00450D19"/>
    <w:rsid w:val="004515F0"/>
    <w:rsid w:val="00453E0A"/>
    <w:rsid w:val="00457570"/>
    <w:rsid w:val="0046145F"/>
    <w:rsid w:val="0046374C"/>
    <w:rsid w:val="00463ABD"/>
    <w:rsid w:val="00466B25"/>
    <w:rsid w:val="00466FC5"/>
    <w:rsid w:val="004732F0"/>
    <w:rsid w:val="00473727"/>
    <w:rsid w:val="004740DB"/>
    <w:rsid w:val="00477A51"/>
    <w:rsid w:val="00477FCA"/>
    <w:rsid w:val="00480BA7"/>
    <w:rsid w:val="00483028"/>
    <w:rsid w:val="00483A2B"/>
    <w:rsid w:val="004916FA"/>
    <w:rsid w:val="00492EC2"/>
    <w:rsid w:val="00494816"/>
    <w:rsid w:val="004A0301"/>
    <w:rsid w:val="004A286E"/>
    <w:rsid w:val="004A338F"/>
    <w:rsid w:val="004A36AA"/>
    <w:rsid w:val="004A7753"/>
    <w:rsid w:val="004B1BA1"/>
    <w:rsid w:val="004B20FC"/>
    <w:rsid w:val="004C076F"/>
    <w:rsid w:val="004C1460"/>
    <w:rsid w:val="004C31BC"/>
    <w:rsid w:val="004C5933"/>
    <w:rsid w:val="004D7A05"/>
    <w:rsid w:val="004E05BE"/>
    <w:rsid w:val="004E0966"/>
    <w:rsid w:val="004E0A9A"/>
    <w:rsid w:val="004E1321"/>
    <w:rsid w:val="004E337D"/>
    <w:rsid w:val="004E4F75"/>
    <w:rsid w:val="004E7CEE"/>
    <w:rsid w:val="004F01C3"/>
    <w:rsid w:val="004F337B"/>
    <w:rsid w:val="004F5F97"/>
    <w:rsid w:val="00505D0A"/>
    <w:rsid w:val="00522E65"/>
    <w:rsid w:val="005230BB"/>
    <w:rsid w:val="005249D6"/>
    <w:rsid w:val="00525F96"/>
    <w:rsid w:val="00531482"/>
    <w:rsid w:val="005354F2"/>
    <w:rsid w:val="00536293"/>
    <w:rsid w:val="00536AFB"/>
    <w:rsid w:val="0054187D"/>
    <w:rsid w:val="005437F4"/>
    <w:rsid w:val="0055098B"/>
    <w:rsid w:val="0055208F"/>
    <w:rsid w:val="00554BFB"/>
    <w:rsid w:val="00555CF7"/>
    <w:rsid w:val="005738B5"/>
    <w:rsid w:val="00575665"/>
    <w:rsid w:val="005766B6"/>
    <w:rsid w:val="00577813"/>
    <w:rsid w:val="0058143C"/>
    <w:rsid w:val="00591CF1"/>
    <w:rsid w:val="00596896"/>
    <w:rsid w:val="005A002E"/>
    <w:rsid w:val="005A1B9E"/>
    <w:rsid w:val="005A23FF"/>
    <w:rsid w:val="005A4AE2"/>
    <w:rsid w:val="005A683B"/>
    <w:rsid w:val="005A70A2"/>
    <w:rsid w:val="005A7861"/>
    <w:rsid w:val="005B261C"/>
    <w:rsid w:val="005B341C"/>
    <w:rsid w:val="005B5FE5"/>
    <w:rsid w:val="005C2DA9"/>
    <w:rsid w:val="005C4D16"/>
    <w:rsid w:val="005C546C"/>
    <w:rsid w:val="005C6D0B"/>
    <w:rsid w:val="005C75E1"/>
    <w:rsid w:val="005D097E"/>
    <w:rsid w:val="005D4E90"/>
    <w:rsid w:val="005D7EC8"/>
    <w:rsid w:val="005E1A5A"/>
    <w:rsid w:val="005E1EBC"/>
    <w:rsid w:val="005E27E0"/>
    <w:rsid w:val="005E36DD"/>
    <w:rsid w:val="005E37F2"/>
    <w:rsid w:val="005E6BB9"/>
    <w:rsid w:val="005F0340"/>
    <w:rsid w:val="005F2FC2"/>
    <w:rsid w:val="005F31AA"/>
    <w:rsid w:val="005F5356"/>
    <w:rsid w:val="005F602D"/>
    <w:rsid w:val="005F78D6"/>
    <w:rsid w:val="006011F0"/>
    <w:rsid w:val="00601BA1"/>
    <w:rsid w:val="00605138"/>
    <w:rsid w:val="006056EF"/>
    <w:rsid w:val="006057B6"/>
    <w:rsid w:val="00606EC3"/>
    <w:rsid w:val="00611905"/>
    <w:rsid w:val="00615DCB"/>
    <w:rsid w:val="006168ED"/>
    <w:rsid w:val="0061733F"/>
    <w:rsid w:val="00617387"/>
    <w:rsid w:val="006239B7"/>
    <w:rsid w:val="00624CE3"/>
    <w:rsid w:val="00624D43"/>
    <w:rsid w:val="006255E9"/>
    <w:rsid w:val="00627816"/>
    <w:rsid w:val="00634DF7"/>
    <w:rsid w:val="00635CDD"/>
    <w:rsid w:val="00640D61"/>
    <w:rsid w:val="006413E8"/>
    <w:rsid w:val="0064214F"/>
    <w:rsid w:val="00642D5C"/>
    <w:rsid w:val="00644BF0"/>
    <w:rsid w:val="0064541D"/>
    <w:rsid w:val="00647F7A"/>
    <w:rsid w:val="00651022"/>
    <w:rsid w:val="006512EA"/>
    <w:rsid w:val="00654C87"/>
    <w:rsid w:val="00655C54"/>
    <w:rsid w:val="006641B0"/>
    <w:rsid w:val="00666BD5"/>
    <w:rsid w:val="00666FB6"/>
    <w:rsid w:val="00667DB1"/>
    <w:rsid w:val="0067565B"/>
    <w:rsid w:val="00677FEA"/>
    <w:rsid w:val="0068150B"/>
    <w:rsid w:val="00684317"/>
    <w:rsid w:val="00684DA9"/>
    <w:rsid w:val="00684E15"/>
    <w:rsid w:val="00685205"/>
    <w:rsid w:val="006853DD"/>
    <w:rsid w:val="00686DE9"/>
    <w:rsid w:val="00691121"/>
    <w:rsid w:val="006956E7"/>
    <w:rsid w:val="006A051C"/>
    <w:rsid w:val="006A155A"/>
    <w:rsid w:val="006A25DC"/>
    <w:rsid w:val="006A2C80"/>
    <w:rsid w:val="006A5058"/>
    <w:rsid w:val="006A5368"/>
    <w:rsid w:val="006A5723"/>
    <w:rsid w:val="006A60C3"/>
    <w:rsid w:val="006A70A2"/>
    <w:rsid w:val="006B0C68"/>
    <w:rsid w:val="006B2B13"/>
    <w:rsid w:val="006B49AF"/>
    <w:rsid w:val="006B5CE3"/>
    <w:rsid w:val="006B7496"/>
    <w:rsid w:val="006C0A19"/>
    <w:rsid w:val="006C15B4"/>
    <w:rsid w:val="006C6CAF"/>
    <w:rsid w:val="006C6DA0"/>
    <w:rsid w:val="006C7670"/>
    <w:rsid w:val="006D0B48"/>
    <w:rsid w:val="006D5B3A"/>
    <w:rsid w:val="006D7A87"/>
    <w:rsid w:val="006E3977"/>
    <w:rsid w:val="006F1E6F"/>
    <w:rsid w:val="006F7309"/>
    <w:rsid w:val="00701A5D"/>
    <w:rsid w:val="00704FDE"/>
    <w:rsid w:val="00710556"/>
    <w:rsid w:val="0071253E"/>
    <w:rsid w:val="00726169"/>
    <w:rsid w:val="00726213"/>
    <w:rsid w:val="00727A41"/>
    <w:rsid w:val="00727A42"/>
    <w:rsid w:val="0073039F"/>
    <w:rsid w:val="007402A5"/>
    <w:rsid w:val="007402D0"/>
    <w:rsid w:val="00743676"/>
    <w:rsid w:val="00743FA6"/>
    <w:rsid w:val="007449BC"/>
    <w:rsid w:val="00746C59"/>
    <w:rsid w:val="00750BAF"/>
    <w:rsid w:val="00752F07"/>
    <w:rsid w:val="00756F57"/>
    <w:rsid w:val="0076360B"/>
    <w:rsid w:val="00765C62"/>
    <w:rsid w:val="00766F31"/>
    <w:rsid w:val="00770434"/>
    <w:rsid w:val="00772797"/>
    <w:rsid w:val="007743DF"/>
    <w:rsid w:val="00776E03"/>
    <w:rsid w:val="00777948"/>
    <w:rsid w:val="007818EB"/>
    <w:rsid w:val="0078206A"/>
    <w:rsid w:val="0078273F"/>
    <w:rsid w:val="0078522C"/>
    <w:rsid w:val="007910BF"/>
    <w:rsid w:val="00792C42"/>
    <w:rsid w:val="0079647B"/>
    <w:rsid w:val="00797594"/>
    <w:rsid w:val="007A2812"/>
    <w:rsid w:val="007A4EB0"/>
    <w:rsid w:val="007A6602"/>
    <w:rsid w:val="007B05B2"/>
    <w:rsid w:val="007B0B95"/>
    <w:rsid w:val="007B220E"/>
    <w:rsid w:val="007B2EDA"/>
    <w:rsid w:val="007B4820"/>
    <w:rsid w:val="007B4ABF"/>
    <w:rsid w:val="007B5739"/>
    <w:rsid w:val="007B6175"/>
    <w:rsid w:val="007B7884"/>
    <w:rsid w:val="007C0405"/>
    <w:rsid w:val="007C3D1E"/>
    <w:rsid w:val="007C6237"/>
    <w:rsid w:val="007C6937"/>
    <w:rsid w:val="007D3EEC"/>
    <w:rsid w:val="007D4EA0"/>
    <w:rsid w:val="007D5F71"/>
    <w:rsid w:val="007E01DF"/>
    <w:rsid w:val="007E6B44"/>
    <w:rsid w:val="007E7AEA"/>
    <w:rsid w:val="007F357D"/>
    <w:rsid w:val="007F4999"/>
    <w:rsid w:val="007F67B4"/>
    <w:rsid w:val="007F7239"/>
    <w:rsid w:val="008034C5"/>
    <w:rsid w:val="00805282"/>
    <w:rsid w:val="00806BEF"/>
    <w:rsid w:val="00807CB0"/>
    <w:rsid w:val="008108EE"/>
    <w:rsid w:val="00816811"/>
    <w:rsid w:val="008173A9"/>
    <w:rsid w:val="0082109B"/>
    <w:rsid w:val="008219F8"/>
    <w:rsid w:val="008221AF"/>
    <w:rsid w:val="008250CD"/>
    <w:rsid w:val="008250E9"/>
    <w:rsid w:val="00825768"/>
    <w:rsid w:val="008268E2"/>
    <w:rsid w:val="008274E8"/>
    <w:rsid w:val="00827C2F"/>
    <w:rsid w:val="00827C91"/>
    <w:rsid w:val="008304CF"/>
    <w:rsid w:val="008368B5"/>
    <w:rsid w:val="008410D8"/>
    <w:rsid w:val="00841869"/>
    <w:rsid w:val="00842919"/>
    <w:rsid w:val="0084328A"/>
    <w:rsid w:val="0084333C"/>
    <w:rsid w:val="00845C15"/>
    <w:rsid w:val="00846411"/>
    <w:rsid w:val="008619B4"/>
    <w:rsid w:val="00861B3E"/>
    <w:rsid w:val="00864BBC"/>
    <w:rsid w:val="00864F60"/>
    <w:rsid w:val="00865B09"/>
    <w:rsid w:val="00866A9E"/>
    <w:rsid w:val="00871899"/>
    <w:rsid w:val="00873661"/>
    <w:rsid w:val="00873904"/>
    <w:rsid w:val="00873A28"/>
    <w:rsid w:val="00875733"/>
    <w:rsid w:val="00876808"/>
    <w:rsid w:val="00880CC0"/>
    <w:rsid w:val="00882BB3"/>
    <w:rsid w:val="00883EB1"/>
    <w:rsid w:val="0089565A"/>
    <w:rsid w:val="00896E28"/>
    <w:rsid w:val="008A0FDE"/>
    <w:rsid w:val="008A6D96"/>
    <w:rsid w:val="008B075E"/>
    <w:rsid w:val="008B1A42"/>
    <w:rsid w:val="008B239B"/>
    <w:rsid w:val="008B3F2A"/>
    <w:rsid w:val="008C0E03"/>
    <w:rsid w:val="008C301B"/>
    <w:rsid w:val="008C7CCA"/>
    <w:rsid w:val="008D055F"/>
    <w:rsid w:val="008D0ED2"/>
    <w:rsid w:val="008E3DD7"/>
    <w:rsid w:val="008E3FB5"/>
    <w:rsid w:val="008E59C6"/>
    <w:rsid w:val="008F3241"/>
    <w:rsid w:val="008F36AC"/>
    <w:rsid w:val="008F577B"/>
    <w:rsid w:val="008F6BBB"/>
    <w:rsid w:val="008F6D36"/>
    <w:rsid w:val="008F76DB"/>
    <w:rsid w:val="00902C40"/>
    <w:rsid w:val="00903808"/>
    <w:rsid w:val="0090385C"/>
    <w:rsid w:val="009056ED"/>
    <w:rsid w:val="00906CA1"/>
    <w:rsid w:val="00907D8F"/>
    <w:rsid w:val="00910DAF"/>
    <w:rsid w:val="009110E7"/>
    <w:rsid w:val="009112FB"/>
    <w:rsid w:val="009127DD"/>
    <w:rsid w:val="00913BC7"/>
    <w:rsid w:val="009143E4"/>
    <w:rsid w:val="0091577A"/>
    <w:rsid w:val="00916C21"/>
    <w:rsid w:val="009214D6"/>
    <w:rsid w:val="0092307F"/>
    <w:rsid w:val="009240E5"/>
    <w:rsid w:val="009247F1"/>
    <w:rsid w:val="00924D04"/>
    <w:rsid w:val="00930E6D"/>
    <w:rsid w:val="00931711"/>
    <w:rsid w:val="0093788B"/>
    <w:rsid w:val="00940FB0"/>
    <w:rsid w:val="00951247"/>
    <w:rsid w:val="0095234D"/>
    <w:rsid w:val="009550D3"/>
    <w:rsid w:val="00955ABE"/>
    <w:rsid w:val="00966451"/>
    <w:rsid w:val="00970C37"/>
    <w:rsid w:val="00970E63"/>
    <w:rsid w:val="0097245B"/>
    <w:rsid w:val="0097322E"/>
    <w:rsid w:val="00976128"/>
    <w:rsid w:val="009768FE"/>
    <w:rsid w:val="009807DE"/>
    <w:rsid w:val="00982090"/>
    <w:rsid w:val="00984375"/>
    <w:rsid w:val="00984945"/>
    <w:rsid w:val="009849F9"/>
    <w:rsid w:val="009857EC"/>
    <w:rsid w:val="00986148"/>
    <w:rsid w:val="009862D4"/>
    <w:rsid w:val="009878AA"/>
    <w:rsid w:val="00990BB4"/>
    <w:rsid w:val="009A09AF"/>
    <w:rsid w:val="009A1A99"/>
    <w:rsid w:val="009B30F0"/>
    <w:rsid w:val="009B4C67"/>
    <w:rsid w:val="009B73DD"/>
    <w:rsid w:val="009B7EE8"/>
    <w:rsid w:val="009C02F1"/>
    <w:rsid w:val="009C22CA"/>
    <w:rsid w:val="009C3B22"/>
    <w:rsid w:val="009C4C2F"/>
    <w:rsid w:val="009C599D"/>
    <w:rsid w:val="009C6C7D"/>
    <w:rsid w:val="009D0BA0"/>
    <w:rsid w:val="009D1201"/>
    <w:rsid w:val="009D29EB"/>
    <w:rsid w:val="009D4E6E"/>
    <w:rsid w:val="009D5C20"/>
    <w:rsid w:val="009E061F"/>
    <w:rsid w:val="009E15F4"/>
    <w:rsid w:val="009E1A47"/>
    <w:rsid w:val="009E26EE"/>
    <w:rsid w:val="009E68C1"/>
    <w:rsid w:val="009F00E6"/>
    <w:rsid w:val="009F45B4"/>
    <w:rsid w:val="009F4B6A"/>
    <w:rsid w:val="009F5329"/>
    <w:rsid w:val="00A0094B"/>
    <w:rsid w:val="00A01BB3"/>
    <w:rsid w:val="00A02038"/>
    <w:rsid w:val="00A02CB9"/>
    <w:rsid w:val="00A04589"/>
    <w:rsid w:val="00A0565B"/>
    <w:rsid w:val="00A0594F"/>
    <w:rsid w:val="00A06738"/>
    <w:rsid w:val="00A1224E"/>
    <w:rsid w:val="00A1366F"/>
    <w:rsid w:val="00A14DF9"/>
    <w:rsid w:val="00A25551"/>
    <w:rsid w:val="00A35418"/>
    <w:rsid w:val="00A37462"/>
    <w:rsid w:val="00A4138D"/>
    <w:rsid w:val="00A41CB5"/>
    <w:rsid w:val="00A4294E"/>
    <w:rsid w:val="00A45E06"/>
    <w:rsid w:val="00A5095D"/>
    <w:rsid w:val="00A51400"/>
    <w:rsid w:val="00A5442B"/>
    <w:rsid w:val="00A54BDB"/>
    <w:rsid w:val="00A564FF"/>
    <w:rsid w:val="00A607F7"/>
    <w:rsid w:val="00A61C88"/>
    <w:rsid w:val="00A63F5A"/>
    <w:rsid w:val="00A6482B"/>
    <w:rsid w:val="00A65508"/>
    <w:rsid w:val="00A65C8D"/>
    <w:rsid w:val="00A6654E"/>
    <w:rsid w:val="00A726CF"/>
    <w:rsid w:val="00A73BB8"/>
    <w:rsid w:val="00A7415F"/>
    <w:rsid w:val="00A75191"/>
    <w:rsid w:val="00A75F24"/>
    <w:rsid w:val="00A77480"/>
    <w:rsid w:val="00A777C0"/>
    <w:rsid w:val="00A802F3"/>
    <w:rsid w:val="00A8104F"/>
    <w:rsid w:val="00A82543"/>
    <w:rsid w:val="00A859AB"/>
    <w:rsid w:val="00A91270"/>
    <w:rsid w:val="00A924B4"/>
    <w:rsid w:val="00A927DA"/>
    <w:rsid w:val="00A94530"/>
    <w:rsid w:val="00AA17BF"/>
    <w:rsid w:val="00AA25E2"/>
    <w:rsid w:val="00AA2FAA"/>
    <w:rsid w:val="00AA5858"/>
    <w:rsid w:val="00AA6EFB"/>
    <w:rsid w:val="00AA762B"/>
    <w:rsid w:val="00AB08DD"/>
    <w:rsid w:val="00AB1E67"/>
    <w:rsid w:val="00AB1EF0"/>
    <w:rsid w:val="00AB600A"/>
    <w:rsid w:val="00AC50EF"/>
    <w:rsid w:val="00AC534B"/>
    <w:rsid w:val="00AD0300"/>
    <w:rsid w:val="00AD25F9"/>
    <w:rsid w:val="00AD357C"/>
    <w:rsid w:val="00AD48FC"/>
    <w:rsid w:val="00AD5C28"/>
    <w:rsid w:val="00AE0653"/>
    <w:rsid w:val="00AE12ED"/>
    <w:rsid w:val="00AE1B3F"/>
    <w:rsid w:val="00AE2128"/>
    <w:rsid w:val="00AE286E"/>
    <w:rsid w:val="00AF1CF6"/>
    <w:rsid w:val="00AF3B15"/>
    <w:rsid w:val="00AF7599"/>
    <w:rsid w:val="00B06BC9"/>
    <w:rsid w:val="00B07FF7"/>
    <w:rsid w:val="00B10FF4"/>
    <w:rsid w:val="00B1231E"/>
    <w:rsid w:val="00B16D32"/>
    <w:rsid w:val="00B17B91"/>
    <w:rsid w:val="00B221E8"/>
    <w:rsid w:val="00B233EA"/>
    <w:rsid w:val="00B23866"/>
    <w:rsid w:val="00B30CBE"/>
    <w:rsid w:val="00B31FBA"/>
    <w:rsid w:val="00B341A4"/>
    <w:rsid w:val="00B34B64"/>
    <w:rsid w:val="00B35316"/>
    <w:rsid w:val="00B36A25"/>
    <w:rsid w:val="00B37B7F"/>
    <w:rsid w:val="00B4336B"/>
    <w:rsid w:val="00B44040"/>
    <w:rsid w:val="00B449D4"/>
    <w:rsid w:val="00B44F9E"/>
    <w:rsid w:val="00B50D03"/>
    <w:rsid w:val="00B52486"/>
    <w:rsid w:val="00B53AF4"/>
    <w:rsid w:val="00B56CB3"/>
    <w:rsid w:val="00B60375"/>
    <w:rsid w:val="00B617FF"/>
    <w:rsid w:val="00B67FB4"/>
    <w:rsid w:val="00B718D7"/>
    <w:rsid w:val="00B73DD9"/>
    <w:rsid w:val="00B74B1D"/>
    <w:rsid w:val="00B7613A"/>
    <w:rsid w:val="00B82614"/>
    <w:rsid w:val="00B834A2"/>
    <w:rsid w:val="00B85D29"/>
    <w:rsid w:val="00B92695"/>
    <w:rsid w:val="00B93074"/>
    <w:rsid w:val="00B94936"/>
    <w:rsid w:val="00B95AEA"/>
    <w:rsid w:val="00B96D1B"/>
    <w:rsid w:val="00BB3EB1"/>
    <w:rsid w:val="00BB4989"/>
    <w:rsid w:val="00BB62E1"/>
    <w:rsid w:val="00BB7860"/>
    <w:rsid w:val="00BC2BDF"/>
    <w:rsid w:val="00BC325A"/>
    <w:rsid w:val="00BC53D6"/>
    <w:rsid w:val="00BC6BF7"/>
    <w:rsid w:val="00BD56FD"/>
    <w:rsid w:val="00BD7195"/>
    <w:rsid w:val="00BE01B0"/>
    <w:rsid w:val="00BE0267"/>
    <w:rsid w:val="00BE30E9"/>
    <w:rsid w:val="00BE3DA6"/>
    <w:rsid w:val="00BE5649"/>
    <w:rsid w:val="00BE5C16"/>
    <w:rsid w:val="00BF0EC4"/>
    <w:rsid w:val="00BF0F3C"/>
    <w:rsid w:val="00BF2435"/>
    <w:rsid w:val="00BF2449"/>
    <w:rsid w:val="00BF754B"/>
    <w:rsid w:val="00BF77E8"/>
    <w:rsid w:val="00BF7EE9"/>
    <w:rsid w:val="00C006D3"/>
    <w:rsid w:val="00C072DC"/>
    <w:rsid w:val="00C12576"/>
    <w:rsid w:val="00C2053E"/>
    <w:rsid w:val="00C214B0"/>
    <w:rsid w:val="00C21F9D"/>
    <w:rsid w:val="00C25FFC"/>
    <w:rsid w:val="00C2653A"/>
    <w:rsid w:val="00C301C8"/>
    <w:rsid w:val="00C3351E"/>
    <w:rsid w:val="00C34320"/>
    <w:rsid w:val="00C35F16"/>
    <w:rsid w:val="00C442B6"/>
    <w:rsid w:val="00C51468"/>
    <w:rsid w:val="00C53A3A"/>
    <w:rsid w:val="00C53CCB"/>
    <w:rsid w:val="00C541EB"/>
    <w:rsid w:val="00C54B51"/>
    <w:rsid w:val="00C603BE"/>
    <w:rsid w:val="00C61D49"/>
    <w:rsid w:val="00C61EA4"/>
    <w:rsid w:val="00C71767"/>
    <w:rsid w:val="00C76EB3"/>
    <w:rsid w:val="00C7765A"/>
    <w:rsid w:val="00C80D44"/>
    <w:rsid w:val="00C8226D"/>
    <w:rsid w:val="00C82EA5"/>
    <w:rsid w:val="00C870BC"/>
    <w:rsid w:val="00C877F0"/>
    <w:rsid w:val="00C87C35"/>
    <w:rsid w:val="00C90E4E"/>
    <w:rsid w:val="00C92F5B"/>
    <w:rsid w:val="00CA0166"/>
    <w:rsid w:val="00CA0E62"/>
    <w:rsid w:val="00CA1438"/>
    <w:rsid w:val="00CA365E"/>
    <w:rsid w:val="00CA3B1D"/>
    <w:rsid w:val="00CA4178"/>
    <w:rsid w:val="00CB0276"/>
    <w:rsid w:val="00CB328A"/>
    <w:rsid w:val="00CB4675"/>
    <w:rsid w:val="00CB75BF"/>
    <w:rsid w:val="00CC5CF4"/>
    <w:rsid w:val="00CD26DE"/>
    <w:rsid w:val="00CD4EF6"/>
    <w:rsid w:val="00CD59B6"/>
    <w:rsid w:val="00CD69C4"/>
    <w:rsid w:val="00CE13B4"/>
    <w:rsid w:val="00CE3869"/>
    <w:rsid w:val="00CE51D4"/>
    <w:rsid w:val="00CF46E7"/>
    <w:rsid w:val="00CF61DB"/>
    <w:rsid w:val="00CF6A47"/>
    <w:rsid w:val="00CF75A7"/>
    <w:rsid w:val="00D0127D"/>
    <w:rsid w:val="00D05267"/>
    <w:rsid w:val="00D05AC1"/>
    <w:rsid w:val="00D066F8"/>
    <w:rsid w:val="00D06E93"/>
    <w:rsid w:val="00D1253A"/>
    <w:rsid w:val="00D15CDE"/>
    <w:rsid w:val="00D20FF7"/>
    <w:rsid w:val="00D25A41"/>
    <w:rsid w:val="00D25C4C"/>
    <w:rsid w:val="00D25EB8"/>
    <w:rsid w:val="00D26EDA"/>
    <w:rsid w:val="00D271A0"/>
    <w:rsid w:val="00D34D09"/>
    <w:rsid w:val="00D42AEE"/>
    <w:rsid w:val="00D432AC"/>
    <w:rsid w:val="00D457A2"/>
    <w:rsid w:val="00D460A6"/>
    <w:rsid w:val="00D4750D"/>
    <w:rsid w:val="00D47543"/>
    <w:rsid w:val="00D54943"/>
    <w:rsid w:val="00D55642"/>
    <w:rsid w:val="00D55E76"/>
    <w:rsid w:val="00D57DF4"/>
    <w:rsid w:val="00D57F6D"/>
    <w:rsid w:val="00D60258"/>
    <w:rsid w:val="00D62D3C"/>
    <w:rsid w:val="00D62E94"/>
    <w:rsid w:val="00D6370C"/>
    <w:rsid w:val="00D64D5C"/>
    <w:rsid w:val="00D66048"/>
    <w:rsid w:val="00D6762B"/>
    <w:rsid w:val="00D710B4"/>
    <w:rsid w:val="00D755CB"/>
    <w:rsid w:val="00D75FAB"/>
    <w:rsid w:val="00D82D08"/>
    <w:rsid w:val="00D865A5"/>
    <w:rsid w:val="00D87ED7"/>
    <w:rsid w:val="00D919BE"/>
    <w:rsid w:val="00D92E34"/>
    <w:rsid w:val="00D943F7"/>
    <w:rsid w:val="00D97725"/>
    <w:rsid w:val="00DA0778"/>
    <w:rsid w:val="00DA16BD"/>
    <w:rsid w:val="00DA22B4"/>
    <w:rsid w:val="00DA25C5"/>
    <w:rsid w:val="00DA348D"/>
    <w:rsid w:val="00DA366D"/>
    <w:rsid w:val="00DB05E5"/>
    <w:rsid w:val="00DB2A8C"/>
    <w:rsid w:val="00DB406F"/>
    <w:rsid w:val="00DB5095"/>
    <w:rsid w:val="00DB5199"/>
    <w:rsid w:val="00DB7FA1"/>
    <w:rsid w:val="00DC2289"/>
    <w:rsid w:val="00DC33C3"/>
    <w:rsid w:val="00DC3C5B"/>
    <w:rsid w:val="00DC4F25"/>
    <w:rsid w:val="00DC52B9"/>
    <w:rsid w:val="00DC7256"/>
    <w:rsid w:val="00DC72AA"/>
    <w:rsid w:val="00DE0828"/>
    <w:rsid w:val="00DE419F"/>
    <w:rsid w:val="00DE5392"/>
    <w:rsid w:val="00DE7CF2"/>
    <w:rsid w:val="00DF4918"/>
    <w:rsid w:val="00DF4BC4"/>
    <w:rsid w:val="00DF5E7E"/>
    <w:rsid w:val="00DF74CF"/>
    <w:rsid w:val="00E12E05"/>
    <w:rsid w:val="00E16291"/>
    <w:rsid w:val="00E2046F"/>
    <w:rsid w:val="00E21DFA"/>
    <w:rsid w:val="00E23BBB"/>
    <w:rsid w:val="00E254A8"/>
    <w:rsid w:val="00E260A9"/>
    <w:rsid w:val="00E31DBF"/>
    <w:rsid w:val="00E35096"/>
    <w:rsid w:val="00E35202"/>
    <w:rsid w:val="00E36CA4"/>
    <w:rsid w:val="00E37971"/>
    <w:rsid w:val="00E40E32"/>
    <w:rsid w:val="00E41F97"/>
    <w:rsid w:val="00E43E8C"/>
    <w:rsid w:val="00E456BC"/>
    <w:rsid w:val="00E46515"/>
    <w:rsid w:val="00E47176"/>
    <w:rsid w:val="00E47690"/>
    <w:rsid w:val="00E50DC8"/>
    <w:rsid w:val="00E52DAD"/>
    <w:rsid w:val="00E5441A"/>
    <w:rsid w:val="00E614C1"/>
    <w:rsid w:val="00E644C5"/>
    <w:rsid w:val="00E71B8F"/>
    <w:rsid w:val="00E740D5"/>
    <w:rsid w:val="00E749A1"/>
    <w:rsid w:val="00E77A2D"/>
    <w:rsid w:val="00E80358"/>
    <w:rsid w:val="00E81503"/>
    <w:rsid w:val="00E8264C"/>
    <w:rsid w:val="00E85D98"/>
    <w:rsid w:val="00E8755C"/>
    <w:rsid w:val="00E87D95"/>
    <w:rsid w:val="00E901C6"/>
    <w:rsid w:val="00E926E7"/>
    <w:rsid w:val="00E97A72"/>
    <w:rsid w:val="00EA6BD4"/>
    <w:rsid w:val="00EB056A"/>
    <w:rsid w:val="00EB1FDF"/>
    <w:rsid w:val="00EB2147"/>
    <w:rsid w:val="00EB3201"/>
    <w:rsid w:val="00EB4645"/>
    <w:rsid w:val="00EB4755"/>
    <w:rsid w:val="00EB6765"/>
    <w:rsid w:val="00EC1D65"/>
    <w:rsid w:val="00EC52B9"/>
    <w:rsid w:val="00EC5C3B"/>
    <w:rsid w:val="00EC6D41"/>
    <w:rsid w:val="00EC7372"/>
    <w:rsid w:val="00ED0C5D"/>
    <w:rsid w:val="00ED5DA8"/>
    <w:rsid w:val="00ED607C"/>
    <w:rsid w:val="00ED652D"/>
    <w:rsid w:val="00ED6758"/>
    <w:rsid w:val="00EE2579"/>
    <w:rsid w:val="00EE3D5E"/>
    <w:rsid w:val="00EE63F4"/>
    <w:rsid w:val="00EE704B"/>
    <w:rsid w:val="00EF0062"/>
    <w:rsid w:val="00EF30C3"/>
    <w:rsid w:val="00EF553E"/>
    <w:rsid w:val="00F00EE2"/>
    <w:rsid w:val="00F029B4"/>
    <w:rsid w:val="00F03341"/>
    <w:rsid w:val="00F0421B"/>
    <w:rsid w:val="00F07047"/>
    <w:rsid w:val="00F11186"/>
    <w:rsid w:val="00F11750"/>
    <w:rsid w:val="00F14CF7"/>
    <w:rsid w:val="00F1515C"/>
    <w:rsid w:val="00F17508"/>
    <w:rsid w:val="00F21C3C"/>
    <w:rsid w:val="00F27C02"/>
    <w:rsid w:val="00F27E81"/>
    <w:rsid w:val="00F31A38"/>
    <w:rsid w:val="00F31C26"/>
    <w:rsid w:val="00F33692"/>
    <w:rsid w:val="00F33D7C"/>
    <w:rsid w:val="00F35FBE"/>
    <w:rsid w:val="00F43761"/>
    <w:rsid w:val="00F439D3"/>
    <w:rsid w:val="00F46C52"/>
    <w:rsid w:val="00F5036A"/>
    <w:rsid w:val="00F50CBE"/>
    <w:rsid w:val="00F50FFD"/>
    <w:rsid w:val="00F5106C"/>
    <w:rsid w:val="00F51E92"/>
    <w:rsid w:val="00F56736"/>
    <w:rsid w:val="00F57E8C"/>
    <w:rsid w:val="00F623FD"/>
    <w:rsid w:val="00F62B2F"/>
    <w:rsid w:val="00F648AA"/>
    <w:rsid w:val="00F65431"/>
    <w:rsid w:val="00F670D5"/>
    <w:rsid w:val="00F672B0"/>
    <w:rsid w:val="00F67743"/>
    <w:rsid w:val="00F711F5"/>
    <w:rsid w:val="00F73424"/>
    <w:rsid w:val="00F74373"/>
    <w:rsid w:val="00F81637"/>
    <w:rsid w:val="00F81ECE"/>
    <w:rsid w:val="00F82037"/>
    <w:rsid w:val="00F83D3B"/>
    <w:rsid w:val="00F8429B"/>
    <w:rsid w:val="00F85F41"/>
    <w:rsid w:val="00F91038"/>
    <w:rsid w:val="00F91A6E"/>
    <w:rsid w:val="00FA0C2A"/>
    <w:rsid w:val="00FA2937"/>
    <w:rsid w:val="00FA5BDC"/>
    <w:rsid w:val="00FA6D66"/>
    <w:rsid w:val="00FB09E8"/>
    <w:rsid w:val="00FB203A"/>
    <w:rsid w:val="00FB4995"/>
    <w:rsid w:val="00FB4F81"/>
    <w:rsid w:val="00FB5175"/>
    <w:rsid w:val="00FB727A"/>
    <w:rsid w:val="00FC1C8B"/>
    <w:rsid w:val="00FC2C31"/>
    <w:rsid w:val="00FC79BF"/>
    <w:rsid w:val="00FD0655"/>
    <w:rsid w:val="00FD1A3C"/>
    <w:rsid w:val="00FD4038"/>
    <w:rsid w:val="00FD482C"/>
    <w:rsid w:val="00FD6152"/>
    <w:rsid w:val="00FD6DFF"/>
    <w:rsid w:val="00FE0A02"/>
    <w:rsid w:val="00FE2489"/>
    <w:rsid w:val="00FF1441"/>
    <w:rsid w:val="00FF19B4"/>
    <w:rsid w:val="00FF29BC"/>
    <w:rsid w:val="00FF3BC8"/>
    <w:rsid w:val="00FF3C0D"/>
    <w:rsid w:val="00FF72E0"/>
    <w:rsid w:val="02C12A9C"/>
    <w:rsid w:val="037F5278"/>
    <w:rsid w:val="039379CC"/>
    <w:rsid w:val="04E82490"/>
    <w:rsid w:val="04E856CB"/>
    <w:rsid w:val="062A275E"/>
    <w:rsid w:val="06EA2014"/>
    <w:rsid w:val="07C42731"/>
    <w:rsid w:val="07D50A82"/>
    <w:rsid w:val="08020673"/>
    <w:rsid w:val="08024860"/>
    <w:rsid w:val="080B3CCE"/>
    <w:rsid w:val="083E2DCC"/>
    <w:rsid w:val="09395132"/>
    <w:rsid w:val="093966C8"/>
    <w:rsid w:val="09F5360E"/>
    <w:rsid w:val="0A875662"/>
    <w:rsid w:val="0C580AA0"/>
    <w:rsid w:val="0C932615"/>
    <w:rsid w:val="0CC33E27"/>
    <w:rsid w:val="0D4E25C8"/>
    <w:rsid w:val="0DF10C0F"/>
    <w:rsid w:val="0E901BFC"/>
    <w:rsid w:val="0FDA3BDD"/>
    <w:rsid w:val="120A7EEE"/>
    <w:rsid w:val="12761364"/>
    <w:rsid w:val="12C30C0A"/>
    <w:rsid w:val="12CB3273"/>
    <w:rsid w:val="13F11728"/>
    <w:rsid w:val="14D97A25"/>
    <w:rsid w:val="152E7E9C"/>
    <w:rsid w:val="157D4F44"/>
    <w:rsid w:val="15C131C8"/>
    <w:rsid w:val="161517B0"/>
    <w:rsid w:val="161C3B02"/>
    <w:rsid w:val="16967D49"/>
    <w:rsid w:val="16A93786"/>
    <w:rsid w:val="176C5189"/>
    <w:rsid w:val="180C4747"/>
    <w:rsid w:val="187C3D68"/>
    <w:rsid w:val="19221B85"/>
    <w:rsid w:val="1ACBD757"/>
    <w:rsid w:val="1D011855"/>
    <w:rsid w:val="1D0C0352"/>
    <w:rsid w:val="1D2B6712"/>
    <w:rsid w:val="1E853909"/>
    <w:rsid w:val="1FC07808"/>
    <w:rsid w:val="1FD14E87"/>
    <w:rsid w:val="20BE7FB3"/>
    <w:rsid w:val="217B50A8"/>
    <w:rsid w:val="22BA5686"/>
    <w:rsid w:val="231A7848"/>
    <w:rsid w:val="24357E42"/>
    <w:rsid w:val="244C11AC"/>
    <w:rsid w:val="24AE4950"/>
    <w:rsid w:val="27167CA1"/>
    <w:rsid w:val="275C02AB"/>
    <w:rsid w:val="2B1B1727"/>
    <w:rsid w:val="2DED1171"/>
    <w:rsid w:val="2F4632F5"/>
    <w:rsid w:val="2F6F6CA3"/>
    <w:rsid w:val="2F926FA6"/>
    <w:rsid w:val="3008327B"/>
    <w:rsid w:val="30DF783E"/>
    <w:rsid w:val="318E3C61"/>
    <w:rsid w:val="32B815D2"/>
    <w:rsid w:val="33BE464F"/>
    <w:rsid w:val="34981E4A"/>
    <w:rsid w:val="3772388E"/>
    <w:rsid w:val="37B11C6E"/>
    <w:rsid w:val="38153DAB"/>
    <w:rsid w:val="38655C6B"/>
    <w:rsid w:val="38663E78"/>
    <w:rsid w:val="3AF54945"/>
    <w:rsid w:val="3C1910A3"/>
    <w:rsid w:val="3CE33270"/>
    <w:rsid w:val="3CF823AB"/>
    <w:rsid w:val="3DAA7D83"/>
    <w:rsid w:val="3DFB2670"/>
    <w:rsid w:val="3E6F7CF1"/>
    <w:rsid w:val="425C4736"/>
    <w:rsid w:val="428325B0"/>
    <w:rsid w:val="43EB6D64"/>
    <w:rsid w:val="44834057"/>
    <w:rsid w:val="448B68F7"/>
    <w:rsid w:val="4539487A"/>
    <w:rsid w:val="45C956D9"/>
    <w:rsid w:val="47416E57"/>
    <w:rsid w:val="477D5248"/>
    <w:rsid w:val="4C674964"/>
    <w:rsid w:val="4CA656E0"/>
    <w:rsid w:val="4EDF405A"/>
    <w:rsid w:val="4EF10877"/>
    <w:rsid w:val="4F0D5D3B"/>
    <w:rsid w:val="5091017C"/>
    <w:rsid w:val="51AF2D32"/>
    <w:rsid w:val="51D41B82"/>
    <w:rsid w:val="53CA1D77"/>
    <w:rsid w:val="56725555"/>
    <w:rsid w:val="577529AD"/>
    <w:rsid w:val="579F29EE"/>
    <w:rsid w:val="57E1517B"/>
    <w:rsid w:val="587C1944"/>
    <w:rsid w:val="597102E2"/>
    <w:rsid w:val="5A5A64AE"/>
    <w:rsid w:val="5AD50D90"/>
    <w:rsid w:val="5B591312"/>
    <w:rsid w:val="5E7728A4"/>
    <w:rsid w:val="5EE83548"/>
    <w:rsid w:val="61907509"/>
    <w:rsid w:val="61CB201B"/>
    <w:rsid w:val="624832B6"/>
    <w:rsid w:val="6261568E"/>
    <w:rsid w:val="62E21975"/>
    <w:rsid w:val="659624A5"/>
    <w:rsid w:val="65DE54CC"/>
    <w:rsid w:val="66F11A0F"/>
    <w:rsid w:val="67334E8F"/>
    <w:rsid w:val="67CA67ED"/>
    <w:rsid w:val="68FD27D1"/>
    <w:rsid w:val="6903299E"/>
    <w:rsid w:val="6A014B30"/>
    <w:rsid w:val="6C532847"/>
    <w:rsid w:val="6D686754"/>
    <w:rsid w:val="6D762F8A"/>
    <w:rsid w:val="6DCE1342"/>
    <w:rsid w:val="6E2F4933"/>
    <w:rsid w:val="6F930565"/>
    <w:rsid w:val="6FDD0513"/>
    <w:rsid w:val="70153A16"/>
    <w:rsid w:val="706978A3"/>
    <w:rsid w:val="71482BF2"/>
    <w:rsid w:val="71E90846"/>
    <w:rsid w:val="73795945"/>
    <w:rsid w:val="73E33DD2"/>
    <w:rsid w:val="740E252B"/>
    <w:rsid w:val="74BA6EDD"/>
    <w:rsid w:val="74EF7D79"/>
    <w:rsid w:val="75F57250"/>
    <w:rsid w:val="76362243"/>
    <w:rsid w:val="78855866"/>
    <w:rsid w:val="79255E1C"/>
    <w:rsid w:val="798E1737"/>
    <w:rsid w:val="7D0E1EA7"/>
    <w:rsid w:val="7DCD5BEB"/>
    <w:rsid w:val="7E2F4D8A"/>
    <w:rsid w:val="7EEF9C38"/>
    <w:rsid w:val="7F775004"/>
    <w:rsid w:val="7F7F734A"/>
    <w:rsid w:val="7FD2DB66"/>
    <w:rsid w:val="AFC751EB"/>
    <w:rsid w:val="B5BBE0E6"/>
    <w:rsid w:val="B9EFF973"/>
    <w:rsid w:val="BCFBC3A8"/>
    <w:rsid w:val="BFFE9640"/>
    <w:rsid w:val="DF1F1F51"/>
    <w:rsid w:val="F74778BE"/>
    <w:rsid w:val="F7F641A9"/>
    <w:rsid w:val="F7FEF767"/>
    <w:rsid w:val="FDEC00FC"/>
    <w:rsid w:val="FF9BBFBA"/>
    <w:rsid w:val="FFF8C7F0"/>
    <w:rsid w:val="FFFBE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4">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customStyle="1" w:styleId="2">
    <w:name w:val="样式2"/>
    <w:basedOn w:val="1"/>
    <w:next w:val="1"/>
    <w:qFormat/>
    <w:uiPriority w:val="0"/>
    <w:pPr>
      <w:ind w:firstLine="640" w:firstLineChars="200"/>
      <w:jc w:val="left"/>
    </w:pPr>
    <w:rPr>
      <w:rFonts w:hint="eastAsia" w:ascii="Times New Roman" w:hAnsi="Times New Roman" w:cs="仿宋_GB2312"/>
      <w:color w:val="0D0D0D"/>
      <w:sz w:val="32"/>
      <w:szCs w:val="32"/>
    </w:rPr>
  </w:style>
  <w:style w:type="paragraph" w:styleId="4">
    <w:name w:val="annotation subject"/>
    <w:basedOn w:val="5"/>
    <w:next w:val="5"/>
    <w:link w:val="26"/>
    <w:unhideWhenUsed/>
    <w:qFormat/>
    <w:uiPriority w:val="99"/>
    <w:rPr>
      <w:b/>
      <w:bCs/>
    </w:rPr>
  </w:style>
  <w:style w:type="paragraph" w:styleId="5">
    <w:name w:val="annotation text"/>
    <w:basedOn w:val="1"/>
    <w:link w:val="25"/>
    <w:unhideWhenUsed/>
    <w:qFormat/>
    <w:uiPriority w:val="99"/>
    <w:pPr>
      <w:jc w:val="left"/>
    </w:pPr>
  </w:style>
  <w:style w:type="paragraph" w:styleId="6">
    <w:name w:val="toa heading"/>
    <w:basedOn w:val="1"/>
    <w:next w:val="1"/>
    <w:unhideWhenUsed/>
    <w:qFormat/>
    <w:uiPriority w:val="99"/>
    <w:pPr>
      <w:spacing w:before="120"/>
    </w:pPr>
    <w:rPr>
      <w:rFonts w:ascii="等线 Light" w:hAnsi="等线 Light"/>
    </w:rPr>
  </w:style>
  <w:style w:type="paragraph" w:styleId="7">
    <w:name w:val="Body Text"/>
    <w:basedOn w:val="1"/>
    <w:next w:val="1"/>
    <w:qFormat/>
    <w:uiPriority w:val="1"/>
    <w:pPr>
      <w:autoSpaceDE w:val="0"/>
      <w:autoSpaceDN w:val="0"/>
      <w:jc w:val="left"/>
    </w:pPr>
    <w:rPr>
      <w:rFonts w:ascii="仿宋_GB2312" w:hAnsi="仿宋_GB2312" w:eastAsia="仿宋_GB2312" w:cs="仿宋_GB2312"/>
      <w:kern w:val="0"/>
      <w:sz w:val="32"/>
      <w:szCs w:val="32"/>
    </w:rPr>
  </w:style>
  <w:style w:type="paragraph" w:styleId="8">
    <w:name w:val="Body Text Indent"/>
    <w:basedOn w:val="1"/>
    <w:qFormat/>
    <w:uiPriority w:val="0"/>
    <w:pPr>
      <w:spacing w:after="120"/>
      <w:ind w:left="420" w:leftChars="200"/>
    </w:pPr>
  </w:style>
  <w:style w:type="paragraph" w:styleId="9">
    <w:name w:val="Date"/>
    <w:basedOn w:val="1"/>
    <w:next w:val="1"/>
    <w:link w:val="21"/>
    <w:semiHidden/>
    <w:qFormat/>
    <w:uiPriority w:val="99"/>
    <w:pPr>
      <w:ind w:left="100" w:leftChars="2500"/>
    </w:pPr>
  </w:style>
  <w:style w:type="paragraph" w:styleId="10">
    <w:name w:val="Balloon Text"/>
    <w:basedOn w:val="1"/>
    <w:link w:val="27"/>
    <w:unhideWhenUsed/>
    <w:qFormat/>
    <w:uiPriority w:val="99"/>
    <w:rPr>
      <w:sz w:val="18"/>
      <w:szCs w:val="18"/>
    </w:rPr>
  </w:style>
  <w:style w:type="paragraph" w:styleId="11">
    <w:name w:val="footer"/>
    <w:basedOn w:val="1"/>
    <w:link w:val="20"/>
    <w:qFormat/>
    <w:uiPriority w:val="99"/>
    <w:pPr>
      <w:tabs>
        <w:tab w:val="center" w:pos="4153"/>
        <w:tab w:val="right" w:pos="8306"/>
      </w:tabs>
      <w:snapToGrid w:val="0"/>
      <w:jc w:val="left"/>
    </w:pPr>
    <w:rPr>
      <w:rFonts w:ascii="Calibri" w:hAnsi="Calibri"/>
      <w:sz w:val="18"/>
      <w:szCs w:val="18"/>
    </w:rPr>
  </w:style>
  <w:style w:type="paragraph" w:styleId="12">
    <w:name w:val="header"/>
    <w:basedOn w:val="1"/>
    <w:link w:val="19"/>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3">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styleId="15">
    <w:name w:val="page number"/>
    <w:basedOn w:val="14"/>
    <w:qFormat/>
    <w:uiPriority w:val="99"/>
    <w:rPr>
      <w:rFonts w:cs="Times New Roman"/>
    </w:rPr>
  </w:style>
  <w:style w:type="character" w:styleId="16">
    <w:name w:val="annotation reference"/>
    <w:basedOn w:val="14"/>
    <w:unhideWhenUsed/>
    <w:qFormat/>
    <w:uiPriority w:val="99"/>
    <w:rPr>
      <w:sz w:val="21"/>
      <w:szCs w:val="21"/>
    </w:rPr>
  </w:style>
  <w:style w:type="paragraph" w:customStyle="1" w:styleId="18">
    <w:name w:val="List Paragraph"/>
    <w:basedOn w:val="1"/>
    <w:qFormat/>
    <w:uiPriority w:val="99"/>
    <w:pPr>
      <w:ind w:firstLine="420" w:firstLineChars="200"/>
    </w:pPr>
    <w:rPr>
      <w:rFonts w:ascii="Calibri" w:hAnsi="Calibri"/>
      <w:szCs w:val="22"/>
    </w:rPr>
  </w:style>
  <w:style w:type="character" w:customStyle="1" w:styleId="19">
    <w:name w:val="页眉 字符"/>
    <w:basedOn w:val="14"/>
    <w:link w:val="12"/>
    <w:qFormat/>
    <w:locked/>
    <w:uiPriority w:val="99"/>
    <w:rPr>
      <w:rFonts w:cs="Times New Roman"/>
      <w:sz w:val="18"/>
      <w:szCs w:val="18"/>
    </w:rPr>
  </w:style>
  <w:style w:type="character" w:customStyle="1" w:styleId="20">
    <w:name w:val="页脚 字符"/>
    <w:basedOn w:val="14"/>
    <w:link w:val="11"/>
    <w:qFormat/>
    <w:locked/>
    <w:uiPriority w:val="99"/>
    <w:rPr>
      <w:rFonts w:cs="Times New Roman"/>
      <w:sz w:val="18"/>
      <w:szCs w:val="18"/>
    </w:rPr>
  </w:style>
  <w:style w:type="character" w:customStyle="1" w:styleId="21">
    <w:name w:val="日期 字符"/>
    <w:basedOn w:val="14"/>
    <w:link w:val="9"/>
    <w:semiHidden/>
    <w:qFormat/>
    <w:locked/>
    <w:uiPriority w:val="99"/>
    <w:rPr>
      <w:rFonts w:ascii="Times New Roman" w:hAnsi="Times New Roman" w:eastAsia="宋体" w:cs="Times New Roman"/>
      <w:sz w:val="24"/>
      <w:szCs w:val="24"/>
    </w:rPr>
  </w:style>
  <w:style w:type="character" w:customStyle="1" w:styleId="22">
    <w:name w:val="font11"/>
    <w:basedOn w:val="14"/>
    <w:qFormat/>
    <w:uiPriority w:val="99"/>
    <w:rPr>
      <w:rFonts w:ascii="仿宋_GB2312" w:eastAsia="仿宋_GB2312" w:cs="Times New Roman"/>
      <w:sz w:val="24"/>
      <w:szCs w:val="24"/>
    </w:rPr>
  </w:style>
  <w:style w:type="character" w:customStyle="1" w:styleId="23">
    <w:name w:val="Char Char3"/>
    <w:qFormat/>
    <w:uiPriority w:val="99"/>
    <w:rPr>
      <w:kern w:val="2"/>
      <w:sz w:val="18"/>
    </w:rPr>
  </w:style>
  <w:style w:type="paragraph" w:customStyle="1" w:styleId="2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5">
    <w:name w:val="批注文字 字符"/>
    <w:basedOn w:val="14"/>
    <w:link w:val="5"/>
    <w:qFormat/>
    <w:uiPriority w:val="99"/>
    <w:rPr>
      <w:kern w:val="2"/>
      <w:sz w:val="21"/>
      <w:szCs w:val="24"/>
    </w:rPr>
  </w:style>
  <w:style w:type="character" w:customStyle="1" w:styleId="26">
    <w:name w:val="批注主题 字符"/>
    <w:basedOn w:val="25"/>
    <w:link w:val="4"/>
    <w:semiHidden/>
    <w:qFormat/>
    <w:uiPriority w:val="99"/>
    <w:rPr>
      <w:b/>
      <w:bCs/>
      <w:kern w:val="2"/>
      <w:sz w:val="21"/>
      <w:szCs w:val="24"/>
    </w:rPr>
  </w:style>
  <w:style w:type="character" w:customStyle="1" w:styleId="27">
    <w:name w:val="批注框文本 字符"/>
    <w:basedOn w:val="14"/>
    <w:link w:val="10"/>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742bbde0-4f1d-40a7-b3a6-fd6fcb46970e</errorID>
      <errorWord>加强</errorWord>
      <group>L1_Word</group>
      <groupName>字词问题</groupName>
      <ability>L2_Typo</ability>
      <abilityName>字词错误</abilityName>
      <candidateList>
        <item>加大</item>
      </candidateList>
      <explain>“加强～力度”搭配不当，建议修改为“加大～力度”。</explain>
      <paraID>2FAB160A</paraID>
      <start>30</start>
      <end>32</end>
      <status>ignored</status>
      <modifiedWord/>
      <trackRevisions>false</trackRevisions>
    </reviewItem>
    <reviewItem>
      <errorID>bb3188c8-5a12-45f7-90b8-95c5c3979bc8</errorID>
      <errorWord>加强</errorWord>
      <group>L1_Word</group>
      <groupName>字词问题</groupName>
      <ability>L2_Typo</ability>
      <abilityName>字词错误</abilityName>
      <candidateList>
        <item>加大</item>
      </candidateList>
      <explain>“加强～力度”搭配不当，建议修改为“加大～力度”。</explain>
      <paraID>3FE0B654</paraID>
      <start>2</start>
      <end>4</end>
      <status>ignored</status>
      <modifiedWord/>
      <trackRevisions>false</trackRevisions>
    </reviewItem>
    <reviewItem>
      <errorID>3773179e-b28f-4f65-b395-690a1e62f0e0</errorID>
      <errorWord>对其</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3FE0B654</paraID>
      <start>34</start>
      <end>36</end>
      <status>ignored</status>
      <modifiedWord/>
      <trackRevisions>false</trackRevisions>
    </reviewItem>
    <reviewItem>
      <errorID>658afa1d-efc5-4c87-ab38-9a35a6f5b280</errorID>
      <errorWord>程</errorWord>
      <group>L1_Word</group>
      <groupName>字词问题</groupName>
      <ability>L2_Typo</ability>
      <abilityName>字词错误</abilityName>
      <candidateList>
        <item>程中</item>
      </candidateList>
      <explain/>
      <paraID>6BE80FE4</paraID>
      <start>153</start>
      <end>154</end>
      <status>ignored</status>
      <modifiedWord/>
      <trackRevisions>false</trackRevisions>
    </reviewItem>
    <reviewItem>
      <errorID>b9c70d6b-440c-46f9-a2d5-c73221a7ec1a</errorID>
      <errorWord>险保</errorWord>
      <group>L1_Word</group>
      <groupName>字词问题</groupName>
      <ability>L2_Typo</ability>
      <abilityName>字词错误</abilityName>
      <candidateList>
        <item>保险</item>
      </candidateList>
      <explain/>
      <paraID>5F047139</paraID>
      <start>214</start>
      <end>216</end>
      <status>ignored</status>
      <modifiedWord/>
      <trackRevisions>false</trackRevisions>
    </reviewItem>
    <reviewItem>
      <errorID>cabb9490-9835-430a-a152-c8c61549bc1b</errorID>
      <errorWord>刑法</errorWord>
      <group>L1_Knowledge</group>
      <groupName>知识性问题</groupName>
      <ability>L2_Knowledge</ability>
      <abilityName>其他知识</abilityName>
      <candidateList>
        <item>中华人民共和国刑法</item>
      </candidateList>
      <explain>当前法律法规名称使用简称，请注意是否应当使用全称。</explain>
      <paraID>1829A6BB</paraID>
      <start>4</start>
      <end>6</end>
      <status>ignored</status>
      <modifiedWord/>
      <trackRevisions>false</trackRevisions>
    </reviewItem>
    <reviewItem>
      <errorID>1b99d04b-6a0a-459f-9f03-20b52e778f47</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1829A6BB</paraID>
      <start>8</start>
      <end>13</end>
      <status>ignored</status>
      <modifiedWord/>
      <trackRevisions>false</trackRevisions>
    </reviewItem>
    <reviewItem>
      <errorID>b6811902-c56d-44a9-b9a5-a31668a0acc2</errorID>
      <errorWord>安全再</errorWord>
      <group>L1_Word</group>
      <groupName>字词问题</groupName>
      <ability>L2_Typo</ability>
      <abilityName>字词错误</abilityName>
      <candidateList>
        <item>安全</item>
      </candidateList>
      <explain>〈形〉没有危险；不受威胁；不出事故：～操作｜～地带｜注意交通～。</explain>
      <paraID>1829A6BB</paraID>
      <start>263</start>
      <end>266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3abcac-5424-4024-a8a8-1b6a95c501fa}">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11</Pages>
  <Words>1050</Words>
  <Characters>1060</Characters>
  <Lines>27</Lines>
  <Paragraphs>7</Paragraphs>
  <TotalTime>0</TotalTime>
  <ScaleCrop>false</ScaleCrop>
  <LinksUpToDate>false</LinksUpToDate>
  <CharactersWithSpaces>1060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2022-07-19T04:26:00Z</dcterms:created>
  <dc:creator>lenovo</dc:creator>
  <cp:lastModifiedBy>Administrator</cp:lastModifiedBy>
  <cp:lastPrinted>2023-05-06T10:58:00Z</cp:lastPrinted>
  <dcterms:modified xsi:type="dcterms:W3CDTF">2026-01-07T04:10:13Z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56271FE445BE465691F7B6CD6358DD5B_13</vt:lpwstr>
  </property>
  <property fmtid="{D5CDD505-2E9C-101B-9397-08002B2CF9AE}" pid="4" name="KSOTemplateDocerSaveRecord">
    <vt:lpwstr>eyJoZGlkIjoiOGJiMGFmMGEzYWQ0ZTkzYjc2NjIzMmZkMWQ5NzU3N2YiLCJ1c2VySWQiOiIyNTY3MTE5MDIifQ==</vt:lpwstr>
  </property>
</Properties>
</file>