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ascii="方正小标宋简体" w:hAnsi="方正小标宋简体" w:eastAsia="方正小标宋简体" w:cs="方正小标宋简体"/>
          <w:kern w:val="2"/>
          <w:sz w:val="44"/>
          <w:szCs w:val="44"/>
          <w:lang w:val="en-US" w:eastAsia="zh-CN" w:bidi="ar"/>
        </w:rPr>
        <w:t>北京市朝阳区将台地区办事处</w:t>
      </w:r>
      <w:r>
        <w:rPr>
          <w:rFonts w:hint="eastAsia" w:ascii="方正小标宋简体" w:hAnsi="方正小标宋简体" w:eastAsia="方正小标宋简体" w:cs="方正小标宋简体"/>
          <w:kern w:val="2"/>
          <w:sz w:val="44"/>
          <w:szCs w:val="44"/>
          <w:lang w:val="en-US" w:eastAsia="zh-CN" w:bidi="ar"/>
        </w:rPr>
        <w:t>2022年政府信息公开工作年度报告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right="0" w:firstLine="320" w:firstLineChars="100"/>
        <w:jc w:val="left"/>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2022年，将台乡人民政府认真贯彻落实《中华人民共和国政府信息公开条例》和《朝阳区2022年政务公开工作要点》，及时发布和更新信息公开目录和指南，定期发布部门信息、工作动态等。坚持“公开为常态，不公开为例外”的基本原则，构建程序规范、运转协调、公开透明、便捷高效的政府信息公开长效机制，有效推动地区整体工作水平提高。坚持依法行政，深化信息公开，不断增强政府信息公开工作的透明度，保障人民群众的知情权、参与权和监督权。不断强化组织领导，严格落实将台乡信息公开呈批制度，保障流程完整合规。</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3" w:firstLineChars="200"/>
        <w:jc w:val="left"/>
      </w:pPr>
      <w:r>
        <w:rPr>
          <w:rFonts w:ascii="楷体_GB2312" w:hAnsi="Calibri" w:eastAsia="楷体_GB2312" w:cs="Times New Roman"/>
          <w:b/>
          <w:kern w:val="0"/>
          <w:sz w:val="32"/>
          <w:szCs w:val="32"/>
          <w:lang w:val="en-US" w:eastAsia="zh-CN" w:bidi="ar"/>
        </w:rPr>
        <w:t>（一）</w:t>
      </w:r>
      <w:r>
        <w:rPr>
          <w:rFonts w:hint="default" w:ascii="楷体_GB2312" w:hAnsi="Calibri" w:eastAsia="楷体_GB2312" w:cs="楷体_GB2312"/>
          <w:b/>
          <w:kern w:val="0"/>
          <w:sz w:val="32"/>
          <w:szCs w:val="32"/>
          <w:lang w:val="en-US" w:eastAsia="zh-CN" w:bidi="ar"/>
        </w:rPr>
        <w:t>主动公开情况</w:t>
      </w:r>
      <w:r>
        <w:rPr>
          <w:rFonts w:hint="default" w:ascii="楷体_GB2312" w:hAnsi="Calibri" w:eastAsia="楷体_GB2312" w:cs="Times New Roman"/>
          <w:b/>
          <w:kern w:val="0"/>
          <w:sz w:val="32"/>
          <w:szCs w:val="32"/>
          <w:lang w:val="en-US" w:eastAsia="zh-CN" w:bidi="ar"/>
        </w:rPr>
        <w:t xml:space="preserve"> </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highlight w:val="none"/>
        </w:rPr>
      </w:pPr>
      <w:r>
        <w:rPr>
          <w:rFonts w:hint="default" w:ascii="仿宋_GB2312" w:hAnsi="Times New Roman" w:eastAsia="仿宋_GB2312" w:cs="仿宋_GB2312"/>
          <w:kern w:val="0"/>
          <w:sz w:val="32"/>
          <w:szCs w:val="32"/>
          <w:highlight w:val="none"/>
          <w:lang w:val="en-US" w:eastAsia="zh-CN" w:bidi="ar"/>
        </w:rPr>
        <w:t>2022年，我地区全面贯彻落实《条例》要求，以深化公开内容为重点，以推进依法行政、建设法治政府为目标，不断强化组织领导，完善工作机制，拓宽信息公开渠道，加大重点领域信息公开，妥善处理依申请公开，加强政策解读及回应力度，进一步提升政府工作透明度。努力保障人民群众的知情权、参与权、表达权和监督权，切实满足社会公众获取和利用政府信息的需求，为促进法治、创新、廉洁、服务型政府建设提供了坚强有力保障。2022年，我地区在政府网站主动发布政府信息</w:t>
      </w:r>
      <w:r>
        <w:rPr>
          <w:rFonts w:hint="eastAsia" w:ascii="仿宋_GB2312" w:hAnsi="Times New Roman" w:eastAsia="仿宋_GB2312" w:cs="仿宋_GB2312"/>
          <w:kern w:val="0"/>
          <w:sz w:val="32"/>
          <w:szCs w:val="32"/>
          <w:highlight w:val="none"/>
          <w:lang w:val="en-US" w:eastAsia="zh-CN" w:bidi="ar"/>
        </w:rPr>
        <w:t>75</w:t>
      </w:r>
      <w:r>
        <w:rPr>
          <w:rFonts w:hint="default" w:ascii="仿宋_GB2312" w:hAnsi="Times New Roman" w:eastAsia="仿宋_GB2312" w:cs="仿宋_GB2312"/>
          <w:kern w:val="0"/>
          <w:sz w:val="32"/>
          <w:szCs w:val="32"/>
          <w:highlight w:val="none"/>
          <w:lang w:val="en-US" w:eastAsia="zh-CN" w:bidi="ar"/>
        </w:rPr>
        <w:t>条、</w:t>
      </w:r>
      <w:r>
        <w:rPr>
          <w:rFonts w:hint="eastAsia" w:ascii="仿宋_GB2312" w:hAnsi="Times New Roman" w:eastAsia="仿宋_GB2312" w:cs="仿宋_GB2312"/>
          <w:kern w:val="0"/>
          <w:sz w:val="32"/>
          <w:szCs w:val="32"/>
          <w:highlight w:val="none"/>
          <w:lang w:val="en-US" w:eastAsia="zh-CN" w:bidi="ar"/>
        </w:rPr>
        <w:t>“快乐将台”</w:t>
      </w:r>
      <w:r>
        <w:rPr>
          <w:rFonts w:hint="default" w:ascii="仿宋_GB2312" w:hAnsi="Times New Roman" w:eastAsia="仿宋_GB2312" w:cs="仿宋_GB2312"/>
          <w:kern w:val="0"/>
          <w:sz w:val="32"/>
          <w:szCs w:val="32"/>
          <w:highlight w:val="none"/>
          <w:lang w:val="en-US" w:eastAsia="zh-CN" w:bidi="ar"/>
        </w:rPr>
        <w:t>微信公众号推送</w:t>
      </w:r>
      <w:r>
        <w:rPr>
          <w:rFonts w:hint="eastAsia" w:ascii="仿宋_GB2312" w:hAnsi="Times New Roman" w:eastAsia="仿宋_GB2312" w:cs="仿宋_GB2312"/>
          <w:kern w:val="0"/>
          <w:sz w:val="32"/>
          <w:szCs w:val="32"/>
          <w:highlight w:val="none"/>
          <w:lang w:val="en-US" w:eastAsia="zh-CN" w:bidi="ar"/>
        </w:rPr>
        <w:t>693</w:t>
      </w:r>
      <w:bookmarkStart w:id="0" w:name="_GoBack"/>
      <w:bookmarkEnd w:id="0"/>
      <w:r>
        <w:rPr>
          <w:rFonts w:hint="eastAsia" w:ascii="仿宋_GB2312" w:hAnsi="Times New Roman" w:eastAsia="仿宋_GB2312" w:cs="仿宋_GB2312"/>
          <w:kern w:val="0"/>
          <w:sz w:val="32"/>
          <w:szCs w:val="32"/>
          <w:highlight w:val="none"/>
          <w:lang w:val="en-US" w:eastAsia="zh-CN" w:bidi="ar"/>
        </w:rPr>
        <w:t>条信息。</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3" w:firstLineChars="200"/>
        <w:jc w:val="left"/>
      </w:pPr>
      <w:r>
        <w:rPr>
          <w:rFonts w:hint="default" w:ascii="楷体_GB2312" w:hAnsi="Calibri" w:eastAsia="楷体_GB2312" w:cs="Times New Roman"/>
          <w:b/>
          <w:kern w:val="0"/>
          <w:sz w:val="32"/>
          <w:szCs w:val="32"/>
          <w:lang w:val="en-US" w:eastAsia="zh-CN" w:bidi="ar"/>
        </w:rPr>
        <w:t>（二）</w:t>
      </w:r>
      <w:r>
        <w:rPr>
          <w:rFonts w:hint="default" w:ascii="楷体_GB2312" w:hAnsi="Calibri" w:eastAsia="楷体_GB2312" w:cs="楷体_GB2312"/>
          <w:b/>
          <w:kern w:val="0"/>
          <w:sz w:val="32"/>
          <w:szCs w:val="32"/>
          <w:lang w:val="en-US" w:eastAsia="zh-CN" w:bidi="ar"/>
        </w:rPr>
        <w:t>依申请公开办理情况</w:t>
      </w:r>
      <w:r>
        <w:rPr>
          <w:rFonts w:hint="default" w:ascii="楷体_GB2312" w:hAnsi="Calibri" w:eastAsia="楷体_GB2312" w:cs="Times New Roman"/>
          <w:b/>
          <w:kern w:val="0"/>
          <w:sz w:val="32"/>
          <w:szCs w:val="32"/>
          <w:lang w:val="en-US" w:eastAsia="zh-CN" w:bidi="ar"/>
        </w:rPr>
        <w:t xml:space="preserve"> </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highlight w:val="none"/>
          <w:lang w:val="en-US" w:eastAsia="zh-CN" w:bidi="ar"/>
        </w:rPr>
      </w:pPr>
      <w:r>
        <w:rPr>
          <w:rFonts w:hint="default" w:ascii="仿宋_GB2312" w:hAnsi="Times New Roman" w:eastAsia="仿宋_GB2312" w:cs="仿宋_GB2312"/>
          <w:kern w:val="0"/>
          <w:sz w:val="32"/>
          <w:szCs w:val="32"/>
          <w:highlight w:val="none"/>
          <w:lang w:val="en-US" w:eastAsia="zh-CN" w:bidi="ar"/>
        </w:rPr>
        <w:t>本单位202</w:t>
      </w:r>
      <w:r>
        <w:rPr>
          <w:rFonts w:hint="eastAsia" w:ascii="仿宋_GB2312" w:hAnsi="Times New Roman" w:eastAsia="仿宋_GB2312" w:cs="仿宋_GB2312"/>
          <w:kern w:val="0"/>
          <w:sz w:val="32"/>
          <w:szCs w:val="32"/>
          <w:highlight w:val="none"/>
          <w:lang w:val="en-US" w:eastAsia="zh-CN" w:bidi="ar"/>
        </w:rPr>
        <w:t>2</w:t>
      </w:r>
      <w:r>
        <w:rPr>
          <w:rFonts w:hint="default" w:ascii="仿宋_GB2312" w:hAnsi="Times New Roman" w:eastAsia="仿宋_GB2312" w:cs="仿宋_GB2312"/>
          <w:kern w:val="0"/>
          <w:sz w:val="32"/>
          <w:szCs w:val="32"/>
          <w:highlight w:val="none"/>
          <w:lang w:val="en-US" w:eastAsia="zh-CN" w:bidi="ar"/>
        </w:rPr>
        <w:t>年度共收到政府信息公开申请</w:t>
      </w:r>
      <w:r>
        <w:rPr>
          <w:rFonts w:hint="eastAsia" w:ascii="仿宋_GB2312" w:hAnsi="Times New Roman" w:eastAsia="仿宋_GB2312" w:cs="仿宋_GB2312"/>
          <w:kern w:val="0"/>
          <w:sz w:val="32"/>
          <w:szCs w:val="32"/>
          <w:highlight w:val="none"/>
          <w:lang w:val="en-US" w:eastAsia="zh-CN" w:bidi="ar"/>
        </w:rPr>
        <w:t>17</w:t>
      </w:r>
      <w:r>
        <w:rPr>
          <w:rFonts w:hint="default" w:ascii="仿宋_GB2312" w:hAnsi="Times New Roman" w:eastAsia="仿宋_GB2312" w:cs="仿宋_GB2312"/>
          <w:kern w:val="0"/>
          <w:sz w:val="32"/>
          <w:szCs w:val="32"/>
          <w:highlight w:val="none"/>
          <w:lang w:val="en-US" w:eastAsia="zh-CN" w:bidi="ar"/>
        </w:rPr>
        <w:t>件，同上年</w:t>
      </w:r>
      <w:r>
        <w:rPr>
          <w:rFonts w:hint="eastAsia" w:ascii="仿宋_GB2312" w:hAnsi="Times New Roman" w:eastAsia="仿宋_GB2312" w:cs="仿宋_GB2312"/>
          <w:kern w:val="0"/>
          <w:sz w:val="32"/>
          <w:szCs w:val="32"/>
          <w:highlight w:val="none"/>
          <w:lang w:val="en-US" w:eastAsia="zh-CN" w:bidi="ar"/>
        </w:rPr>
        <w:t>减少23</w:t>
      </w:r>
      <w:r>
        <w:rPr>
          <w:rFonts w:hint="default" w:ascii="仿宋_GB2312" w:hAnsi="Times New Roman" w:eastAsia="仿宋_GB2312" w:cs="仿宋_GB2312"/>
          <w:kern w:val="0"/>
          <w:sz w:val="32"/>
          <w:szCs w:val="32"/>
          <w:highlight w:val="none"/>
          <w:lang w:val="en-US" w:eastAsia="zh-CN" w:bidi="ar"/>
        </w:rPr>
        <w:t>件。其中，当面申请</w:t>
      </w:r>
      <w:r>
        <w:rPr>
          <w:rFonts w:hint="eastAsia" w:ascii="仿宋_GB2312" w:hAnsi="Times New Roman" w:eastAsia="仿宋_GB2312" w:cs="仿宋_GB2312"/>
          <w:kern w:val="0"/>
          <w:sz w:val="32"/>
          <w:szCs w:val="32"/>
          <w:highlight w:val="none"/>
          <w:lang w:val="en-US" w:eastAsia="zh-CN" w:bidi="ar"/>
        </w:rPr>
        <w:t>12</w:t>
      </w:r>
      <w:r>
        <w:rPr>
          <w:rFonts w:hint="default" w:ascii="仿宋_GB2312" w:hAnsi="Times New Roman" w:eastAsia="仿宋_GB2312" w:cs="仿宋_GB2312"/>
          <w:kern w:val="0"/>
          <w:sz w:val="32"/>
          <w:szCs w:val="32"/>
          <w:highlight w:val="none"/>
          <w:lang w:val="en-US" w:eastAsia="zh-CN" w:bidi="ar"/>
        </w:rPr>
        <w:t>件，占总数的</w:t>
      </w:r>
      <w:r>
        <w:rPr>
          <w:rFonts w:hint="eastAsia" w:ascii="仿宋_GB2312" w:hAnsi="Times New Roman" w:eastAsia="仿宋_GB2312" w:cs="仿宋_GB2312"/>
          <w:kern w:val="0"/>
          <w:sz w:val="32"/>
          <w:szCs w:val="32"/>
          <w:highlight w:val="none"/>
          <w:lang w:val="en-US" w:eastAsia="zh-CN" w:bidi="ar"/>
        </w:rPr>
        <w:t>70</w:t>
      </w:r>
      <w:r>
        <w:rPr>
          <w:rFonts w:hint="default" w:ascii="仿宋_GB2312" w:hAnsi="Times New Roman" w:eastAsia="仿宋_GB2312" w:cs="仿宋_GB2312"/>
          <w:kern w:val="0"/>
          <w:sz w:val="32"/>
          <w:szCs w:val="32"/>
          <w:highlight w:val="none"/>
          <w:lang w:val="en-US" w:eastAsia="zh-CN" w:bidi="ar"/>
        </w:rPr>
        <w:t>%，同上年相比，</w:t>
      </w:r>
      <w:r>
        <w:rPr>
          <w:rFonts w:hint="eastAsia" w:ascii="仿宋_GB2312" w:hAnsi="Times New Roman" w:eastAsia="仿宋_GB2312" w:cs="仿宋_GB2312"/>
          <w:kern w:val="0"/>
          <w:sz w:val="32"/>
          <w:szCs w:val="32"/>
          <w:highlight w:val="none"/>
          <w:lang w:val="en-US" w:eastAsia="zh-CN" w:bidi="ar"/>
        </w:rPr>
        <w:t>减少12</w:t>
      </w:r>
      <w:r>
        <w:rPr>
          <w:rFonts w:hint="default" w:ascii="仿宋_GB2312" w:hAnsi="Times New Roman" w:eastAsia="仿宋_GB2312" w:cs="仿宋_GB2312"/>
          <w:kern w:val="0"/>
          <w:sz w:val="32"/>
          <w:szCs w:val="32"/>
          <w:highlight w:val="none"/>
          <w:lang w:val="en-US" w:eastAsia="zh-CN" w:bidi="ar"/>
        </w:rPr>
        <w:t>件；通过互联网提交申请有</w:t>
      </w:r>
      <w:r>
        <w:rPr>
          <w:rFonts w:hint="eastAsia" w:ascii="仿宋_GB2312" w:hAnsi="Times New Roman" w:eastAsia="仿宋_GB2312" w:cs="仿宋_GB2312"/>
          <w:kern w:val="0"/>
          <w:sz w:val="32"/>
          <w:szCs w:val="32"/>
          <w:highlight w:val="none"/>
          <w:lang w:val="en-US" w:eastAsia="zh-CN" w:bidi="ar"/>
        </w:rPr>
        <w:t>3</w:t>
      </w:r>
      <w:r>
        <w:rPr>
          <w:rFonts w:hint="default" w:ascii="仿宋_GB2312" w:hAnsi="Times New Roman" w:eastAsia="仿宋_GB2312" w:cs="仿宋_GB2312"/>
          <w:kern w:val="0"/>
          <w:sz w:val="32"/>
          <w:szCs w:val="32"/>
          <w:highlight w:val="none"/>
          <w:lang w:val="en-US" w:eastAsia="zh-CN" w:bidi="ar"/>
        </w:rPr>
        <w:t>件，约占总数的</w:t>
      </w:r>
      <w:r>
        <w:rPr>
          <w:rFonts w:hint="eastAsia" w:ascii="仿宋_GB2312" w:hAnsi="Times New Roman" w:eastAsia="仿宋_GB2312" w:cs="仿宋_GB2312"/>
          <w:kern w:val="0"/>
          <w:sz w:val="32"/>
          <w:szCs w:val="32"/>
          <w:highlight w:val="none"/>
          <w:lang w:val="en-US" w:eastAsia="zh-CN" w:bidi="ar"/>
        </w:rPr>
        <w:t>18</w:t>
      </w:r>
      <w:r>
        <w:rPr>
          <w:rFonts w:hint="default" w:ascii="仿宋_GB2312" w:hAnsi="Times New Roman" w:eastAsia="仿宋_GB2312" w:cs="仿宋_GB2312"/>
          <w:kern w:val="0"/>
          <w:sz w:val="32"/>
          <w:szCs w:val="32"/>
          <w:highlight w:val="none"/>
          <w:lang w:val="en-US" w:eastAsia="zh-CN" w:bidi="ar"/>
        </w:rPr>
        <w:t>%，同上年相比，</w:t>
      </w:r>
      <w:r>
        <w:rPr>
          <w:rFonts w:hint="eastAsia" w:ascii="仿宋_GB2312" w:hAnsi="Times New Roman" w:eastAsia="仿宋_GB2312" w:cs="仿宋_GB2312"/>
          <w:kern w:val="0"/>
          <w:sz w:val="32"/>
          <w:szCs w:val="32"/>
          <w:highlight w:val="none"/>
          <w:lang w:val="en-US" w:eastAsia="zh-CN" w:bidi="ar"/>
        </w:rPr>
        <w:t>减少1</w:t>
      </w:r>
      <w:r>
        <w:rPr>
          <w:rFonts w:hint="default" w:ascii="仿宋_GB2312" w:hAnsi="Times New Roman" w:eastAsia="仿宋_GB2312" w:cs="仿宋_GB2312"/>
          <w:kern w:val="0"/>
          <w:sz w:val="32"/>
          <w:szCs w:val="32"/>
          <w:highlight w:val="none"/>
          <w:lang w:val="en-US" w:eastAsia="zh-CN" w:bidi="ar"/>
        </w:rPr>
        <w:t>条；以信函形式申请</w:t>
      </w:r>
      <w:r>
        <w:rPr>
          <w:rFonts w:hint="eastAsia" w:ascii="仿宋_GB2312" w:hAnsi="Times New Roman" w:eastAsia="仿宋_GB2312" w:cs="仿宋_GB2312"/>
          <w:kern w:val="0"/>
          <w:sz w:val="32"/>
          <w:szCs w:val="32"/>
          <w:highlight w:val="none"/>
          <w:lang w:val="en-US" w:eastAsia="zh-CN" w:bidi="ar"/>
        </w:rPr>
        <w:t>2</w:t>
      </w:r>
      <w:r>
        <w:rPr>
          <w:rFonts w:hint="default" w:ascii="仿宋_GB2312" w:hAnsi="Times New Roman" w:eastAsia="仿宋_GB2312" w:cs="仿宋_GB2312"/>
          <w:kern w:val="0"/>
          <w:sz w:val="32"/>
          <w:szCs w:val="32"/>
          <w:highlight w:val="none"/>
          <w:lang w:val="en-US" w:eastAsia="zh-CN" w:bidi="ar"/>
        </w:rPr>
        <w:t>件，约占总数的</w:t>
      </w:r>
      <w:r>
        <w:rPr>
          <w:rFonts w:hint="eastAsia" w:ascii="仿宋_GB2312" w:hAnsi="Times New Roman" w:eastAsia="仿宋_GB2312" w:cs="仿宋_GB2312"/>
          <w:kern w:val="0"/>
          <w:sz w:val="32"/>
          <w:szCs w:val="32"/>
          <w:highlight w:val="none"/>
          <w:lang w:val="en-US" w:eastAsia="zh-CN" w:bidi="ar"/>
        </w:rPr>
        <w:t>12</w:t>
      </w:r>
      <w:r>
        <w:rPr>
          <w:rFonts w:hint="default" w:ascii="仿宋_GB2312" w:hAnsi="Times New Roman" w:eastAsia="仿宋_GB2312" w:cs="仿宋_GB2312"/>
          <w:kern w:val="0"/>
          <w:sz w:val="32"/>
          <w:szCs w:val="32"/>
          <w:highlight w:val="none"/>
          <w:lang w:val="en-US" w:eastAsia="zh-CN" w:bidi="ar"/>
        </w:rPr>
        <w:t>%，同上年相比，</w:t>
      </w:r>
      <w:r>
        <w:rPr>
          <w:rFonts w:hint="eastAsia" w:ascii="仿宋_GB2312" w:hAnsi="Times New Roman" w:eastAsia="仿宋_GB2312" w:cs="仿宋_GB2312"/>
          <w:kern w:val="0"/>
          <w:sz w:val="32"/>
          <w:szCs w:val="32"/>
          <w:highlight w:val="none"/>
          <w:lang w:val="en-US" w:eastAsia="zh-CN" w:bidi="ar"/>
        </w:rPr>
        <w:t>减少10</w:t>
      </w:r>
      <w:r>
        <w:rPr>
          <w:rFonts w:hint="default" w:ascii="仿宋_GB2312" w:hAnsi="Times New Roman" w:eastAsia="仿宋_GB2312" w:cs="仿宋_GB2312"/>
          <w:kern w:val="0"/>
          <w:sz w:val="32"/>
          <w:szCs w:val="32"/>
          <w:highlight w:val="none"/>
          <w:lang w:val="en-US" w:eastAsia="zh-CN" w:bidi="ar"/>
        </w:rPr>
        <w:t>条。</w:t>
      </w:r>
      <w:r>
        <w:rPr>
          <w:rFonts w:hint="eastAsia" w:ascii="仿宋_GB2312" w:hAnsi="Times New Roman" w:eastAsia="仿宋_GB2312" w:cs="仿宋_GB2312"/>
          <w:kern w:val="0"/>
          <w:sz w:val="32"/>
          <w:szCs w:val="32"/>
          <w:highlight w:val="none"/>
          <w:lang w:val="en-US" w:eastAsia="zh-CN" w:bidi="ar"/>
        </w:rPr>
        <w:t>2022年度结转上年度信息公开7件，共办理23件，剩余1件结转下年度继续办理。</w:t>
      </w:r>
      <w:r>
        <w:rPr>
          <w:rFonts w:hint="default" w:ascii="仿宋_GB2312" w:hAnsi="Times New Roman" w:eastAsia="仿宋_GB2312" w:cs="仿宋_GB2312"/>
          <w:kern w:val="0"/>
          <w:sz w:val="32"/>
          <w:szCs w:val="32"/>
          <w:highlight w:val="none"/>
          <w:lang w:val="en-US" w:eastAsia="zh-CN" w:bidi="ar"/>
        </w:rPr>
        <w:t>从申请的信息内容来看，主要是涉及房屋</w:t>
      </w:r>
      <w:r>
        <w:rPr>
          <w:rFonts w:hint="eastAsia" w:ascii="仿宋_GB2312" w:hAnsi="Times New Roman" w:eastAsia="仿宋_GB2312" w:cs="仿宋_GB2312"/>
          <w:kern w:val="0"/>
          <w:sz w:val="32"/>
          <w:szCs w:val="32"/>
          <w:highlight w:val="none"/>
          <w:lang w:val="en-US" w:eastAsia="zh-CN" w:bidi="ar"/>
        </w:rPr>
        <w:t>腾退补偿、物业</w:t>
      </w:r>
      <w:r>
        <w:rPr>
          <w:rFonts w:hint="default" w:ascii="仿宋_GB2312" w:hAnsi="Times New Roman" w:eastAsia="仿宋_GB2312" w:cs="仿宋_GB2312"/>
          <w:kern w:val="0"/>
          <w:sz w:val="32"/>
          <w:szCs w:val="32"/>
          <w:highlight w:val="none"/>
          <w:lang w:val="en-US" w:eastAsia="zh-CN" w:bidi="ar"/>
        </w:rPr>
        <w:t>、法规文件、行政职责类信息。 2022年，我乡共受理政府信息公开申请事项17件，其中：当面申请8件，信函申请2件，电子邮箱申请7件。已全部按时办结答复，同意公开答复5件，不予公开1件，申请信息不存在10件，申请人无正当理由逾期不补正不再处理1件。政府信息公开申请渠道畅通，无应援引未援引法律依据、告知救济途径等答复不规范情况，不存在因政府信息公开申请引发行政复议被纠错或行政诉讼败诉情况，及时按要求规范更新公开指南。</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highlight w:val="none"/>
          <w:lang w:val="en-US" w:eastAsia="zh-CN" w:bidi="ar"/>
        </w:rPr>
      </w:pP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highlight w:val="none"/>
          <w:lang w:val="en-US" w:eastAsia="zh-CN" w:bidi="ar"/>
        </w:rPr>
      </w:pPr>
      <w:r>
        <w:rPr>
          <w:rFonts w:hint="default" w:ascii="仿宋_GB2312" w:hAnsi="Times New Roman" w:eastAsia="仿宋_GB2312" w:cs="仿宋_GB2312"/>
          <w:kern w:val="0"/>
          <w:sz w:val="32"/>
          <w:szCs w:val="32"/>
          <w:highlight w:val="none"/>
          <w:lang w:val="en-US" w:eastAsia="zh-CN" w:bidi="ar"/>
        </w:rPr>
        <w:t xml:space="preserve"> </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highlight w:val="none"/>
          <w:lang w:val="en-US" w:eastAsia="zh-CN" w:bidi="ar"/>
        </w:rPr>
      </w:pP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highlight w:val="none"/>
        </w:rPr>
      </w:pPr>
      <w:r>
        <w:rPr>
          <w:rFonts w:hint="default" w:ascii="仿宋_GB2312" w:hAnsi="Times New Roman" w:eastAsia="仿宋_GB2312" w:cs="仿宋_GB2312"/>
          <w:kern w:val="0"/>
          <w:sz w:val="32"/>
          <w:szCs w:val="32"/>
          <w:highlight w:val="none"/>
          <w:lang w:val="en-US" w:eastAsia="zh-CN" w:bidi="ar"/>
        </w:rPr>
        <w:t xml:space="preserve"> </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3" w:firstLineChars="200"/>
        <w:jc w:val="left"/>
      </w:pPr>
      <w:r>
        <w:rPr>
          <w:rFonts w:hint="default" w:ascii="楷体_GB2312" w:hAnsi="Calibri" w:eastAsia="楷体_GB2312" w:cs="Times New Roman"/>
          <w:b/>
          <w:kern w:val="0"/>
          <w:sz w:val="32"/>
          <w:szCs w:val="32"/>
          <w:lang w:val="en-US" w:eastAsia="zh-CN" w:bidi="ar"/>
        </w:rPr>
        <w:t>（三）</w:t>
      </w:r>
      <w:r>
        <w:rPr>
          <w:rFonts w:hint="default" w:ascii="楷体_GB2312" w:hAnsi="Calibri" w:eastAsia="楷体_GB2312" w:cs="楷体_GB2312"/>
          <w:b/>
          <w:kern w:val="0"/>
          <w:sz w:val="32"/>
          <w:szCs w:val="32"/>
          <w:lang w:val="en-US" w:eastAsia="zh-CN" w:bidi="ar"/>
        </w:rPr>
        <w:t>政府信息管理情况</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pPr>
      <w:r>
        <w:rPr>
          <w:rFonts w:hint="default" w:ascii="仿宋_GB2312" w:hAnsi="Times New Roman" w:eastAsia="仿宋_GB2312" w:cs="仿宋_GB2312"/>
          <w:kern w:val="0"/>
          <w:sz w:val="32"/>
          <w:szCs w:val="32"/>
          <w:lang w:val="en-US" w:eastAsia="zh-CN" w:bidi="ar"/>
        </w:rPr>
        <w:t>本单位政府信息公开工作建立了由地区工委副书记（综合办公室主任）牵头抓、综合办公室副主任具体负责及各室协调配合的工作机制，政府信息公开工作机构职能设在办事处综合办公室，由综合办公室副主任牵头，2名综合办公室工作人员具体落实。不断健全政府信息公开机制，促进信息资源的规范化、标准化。一是政府信息主动公开工作机制，明确政府信息主动公开工作的职责、程序、公开方式和时限要求等；二是政府信息依申请公开工作机制，明确政府信息依申请公开工作的受理、审查、处理、答复各个环节的流程、时限等具体要求；三是政府信息发布保密审查制度，对公开和不公开的政府信息界定作出规定,确定审查程序、责任、追究办法等。</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pPr>
      <w:r>
        <w:rPr>
          <w:rFonts w:hint="default" w:ascii="仿宋_GB2312" w:hAnsi="Times New Roman" w:eastAsia="仿宋_GB2312" w:cs="仿宋_GB2312"/>
          <w:kern w:val="0"/>
          <w:sz w:val="32"/>
          <w:szCs w:val="32"/>
          <w:lang w:val="en-US" w:eastAsia="zh-CN" w:bidi="ar"/>
        </w:rPr>
        <w:t>本单位出台</w:t>
      </w:r>
      <w:r>
        <w:rPr>
          <w:rFonts w:hint="default" w:ascii="仿宋_GB2312" w:hAnsi="Times New Roman" w:eastAsia="仿宋_GB2312" w:cs="仿宋_GB2312"/>
          <w:kern w:val="2"/>
          <w:sz w:val="32"/>
          <w:szCs w:val="32"/>
          <w:lang w:val="en-US" w:eastAsia="zh-CN" w:bidi="ar"/>
        </w:rPr>
        <w:t>《将台乡政府信息公开工作办法》，对地区办事处的政府信息公开源头属性管理、具体工作流程等进行了格式化的规范，并</w:t>
      </w:r>
      <w:r>
        <w:rPr>
          <w:rFonts w:hint="default" w:ascii="仿宋_GB2312" w:hAnsi="Times New Roman" w:eastAsia="仿宋_GB2312" w:cs="仿宋_GB2312"/>
          <w:kern w:val="0"/>
          <w:sz w:val="32"/>
          <w:szCs w:val="32"/>
          <w:lang w:val="en-US" w:eastAsia="zh-CN" w:bidi="ar"/>
        </w:rPr>
        <w:t>严格按照上级部门的要求，定期发布本单位的政府工作信息，切实做好政府信息公开工作。</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3" w:firstLineChars="200"/>
        <w:jc w:val="left"/>
      </w:pPr>
      <w:r>
        <w:rPr>
          <w:rFonts w:hint="default" w:ascii="楷体_GB2312" w:hAnsi="Calibri" w:eastAsia="楷体_GB2312" w:cs="Times New Roman"/>
          <w:b/>
          <w:kern w:val="0"/>
          <w:sz w:val="32"/>
          <w:szCs w:val="32"/>
          <w:lang w:val="en-US" w:eastAsia="zh-CN" w:bidi="ar"/>
        </w:rPr>
        <w:t>（四）</w:t>
      </w:r>
      <w:r>
        <w:rPr>
          <w:rFonts w:hint="default" w:ascii="楷体_GB2312" w:hAnsi="Calibri" w:eastAsia="楷体_GB2312" w:cs="楷体_GB2312"/>
          <w:b/>
          <w:kern w:val="0"/>
          <w:sz w:val="32"/>
          <w:szCs w:val="32"/>
          <w:lang w:val="en-US" w:eastAsia="zh-CN" w:bidi="ar"/>
        </w:rPr>
        <w:t>平台建设</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将台</w:t>
      </w:r>
      <w:r>
        <w:rPr>
          <w:rFonts w:hint="default" w:ascii="仿宋_GB2312" w:hAnsi="Times New Roman" w:eastAsia="仿宋_GB2312" w:cs="仿宋_GB2312"/>
          <w:kern w:val="0"/>
          <w:sz w:val="32"/>
          <w:szCs w:val="32"/>
          <w:lang w:val="en-US" w:eastAsia="zh-CN" w:bidi="ar"/>
        </w:rPr>
        <w:t>地区办事处积极参加市区组织的各项政府信息公开相关教育培训，按照地区工作计划，开展了政务信息公开全清单培训工作，指导各科室完成本年度的信息公开全清单，提高科室人员的政府信息公开意识。</w:t>
      </w:r>
    </w:p>
    <w:p>
      <w:pPr>
        <w:keepNext w:val="0"/>
        <w:keepLines w:val="0"/>
        <w:widowControl/>
        <w:numPr>
          <w:ilvl w:val="0"/>
          <w:numId w:val="0"/>
        </w:numPr>
        <w:suppressLineNumbers w:val="0"/>
        <w:autoSpaceDE w:val="0"/>
        <w:autoSpaceDN/>
        <w:snapToGrid w:val="0"/>
        <w:spacing w:before="0" w:beforeAutospacing="0" w:after="0" w:afterAutospacing="0" w:line="560" w:lineRule="exact"/>
        <w:ind w:left="0" w:leftChars="0" w:right="0" w:rightChars="0" w:firstLine="643" w:firstLineChars="200"/>
        <w:jc w:val="left"/>
      </w:pPr>
      <w:r>
        <w:rPr>
          <w:rFonts w:hint="default" w:ascii="楷体_GB2312" w:hAnsi="Calibri" w:eastAsia="楷体_GB2312" w:cs="Times New Roman"/>
          <w:b/>
          <w:kern w:val="0"/>
          <w:sz w:val="32"/>
          <w:szCs w:val="32"/>
          <w:lang w:val="en-US" w:eastAsia="zh-CN" w:bidi="ar"/>
        </w:rPr>
        <w:t>（五）</w:t>
      </w:r>
      <w:r>
        <w:rPr>
          <w:rFonts w:hint="default" w:ascii="楷体_GB2312" w:hAnsi="Calibri" w:eastAsia="楷体_GB2312" w:cs="楷体_GB2312"/>
          <w:b/>
          <w:kern w:val="0"/>
          <w:sz w:val="32"/>
          <w:szCs w:val="32"/>
          <w:lang w:val="en-US" w:eastAsia="zh-CN" w:bidi="ar"/>
        </w:rPr>
        <w:t>教育培训</w:t>
      </w:r>
      <w:r>
        <w:rPr>
          <w:rFonts w:hint="default" w:ascii="楷体_GB2312" w:hAnsi="Calibri" w:eastAsia="楷体_GB2312" w:cs="Times New Roman"/>
          <w:b/>
          <w:kern w:val="0"/>
          <w:sz w:val="32"/>
          <w:szCs w:val="32"/>
          <w:lang w:val="en-US" w:eastAsia="zh-CN" w:bidi="ar"/>
        </w:rPr>
        <w:t xml:space="preserve"> </w:t>
      </w:r>
    </w:p>
    <w:p>
      <w:pPr>
        <w:keepNext w:val="0"/>
        <w:keepLines w:val="0"/>
        <w:widowControl/>
        <w:suppressLineNumbers w:val="0"/>
        <w:autoSpaceDE w:val="0"/>
        <w:autoSpaceDN/>
        <w:snapToGrid w:val="0"/>
        <w:spacing w:before="0" w:beforeAutospacing="0" w:after="0" w:afterAutospacing="0" w:line="560" w:lineRule="exact"/>
        <w:ind w:left="0" w:leftChars="0" w:right="0" w:rightChars="0" w:firstLine="640" w:firstLineChars="200"/>
        <w:jc w:val="left"/>
        <w:rPr>
          <w:rFonts w:hint="default" w:ascii="仿宋_GB2312" w:hAnsi="Times New Roman" w:eastAsia="仿宋_GB2312" w:cs="仿宋_GB2312"/>
          <w:kern w:val="0"/>
          <w:sz w:val="32"/>
          <w:szCs w:val="32"/>
          <w:lang w:val="en-US" w:eastAsia="zh-CN" w:bidi="ar"/>
        </w:rPr>
      </w:pPr>
      <w:r>
        <w:rPr>
          <w:rFonts w:hint="default" w:ascii="Calibri" w:hAnsi="Calibri" w:eastAsia="仿宋_GB2312" w:cs="Times New Roman"/>
          <w:kern w:val="0"/>
          <w:sz w:val="32"/>
          <w:szCs w:val="32"/>
          <w:lang w:val="en-US" w:eastAsia="zh-CN" w:bidi="ar"/>
        </w:rPr>
        <w:t>本单位202</w:t>
      </w:r>
      <w:r>
        <w:rPr>
          <w:rFonts w:hint="eastAsia" w:eastAsia="仿宋_GB2312" w:cs="Times New Roman"/>
          <w:kern w:val="0"/>
          <w:sz w:val="32"/>
          <w:szCs w:val="32"/>
          <w:lang w:val="en-US" w:eastAsia="zh-CN" w:bidi="ar"/>
        </w:rPr>
        <w:t>2</w:t>
      </w:r>
      <w:r>
        <w:rPr>
          <w:rFonts w:hint="default" w:ascii="Calibri" w:hAnsi="Calibri" w:eastAsia="仿宋_GB2312" w:cs="Times New Roman"/>
          <w:kern w:val="0"/>
          <w:sz w:val="32"/>
          <w:szCs w:val="32"/>
          <w:lang w:val="en-US" w:eastAsia="zh-CN" w:bidi="ar"/>
        </w:rPr>
        <w:t>年度</w:t>
      </w:r>
      <w:r>
        <w:rPr>
          <w:rFonts w:hint="default" w:ascii="仿宋_GB2312" w:hAnsi="Calibri" w:eastAsia="仿宋_GB2312" w:cs="Times New Roman"/>
          <w:kern w:val="2"/>
          <w:sz w:val="32"/>
          <w:szCs w:val="32"/>
          <w:lang w:val="en-US" w:eastAsia="zh-CN" w:bidi="ar"/>
        </w:rPr>
        <w:t xml:space="preserve">积极参加区信息公开办召开的政府信息公开培训会，就《中华人民共和国政府信息公开条例》和政务公开工作相关文件、政策法规等进行业务培训，不断提高工作人员的综合素质，增强处理信息的能力。乡主要领导多次组织信息公开工作人员、司法所及律师团队对疑难信息公开、行政诉讼、行政复议等事项进行会商，积极推进地区政府信息公开工作。 </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lang w:val="en-US"/>
        </w:rPr>
      </w:pPr>
      <w:r>
        <w:rPr>
          <w:rFonts w:hint="eastAsia" w:ascii="黑体" w:hAnsi="宋体" w:eastAsia="黑体" w:cs="黑体"/>
          <w:kern w:val="2"/>
          <w:sz w:val="32"/>
          <w:szCs w:val="32"/>
          <w:lang w:val="en-US" w:eastAsia="zh-CN" w:bidi="ar"/>
        </w:rPr>
        <w:t>主动公开政府信息情况</w:t>
      </w:r>
    </w:p>
    <w:p>
      <w:pPr>
        <w:pStyle w:val="2"/>
        <w:widowControl/>
        <w:rPr>
          <w:lang w:val="en-US"/>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lang w:val="en-US" w:eastAsia="zh-CN"/>
              </w:rPr>
            </w:pPr>
            <w:r>
              <w:rPr>
                <w:rFonts w:hint="eastAsia"/>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highlight w:val="yellow"/>
                <w:lang w:val="en-US" w:eastAsia="zh-CN"/>
              </w:rPr>
            </w:pPr>
            <w:r>
              <w:rPr>
                <w:rFonts w:hint="eastAsia"/>
                <w:highlight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宋体"/>
                <w:highlight w:val="yellow"/>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eastAsia="zh-CN"/>
              </w:rPr>
            </w:pPr>
            <w:r>
              <w:rPr>
                <w:rFonts w:hint="eastAsia" w:ascii="宋体" w:cs="宋体"/>
                <w:sz w:val="24"/>
                <w:szCs w:val="24"/>
                <w:lang w:val="en-US" w:eastAsia="zh-CN"/>
              </w:rPr>
              <w:t>195.8626</w:t>
            </w:r>
          </w:p>
        </w:tc>
      </w:tr>
    </w:tbl>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color="auto" w:fill="FFFFFF"/>
        <w:spacing w:before="0" w:beforeAutospacing="0" w:after="0" w:afterAutospacing="0"/>
        <w:ind w:left="0" w:right="0" w:firstLine="420"/>
        <w:jc w:val="both"/>
        <w:rPr>
          <w:rFonts w:hint="eastAsia" w:ascii="宋体" w:hAnsi="宋体" w:eastAsia="宋体" w:cs="宋体"/>
          <w:color w:val="333333"/>
          <w:shd w:val="clear" w:color="auto" w:fill="FFFFFF"/>
          <w:lang w:val="en-US"/>
        </w:rPr>
      </w:pPr>
    </w:p>
    <w:p>
      <w:pPr>
        <w:pStyle w:val="3"/>
        <w:keepNext w:val="0"/>
        <w:keepLines w:val="0"/>
        <w:widowControl/>
        <w:suppressLineNumbers w:val="0"/>
        <w:shd w:val="clear" w:color="auto" w:fill="FFFFFF"/>
        <w:spacing w:before="0" w:beforeAutospacing="0" w:after="0" w:afterAutospacing="0"/>
        <w:ind w:left="0" w:right="0" w:firstLine="420"/>
        <w:jc w:val="both"/>
        <w:rPr>
          <w:rFonts w:hint="eastAsia" w:ascii="宋体" w:hAnsi="宋体" w:eastAsia="宋体" w:cs="宋体"/>
          <w:color w:val="333333"/>
          <w:shd w:val="clear" w:color="auto" w:fill="FFFFFF"/>
          <w:lang w:val="en-US"/>
        </w:rPr>
      </w:pPr>
    </w:p>
    <w:p>
      <w:pPr>
        <w:pStyle w:val="3"/>
        <w:keepNext w:val="0"/>
        <w:keepLines w:val="0"/>
        <w:widowControl/>
        <w:suppressLineNumbers w:val="0"/>
        <w:shd w:val="clear" w:color="auto" w:fill="FFFFFF"/>
        <w:spacing w:before="0" w:beforeAutospacing="0" w:after="0" w:afterAutospacing="0"/>
        <w:ind w:left="0" w:right="0" w:firstLine="420"/>
        <w:jc w:val="both"/>
        <w:rPr>
          <w:rFonts w:hint="eastAsia" w:ascii="宋体" w:hAnsi="宋体" w:eastAsia="宋体" w:cs="宋体"/>
          <w:color w:val="333333"/>
          <w:shd w:val="clear" w:color="auto" w:fill="FFFFFF"/>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right="0" w:firstLine="200" w:firstLineChars="1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inset"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8"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9" w:type="dxa"/>
            <w:tcBorders>
              <w:top w:val="inset" w:color="auto" w:sz="6" w:space="0"/>
              <w:left w:val="nil"/>
              <w:bottom w:val="inset" w:color="auto" w:sz="6" w:space="0"/>
              <w:right w:val="inset" w:color="auto" w:sz="6" w:space="0"/>
            </w:tcBorders>
            <w:vAlign w:val="center"/>
          </w:tcPr>
          <w:p>
            <w:pPr>
              <w:keepNext w:val="0"/>
              <w:keepLines w:val="0"/>
              <w:widowControl w:val="0"/>
              <w:suppressLineNumbers w:val="0"/>
              <w:spacing w:before="0" w:beforeAutospacing="0" w:after="0" w:afterAutospacing="0"/>
              <w:ind w:right="0" w:firstLine="200" w:firstLineChars="1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widowControl/>
        <w:suppressLineNumbers w:val="0"/>
        <w:autoSpaceDE w:val="0"/>
        <w:autoSpaceDN/>
        <w:spacing w:before="0" w:beforeAutospacing="0" w:after="0" w:afterAutospacing="0" w:line="560" w:lineRule="exact"/>
        <w:ind w:left="0" w:right="0" w:firstLine="672" w:firstLineChars="200"/>
        <w:jc w:val="both"/>
        <w:rPr>
          <w:rFonts w:hint="default" w:ascii="仿宋_GB2312" w:hAnsi="宋体" w:eastAsia="仿宋_GB2312" w:cs="宋体"/>
          <w:spacing w:val="8"/>
          <w:kern w:val="0"/>
          <w:sz w:val="32"/>
          <w:szCs w:val="32"/>
          <w:lang w:val="en-US" w:eastAsia="zh-CN" w:bidi="ar"/>
        </w:rPr>
      </w:pPr>
      <w:r>
        <w:rPr>
          <w:rFonts w:ascii="仿宋_GB2312" w:hAnsi="宋体" w:eastAsia="仿宋_GB2312" w:cs="宋体"/>
          <w:spacing w:val="8"/>
          <w:kern w:val="0"/>
          <w:sz w:val="32"/>
          <w:szCs w:val="32"/>
          <w:lang w:val="en-US" w:eastAsia="zh-CN" w:bidi="ar"/>
        </w:rPr>
        <w:t>202</w:t>
      </w:r>
      <w:r>
        <w:rPr>
          <w:rFonts w:hint="eastAsia" w:ascii="仿宋_GB2312" w:hAnsi="宋体" w:eastAsia="仿宋_GB2312" w:cs="宋体"/>
          <w:spacing w:val="8"/>
          <w:kern w:val="0"/>
          <w:sz w:val="32"/>
          <w:szCs w:val="32"/>
          <w:lang w:val="en-US" w:eastAsia="zh-CN" w:bidi="ar"/>
        </w:rPr>
        <w:t>2</w:t>
      </w:r>
      <w:r>
        <w:rPr>
          <w:rFonts w:hint="default" w:ascii="仿宋_GB2312" w:hAnsi="宋体" w:eastAsia="仿宋_GB2312" w:cs="宋体"/>
          <w:spacing w:val="8"/>
          <w:kern w:val="0"/>
          <w:sz w:val="32"/>
          <w:szCs w:val="32"/>
          <w:lang w:val="en-US" w:eastAsia="zh-CN" w:bidi="ar"/>
        </w:rPr>
        <w:t>年，</w:t>
      </w:r>
      <w:r>
        <w:rPr>
          <w:rFonts w:hint="eastAsia" w:ascii="仿宋_GB2312" w:hAnsi="宋体" w:eastAsia="仿宋_GB2312" w:cs="宋体"/>
          <w:spacing w:val="8"/>
          <w:kern w:val="0"/>
          <w:sz w:val="32"/>
          <w:szCs w:val="32"/>
          <w:lang w:val="en-US" w:eastAsia="zh-CN" w:bidi="ar"/>
        </w:rPr>
        <w:t>将台</w:t>
      </w:r>
      <w:r>
        <w:rPr>
          <w:rFonts w:hint="default" w:ascii="仿宋_GB2312" w:hAnsi="宋体" w:eastAsia="仿宋_GB2312" w:cs="宋体"/>
          <w:spacing w:val="8"/>
          <w:kern w:val="0"/>
          <w:sz w:val="32"/>
          <w:szCs w:val="32"/>
          <w:lang w:val="en-US" w:eastAsia="zh-CN" w:bidi="ar"/>
        </w:rPr>
        <w:t>地区办事处政府信息公开工作有序开展，各项工作取得了一定成效，但仍存在需要进一步深化的问题。因工作人员更换频繁，对政府信息公开答复告知书反馈内容把握不够及时，出现问题。我地区在收到问题后积极整改、认真反思。下一步，地区将提高认识，做好传帮带工作，加强与上级部门的沟通，确保高质量、高标准完成政府信息公开工作。</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suppressLineNumbers w:val="0"/>
        <w:spacing w:before="0" w:beforeAutospacing="0" w:after="0" w:afterAutospacing="0" w:line="560" w:lineRule="exact"/>
        <w:ind w:left="0" w:right="0" w:firstLine="672" w:firstLineChars="200"/>
        <w:jc w:val="left"/>
      </w:pPr>
      <w:r>
        <w:rPr>
          <w:rFonts w:ascii="仿宋_GB2312" w:hAnsi="宋体" w:eastAsia="仿宋_GB2312" w:cs="宋体"/>
          <w:spacing w:val="8"/>
          <w:kern w:val="0"/>
          <w:sz w:val="32"/>
          <w:szCs w:val="32"/>
          <w:lang w:val="en-US" w:eastAsia="zh-CN" w:bidi="ar"/>
        </w:rPr>
        <w:t>本报告所列数据的统计期限,自20</w:t>
      </w:r>
      <w:r>
        <w:rPr>
          <w:rFonts w:hint="default" w:ascii="仿宋_GB2312" w:hAnsi="宋体" w:eastAsia="仿宋_GB2312" w:cs="宋体"/>
          <w:spacing w:val="8"/>
          <w:kern w:val="0"/>
          <w:sz w:val="32"/>
          <w:szCs w:val="32"/>
          <w:lang w:val="en-US" w:eastAsia="zh-CN" w:bidi="ar"/>
        </w:rPr>
        <w:t>2</w:t>
      </w:r>
      <w:r>
        <w:rPr>
          <w:rFonts w:hint="eastAsia" w:ascii="仿宋_GB2312" w:hAnsi="宋体" w:eastAsia="仿宋_GB2312" w:cs="宋体"/>
          <w:spacing w:val="8"/>
          <w:kern w:val="0"/>
          <w:sz w:val="32"/>
          <w:szCs w:val="32"/>
          <w:lang w:val="en-US" w:eastAsia="zh-CN" w:bidi="ar"/>
        </w:rPr>
        <w:t>2</w:t>
      </w:r>
      <w:r>
        <w:rPr>
          <w:rFonts w:hint="default" w:ascii="仿宋_GB2312" w:hAnsi="宋体" w:eastAsia="仿宋_GB2312" w:cs="宋体"/>
          <w:spacing w:val="8"/>
          <w:kern w:val="0"/>
          <w:sz w:val="32"/>
          <w:szCs w:val="32"/>
          <w:lang w:val="en-US" w:eastAsia="zh-CN" w:bidi="ar"/>
        </w:rPr>
        <w:t xml:space="preserve">年1月1日起至12月31日止。本报告的电子版可登录“朝阳区政府门户网站(“北京·朝阳”)http://www.bjchy.gov.cn/——政府信息公开年报栏目”下载查阅。 </w:t>
      </w:r>
    </w:p>
    <w:p/>
    <w:p>
      <w:pPr>
        <w:keepNext w:val="0"/>
        <w:keepLines w:val="0"/>
        <w:widowControl/>
        <w:suppressLineNumbers w:val="0"/>
        <w:spacing w:before="0" w:beforeAutospacing="0" w:after="0" w:afterAutospacing="0" w:line="560" w:lineRule="exact"/>
        <w:ind w:left="0" w:right="0" w:firstLine="672" w:firstLineChars="200"/>
        <w:jc w:val="left"/>
        <w:rPr>
          <w:rFonts w:ascii="仿宋_GB2312" w:hAnsi="宋体" w:eastAsia="仿宋_GB2312" w:cs="宋体"/>
          <w:spacing w:val="8"/>
          <w:kern w:val="0"/>
          <w:sz w:val="32"/>
          <w:szCs w:val="32"/>
          <w:lang w:val="en-US" w:eastAsia="zh-CN" w:bidi="ar"/>
        </w:rPr>
      </w:pPr>
    </w:p>
    <w:p>
      <w:pPr>
        <w:keepNext w:val="0"/>
        <w:keepLines w:val="0"/>
        <w:widowControl/>
        <w:suppressLineNumbers w:val="0"/>
        <w:spacing w:before="0" w:beforeAutospacing="0" w:after="0" w:afterAutospacing="0" w:line="560" w:lineRule="exact"/>
        <w:ind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北京市朝阳区将台地区办事处2022年政府信息公开工作年度报告</w:t>
      </w:r>
    </w:p>
    <w:p>
      <w:pPr>
        <w:keepNext w:val="0"/>
        <w:keepLines w:val="0"/>
        <w:widowControl/>
        <w:suppressLineNumbers w:val="0"/>
        <w:spacing w:before="0" w:beforeAutospacing="0" w:after="0" w:afterAutospacing="0" w:line="560" w:lineRule="exact"/>
        <w:ind w:right="0"/>
        <w:jc w:val="left"/>
        <w:rPr>
          <w:rFonts w:hint="eastAsia" w:ascii="仿宋_GB2312" w:hAnsi="宋体" w:eastAsia="仿宋_GB2312" w:cs="宋体"/>
          <w:spacing w:val="8"/>
          <w:kern w:val="0"/>
          <w:sz w:val="32"/>
          <w:szCs w:val="32"/>
          <w:lang w:val="en-US" w:eastAsia="zh-CN" w:bidi="ar"/>
        </w:rPr>
      </w:pPr>
    </w:p>
    <w:p>
      <w:pPr>
        <w:keepNext w:val="0"/>
        <w:keepLines w:val="0"/>
        <w:widowControl/>
        <w:suppressLineNumbers w:val="0"/>
        <w:spacing w:before="0" w:beforeAutospacing="0" w:after="0" w:afterAutospacing="0" w:line="560" w:lineRule="exact"/>
        <w:ind w:right="0"/>
        <w:jc w:val="left"/>
        <w:rPr>
          <w:rFonts w:hint="eastAsia" w:ascii="仿宋_GB2312" w:hAnsi="宋体" w:eastAsia="仿宋_GB2312" w:cs="宋体"/>
          <w:spacing w:val="8"/>
          <w:kern w:val="0"/>
          <w:sz w:val="32"/>
          <w:szCs w:val="32"/>
          <w:lang w:val="en-US" w:eastAsia="zh-CN" w:bidi="ar"/>
        </w:rPr>
      </w:pPr>
    </w:p>
    <w:p>
      <w:pPr>
        <w:keepNext w:val="0"/>
        <w:keepLines w:val="0"/>
        <w:widowControl/>
        <w:suppressLineNumbers w:val="0"/>
        <w:spacing w:before="0" w:beforeAutospacing="0" w:after="0" w:afterAutospacing="0" w:line="560" w:lineRule="exact"/>
        <w:ind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将台地区办事处</w:t>
      </w:r>
    </w:p>
    <w:p>
      <w:pPr>
        <w:keepNext w:val="0"/>
        <w:keepLines w:val="0"/>
        <w:widowControl/>
        <w:suppressLineNumbers w:val="0"/>
        <w:spacing w:before="0" w:beforeAutospacing="0" w:after="0" w:afterAutospacing="0" w:line="560" w:lineRule="exact"/>
        <w:ind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2023年1月9日</w:t>
      </w:r>
    </w:p>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简隶书">
    <w:panose1 w:val="00000000000000000000"/>
    <w:charset w:val="00"/>
    <w:family w:val="auto"/>
    <w:pitch w:val="default"/>
    <w:sig w:usb0="0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E3C28"/>
    <w:rsid w:val="46F863C2"/>
    <w:rsid w:val="4A6775D9"/>
    <w:rsid w:val="4D2534E7"/>
    <w:rsid w:val="4FEE049E"/>
    <w:rsid w:val="5E6E5848"/>
    <w:rsid w:val="63C21898"/>
    <w:rsid w:val="75DE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2023-02-16T06:41:00Z</dcterms:created>
  <dc:creator>Administrator</dc:creator>
  <cp:lastModifiedBy>Administrator</cp:lastModifiedBy>
  <dcterms:modified xsi:type="dcterms:W3CDTF">2023-02-16T07:25:59Z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