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lang w:bidi="ar"/>
        </w:rPr>
      </w:pPr>
    </w:p>
    <w:p>
      <w:pPr>
        <w:spacing w:line="54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北京市朝阳区审计局2024年政府信息公开</w:t>
      </w:r>
    </w:p>
    <w:p>
      <w:pPr>
        <w:spacing w:line="54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工作年度报告</w:t>
      </w:r>
    </w:p>
    <w:p>
      <w:pPr>
        <w:spacing w:line="540" w:lineRule="exact"/>
        <w:jc w:val="center"/>
        <w:rPr>
          <w:rFonts w:ascii="方正小标宋简体" w:hAnsi="方正小标宋简体" w:eastAsia="方正小标宋简体" w:cs="方正小标宋简体"/>
          <w:sz w:val="44"/>
          <w:szCs w:val="44"/>
          <w:lang w:bidi="ar"/>
        </w:rPr>
      </w:pPr>
    </w:p>
    <w:p>
      <w:pPr>
        <w:widowControl/>
        <w:spacing w:line="560" w:lineRule="exact"/>
        <w:ind w:firstLine="672" w:firstLineChars="200"/>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r>
        <w:rPr>
          <w:rFonts w:ascii="仿宋_GB2312" w:hAnsi="宋体" w:eastAsia="仿宋_GB2312" w:cs="宋体"/>
          <w:spacing w:val="8"/>
          <w:kern w:val="0"/>
          <w:sz w:val="32"/>
          <w:szCs w:val="32"/>
          <w:lang w:bidi="ar"/>
        </w:rPr>
        <w:t> </w:t>
      </w:r>
    </w:p>
    <w:p>
      <w:pPr>
        <w:widowControl/>
        <w:spacing w:line="560" w:lineRule="atLeast"/>
        <w:ind w:firstLine="672"/>
        <w:jc w:val="left"/>
        <w:rPr>
          <w:rFonts w:ascii="仿宋_GB2312" w:hAnsi="宋体" w:eastAsia="仿宋_GB2312" w:cs="宋体"/>
          <w:spacing w:val="8"/>
          <w:kern w:val="0"/>
          <w:sz w:val="32"/>
          <w:szCs w:val="32"/>
          <w:lang w:bidi="ar"/>
        </w:rPr>
      </w:pPr>
      <w:r>
        <w:rPr>
          <w:rFonts w:hint="eastAsia" w:ascii="黑体" w:hAnsi="黑体" w:eastAsia="黑体" w:cs="黑体"/>
          <w:spacing w:val="8"/>
          <w:kern w:val="0"/>
          <w:sz w:val="32"/>
          <w:szCs w:val="32"/>
          <w:lang w:bidi="ar"/>
        </w:rPr>
        <w:t>一、总体情况</w:t>
      </w:r>
      <w:r>
        <w:rPr>
          <w:rFonts w:ascii="仿宋_GB2312" w:hAnsi="宋体" w:eastAsia="仿宋_GB2312" w:cs="宋体"/>
          <w:spacing w:val="8"/>
          <w:kern w:val="0"/>
          <w:sz w:val="32"/>
          <w:szCs w:val="32"/>
          <w:lang w:bidi="ar"/>
        </w:rPr>
        <w:t>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黑体" w:hAnsi="黑体" w:eastAsia="黑体" w:cs="黑体"/>
          <w:spacing w:val="8"/>
          <w:kern w:val="0"/>
          <w:sz w:val="32"/>
          <w:szCs w:val="32"/>
          <w:lang w:bidi="ar"/>
        </w:rPr>
        <w:t>（一）组织领导情况</w:t>
      </w:r>
      <w:r>
        <w:rPr>
          <w:rFonts w:ascii="仿宋_GB2312" w:hAnsi="宋体" w:eastAsia="仿宋_GB2312" w:cs="宋体"/>
          <w:spacing w:val="8"/>
          <w:kern w:val="0"/>
          <w:sz w:val="32"/>
          <w:szCs w:val="32"/>
          <w:lang w:bidi="ar"/>
        </w:rPr>
        <w:t>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审计局高度重视政府信息公开工作，认真贯彻执行《政府信息公开条例》，严格按照区政府《朝阳区202</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年政务公开工作要点》的通知的有关精神和要求抓落实；</w:t>
      </w:r>
    </w:p>
    <w:p>
      <w:pPr>
        <w:widowControl/>
        <w:spacing w:line="560" w:lineRule="atLeast"/>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明确分管政府信息公开工作主管局领导，将政府信息公开列入工作分工并在政府网站对外公布；明确牵头处理各项政府信息公开工作的科室及具体工作人员，政府信息公开工作职责</w:t>
      </w:r>
      <w:r>
        <w:rPr>
          <w:rFonts w:ascii="仿宋_GB2312" w:hAnsi="宋体" w:eastAsia="仿宋_GB2312" w:cs="宋体"/>
          <w:spacing w:val="8"/>
          <w:kern w:val="0"/>
          <w:sz w:val="32"/>
          <w:szCs w:val="32"/>
          <w:lang w:bidi="ar"/>
        </w:rPr>
        <w:t>更加清晰</w:t>
      </w:r>
      <w:r>
        <w:rPr>
          <w:rFonts w:hint="eastAsia" w:ascii="仿宋_GB2312" w:hAnsi="宋体" w:eastAsia="仿宋_GB2312" w:cs="宋体"/>
          <w:spacing w:val="8"/>
          <w:kern w:val="0"/>
          <w:sz w:val="32"/>
          <w:szCs w:val="32"/>
          <w:lang w:bidi="ar"/>
        </w:rPr>
        <w:t>。</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黑体" w:hAnsi="黑体" w:eastAsia="黑体" w:cs="黑体"/>
          <w:spacing w:val="8"/>
          <w:kern w:val="0"/>
          <w:sz w:val="32"/>
          <w:szCs w:val="32"/>
          <w:lang w:bidi="ar"/>
        </w:rPr>
        <w:t>（二）主动公开情况</w:t>
      </w:r>
      <w:r>
        <w:rPr>
          <w:rFonts w:ascii="仿宋_GB2312" w:hAnsi="宋体" w:eastAsia="仿宋_GB2312" w:cs="宋体"/>
          <w:spacing w:val="8"/>
          <w:kern w:val="0"/>
          <w:sz w:val="32"/>
          <w:szCs w:val="32"/>
          <w:lang w:bidi="ar"/>
        </w:rPr>
        <w:t>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立足审计监督职责，围绕审计重点工作，202</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年审计局主动公开的政府信息包括年度审计工作报告、审计查出问题整改情况报告以及相应解读、内部审计工作情况、财政预决算报告等内容。</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（三）依申请公开情况 </w:t>
      </w:r>
    </w:p>
    <w:p>
      <w:pPr>
        <w:spacing w:line="560" w:lineRule="exact"/>
        <w:ind w:firstLine="742" w:firstLineChars="221"/>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年审计局新受理政府信息公开申请1</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件，本年度办结13件</w:t>
      </w:r>
      <w:r>
        <w:rPr>
          <w:rFonts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bidi="ar"/>
        </w:rPr>
        <w:t>结转</w:t>
      </w:r>
      <w:r>
        <w:rPr>
          <w:rFonts w:ascii="仿宋_GB2312" w:hAnsi="宋体" w:eastAsia="仿宋_GB2312" w:cs="宋体"/>
          <w:spacing w:val="8"/>
          <w:kern w:val="0"/>
          <w:sz w:val="32"/>
          <w:szCs w:val="32"/>
          <w:lang w:bidi="ar"/>
        </w:rPr>
        <w:t>下年度继续办理</w:t>
      </w:r>
      <w:r>
        <w:rPr>
          <w:rFonts w:hint="eastAsia" w:ascii="仿宋_GB2312" w:hAnsi="宋体" w:eastAsia="仿宋_GB2312" w:cs="宋体"/>
          <w:spacing w:val="8"/>
          <w:kern w:val="0"/>
          <w:sz w:val="32"/>
          <w:szCs w:val="32"/>
          <w:lang w:bidi="ar"/>
        </w:rPr>
        <w:t>1件</w:t>
      </w:r>
      <w:r>
        <w:rPr>
          <w:rFonts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bidi="ar"/>
        </w:rPr>
        <w:t>申请内容主要涉及投资审计、离任审计</w:t>
      </w:r>
      <w:r>
        <w:rPr>
          <w:rFonts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bidi="ar"/>
        </w:rPr>
        <w:t>制度文件等方面，</w:t>
      </w:r>
      <w:r>
        <w:rPr>
          <w:rFonts w:hint="eastAsia" w:ascii="仿宋_GB2312" w:hAnsi="仿宋_GB2312" w:eastAsia="仿宋_GB2312" w:cs="仿宋_GB2312"/>
          <w:color w:val="000000" w:themeColor="text1"/>
          <w:sz w:val="32"/>
          <w:szCs w:val="32"/>
          <w14:textFill>
            <w14:solidFill>
              <w14:schemeClr w14:val="tx1"/>
            </w14:solidFill>
          </w14:textFill>
        </w:rPr>
        <w:t>均严格按照制度规范如期出具政府信息公开申请答复告知书。</w:t>
      </w:r>
      <w:r>
        <w:rPr>
          <w:rFonts w:hint="eastAsia" w:ascii="仿宋_GB2312" w:hAnsi="宋体" w:eastAsia="仿宋_GB2312" w:cs="宋体"/>
          <w:spacing w:val="8"/>
          <w:kern w:val="0"/>
          <w:sz w:val="32"/>
          <w:szCs w:val="32"/>
          <w:lang w:bidi="ar"/>
        </w:rPr>
        <w:t>202</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年，办结行政复议申请1件，办结</w:t>
      </w:r>
      <w:r>
        <w:rPr>
          <w:rFonts w:ascii="仿宋_GB2312" w:hAnsi="宋体" w:eastAsia="仿宋_GB2312" w:cs="宋体"/>
          <w:spacing w:val="8"/>
          <w:kern w:val="0"/>
          <w:sz w:val="32"/>
          <w:szCs w:val="32"/>
          <w:lang w:bidi="ar"/>
        </w:rPr>
        <w:t>行政诉讼</w:t>
      </w:r>
      <w:r>
        <w:rPr>
          <w:rFonts w:hint="eastAsia" w:ascii="仿宋_GB2312" w:hAnsi="宋体" w:eastAsia="仿宋_GB2312" w:cs="宋体"/>
          <w:spacing w:val="8"/>
          <w:kern w:val="0"/>
          <w:sz w:val="32"/>
          <w:szCs w:val="32"/>
          <w:lang w:bidi="ar"/>
        </w:rPr>
        <w:t>1件。</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（四）政府信息管理情况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审计局规范管理政府信息，严格对照审计局编制发布的202</w:t>
      </w:r>
      <w:r>
        <w:rPr>
          <w:rFonts w:ascii="仿宋_GB2312" w:hAnsi="宋体" w:eastAsia="仿宋_GB2312" w:cs="宋体"/>
          <w:spacing w:val="8"/>
          <w:kern w:val="0"/>
          <w:sz w:val="32"/>
          <w:szCs w:val="32"/>
          <w:lang w:bidi="ar"/>
        </w:rPr>
        <w:t>4</w:t>
      </w:r>
      <w:r>
        <w:rPr>
          <w:rFonts w:hint="eastAsia" w:ascii="仿宋_GB2312" w:hAnsi="宋体" w:eastAsia="仿宋_GB2312" w:cs="宋体"/>
          <w:spacing w:val="8"/>
          <w:kern w:val="0"/>
          <w:sz w:val="32"/>
          <w:szCs w:val="32"/>
          <w:lang w:bidi="ar"/>
        </w:rPr>
        <w:t>年政府信息主动公开全清单，遵循“以公开为常态、不公开为例外”和“谁制作谁公开、谁保存谁公开”的原则，及时准确公开相关信息。建立健全政府信息公开保密审查机制，严格落实政府信息公开保密审查任务，从源头上做好政府信息管理。</w:t>
      </w:r>
      <w:r>
        <w:rPr>
          <w:rFonts w:ascii="仿宋_GB2312" w:hAnsi="宋体" w:eastAsia="仿宋_GB2312" w:cs="宋体"/>
          <w:spacing w:val="8"/>
          <w:kern w:val="0"/>
          <w:sz w:val="32"/>
          <w:szCs w:val="32"/>
          <w:lang w:bidi="ar"/>
        </w:rPr>
        <w:t> </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（五）政府信息公开平台建设情况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审计局政府信息公开平台主要为朝阳区人民政府网站下审计局相关栏目，审计局严格按照区政务服务局要求，明确责任科室定期及时更新审计局政府外网专栏信息，安排专人负责审计局政府外网网络运行及安全维护，同时负责上传主动公开政府信息等工作，确保政府信息及时准确公开。</w:t>
      </w:r>
      <w:r>
        <w:rPr>
          <w:rFonts w:ascii="仿宋_GB2312" w:hAnsi="宋体" w:eastAsia="仿宋_GB2312" w:cs="宋体"/>
          <w:spacing w:val="8"/>
          <w:kern w:val="0"/>
          <w:sz w:val="32"/>
          <w:szCs w:val="32"/>
          <w:lang w:bidi="ar"/>
        </w:rPr>
        <w:t>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黑体" w:hAnsi="黑体" w:eastAsia="黑体" w:cs="黑体"/>
          <w:spacing w:val="8"/>
          <w:kern w:val="0"/>
          <w:sz w:val="32"/>
          <w:szCs w:val="32"/>
          <w:lang w:bidi="ar"/>
        </w:rPr>
        <w:t>（六）政府信息公开监督保障及教育培训情况</w:t>
      </w:r>
      <w:r>
        <w:rPr>
          <w:rFonts w:ascii="仿宋_GB2312" w:hAnsi="宋体" w:eastAsia="仿宋_GB2312" w:cs="宋体"/>
          <w:spacing w:val="8"/>
          <w:kern w:val="0"/>
          <w:sz w:val="32"/>
          <w:szCs w:val="32"/>
          <w:lang w:bidi="ar"/>
        </w:rPr>
        <w:t> </w:t>
      </w:r>
    </w:p>
    <w:p>
      <w:pPr>
        <w:widowControl/>
        <w:spacing w:line="560" w:lineRule="atLeast"/>
        <w:ind w:firstLine="675"/>
        <w:jc w:val="left"/>
        <w:rPr>
          <w:color w:val="404040"/>
        </w:rPr>
      </w:pPr>
      <w:r>
        <w:rPr>
          <w:rFonts w:hint="eastAsia" w:ascii="仿宋_GB2312" w:hAnsi="宋体" w:eastAsia="仿宋_GB2312" w:cs="宋体"/>
          <w:spacing w:val="8"/>
          <w:kern w:val="0"/>
          <w:sz w:val="32"/>
          <w:szCs w:val="32"/>
          <w:lang w:bidi="ar"/>
        </w:rPr>
        <w:t>审计局严格执行主要领导专题听取政府信息公开工作情况汇报要求，严格遵守《北京市朝阳区审计局政府信息公开实施办法（试行）》，严格履行政府信息公开保密审查、多级审核规定，主动公开和依申请公开事项均由局长办公会、党组会审议通过后再进行公开答复。同时积极参加北京市审计局、朝阳区政务服务局组织的政府信息公开培训，及时掌握政府信息公开工作相关要求，不断提高对政府信息公开重要性的认识，提升政府信息公开工作处理能力，确保高质高效完成政府信息公开工作。</w:t>
      </w:r>
      <w:r>
        <w:rPr>
          <w:rFonts w:ascii="Times New Roman" w:hAnsi="Times New Roman" w:eastAsia="寰蒋闆呴粦" w:cs="Times New Roman"/>
          <w:color w:val="404040"/>
          <w:sz w:val="24"/>
          <w:shd w:val="clear" w:color="auto" w:fill="FFFFFF"/>
        </w:rPr>
        <w:t> </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二、主动公开政府信息情况</w:t>
      </w:r>
    </w:p>
    <w:p>
      <w:pPr>
        <w:pStyle w:val="2"/>
        <w:widowControl/>
        <w:spacing w:beforeAutospacing="0" w:afterAutospacing="0" w:line="560" w:lineRule="atLeast"/>
        <w:jc w:val="both"/>
        <w:rPr>
          <w:color w:val="404040"/>
        </w:rPr>
      </w:pPr>
      <w:r>
        <w:rPr>
          <w:rFonts w:ascii="Times New Roman" w:hAnsi="Times New Roman" w:eastAsia="寰蒋闆呴粦"/>
          <w:color w:val="404040"/>
          <w:shd w:val="clear" w:color="auto" w:fill="FFFFFF"/>
        </w:rPr>
        <w:t> </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第二十条第（一）项</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信息内容</w:t>
            </w:r>
          </w:p>
          <w:p>
            <w:pPr>
              <w:pStyle w:val="2"/>
              <w:widowControl/>
              <w:spacing w:beforeAutospacing="0" w:afterAutospacing="0"/>
              <w:rPr>
                <w:color w:val="404040"/>
              </w:rPr>
            </w:pPr>
            <w:r>
              <w:rPr>
                <w:color w:val="404040"/>
              </w:rPr>
              <w:t> </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本年制发件数</w:t>
            </w:r>
          </w:p>
          <w:p>
            <w:pPr>
              <w:pStyle w:val="2"/>
              <w:widowControl/>
              <w:spacing w:beforeAutospacing="0" w:afterAutospacing="0"/>
              <w:rPr>
                <w:color w:val="404040"/>
              </w:rPr>
            </w:pPr>
            <w:r>
              <w:rPr>
                <w:color w:val="404040"/>
              </w:rPr>
              <w:t> </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本年废止件数</w:t>
            </w:r>
          </w:p>
          <w:p>
            <w:pPr>
              <w:pStyle w:val="2"/>
              <w:widowControl/>
              <w:spacing w:beforeAutospacing="0" w:afterAutospacing="0"/>
              <w:rPr>
                <w:color w:val="404040"/>
              </w:rPr>
            </w:pPr>
            <w:r>
              <w:rPr>
                <w:color w:val="404040"/>
              </w:rPr>
              <w:t> </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现行有效件</w:t>
            </w:r>
            <w:r>
              <w:rPr>
                <w:rFonts w:hint="eastAsia" w:ascii="宋体" w:hAnsi="宋体" w:eastAsia="宋体" w:cs="宋体"/>
                <w:color w:val="404040"/>
                <w:kern w:val="0"/>
                <w:sz w:val="20"/>
                <w:szCs w:val="20"/>
                <w:lang w:bidi="ar"/>
              </w:rPr>
              <w:t>数</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规章</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行政规范性文件</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第二十条第（五）项</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信息内容</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本年处理决定数量</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行政许可</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第二十条第（六）项</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信息内容</w:t>
            </w:r>
          </w:p>
          <w:p>
            <w:pPr>
              <w:pStyle w:val="2"/>
              <w:widowControl/>
              <w:spacing w:beforeAutospacing="0" w:afterAutospacing="0"/>
              <w:rPr>
                <w:color w:val="404040"/>
              </w:rPr>
            </w:pPr>
            <w:r>
              <w:rPr>
                <w:color w:val="404040"/>
              </w:rPr>
              <w:t> </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本年处理决定数量</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行政处罚</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widowControl/>
              <w:spacing w:beforeAutospacing="0" w:afterAutospacing="0"/>
              <w:rPr>
                <w:color w:val="404040"/>
              </w:rPr>
            </w:pPr>
            <w:r>
              <w:rPr>
                <w:rFonts w:ascii="宋体" w:hAnsi="宋体" w:eastAsia="宋体" w:cs="宋体"/>
                <w:color w:val="404040"/>
                <w:sz w:val="21"/>
                <w:szCs w:val="21"/>
                <w:lang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行政强制</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Cs w:val="21"/>
                <w:lang w:bidi="ar"/>
              </w:rPr>
              <w:t>0</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第二十条第（八）项</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信息内容</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本年收费金额（单位：万元）</w:t>
            </w:r>
          </w:p>
          <w:p>
            <w:pPr>
              <w:pStyle w:val="2"/>
              <w:widowControl/>
              <w:spacing w:beforeAutospacing="0" w:afterAutospacing="0"/>
              <w:rPr>
                <w:color w:val="404040"/>
              </w:rPr>
            </w:pPr>
            <w:r>
              <w:rPr>
                <w:color w:val="40404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000000"/>
                <w:kern w:val="0"/>
                <w:sz w:val="20"/>
                <w:szCs w:val="20"/>
                <w:lang w:bidi="ar"/>
              </w:rPr>
              <w:t>行政事业性收费</w:t>
            </w:r>
          </w:p>
          <w:p>
            <w:pPr>
              <w:pStyle w:val="2"/>
              <w:widowControl/>
              <w:spacing w:beforeAutospacing="0" w:afterAutospacing="0"/>
              <w:rPr>
                <w:color w:val="404040"/>
              </w:rPr>
            </w:pPr>
            <w:r>
              <w:rPr>
                <w:color w:val="404040"/>
              </w:rPr>
              <w:t> </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4"/>
                <w:lang w:bidi="ar"/>
              </w:rPr>
              <w:t>0</w:t>
            </w:r>
          </w:p>
          <w:p>
            <w:pPr>
              <w:pStyle w:val="2"/>
              <w:widowControl/>
              <w:spacing w:beforeAutospacing="0" w:afterAutospacing="0"/>
              <w:rPr>
                <w:color w:val="404040"/>
              </w:rPr>
            </w:pPr>
            <w:r>
              <w:rPr>
                <w:color w:val="404040"/>
              </w:rPr>
              <w:t> </w:t>
            </w:r>
          </w:p>
        </w:tc>
      </w:tr>
    </w:tbl>
    <w:p>
      <w:pPr>
        <w:pStyle w:val="2"/>
        <w:widowControl/>
        <w:spacing w:beforeAutospacing="0" w:afterAutospacing="0" w:line="560" w:lineRule="atLeast"/>
        <w:jc w:val="center"/>
        <w:rPr>
          <w:color w:val="404040"/>
        </w:rPr>
      </w:pPr>
      <w:r>
        <w:rPr>
          <w:rFonts w:ascii="Times New Roman" w:hAnsi="Times New Roman" w:eastAsia="寰蒋闆呴粦"/>
          <w:color w:val="404040"/>
          <w:shd w:val="clear" w:color="auto" w:fill="FFFFFF"/>
        </w:rPr>
        <w:t> </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三、收到和处理政府信息公开申请情况</w:t>
      </w:r>
    </w:p>
    <w:p>
      <w:pPr>
        <w:pStyle w:val="2"/>
        <w:widowControl/>
        <w:spacing w:beforeAutospacing="0" w:afterAutospacing="0" w:line="560" w:lineRule="atLeast"/>
        <w:jc w:val="both"/>
        <w:rPr>
          <w:color w:val="404040"/>
        </w:rPr>
      </w:pPr>
      <w:r>
        <w:rPr>
          <w:rFonts w:ascii="Times New Roman" w:hAnsi="Times New Roman" w:eastAsia="寰蒋闆呴粦"/>
          <w:color w:val="404040"/>
          <w:shd w:val="clear" w:color="auto" w:fill="FFFFFF"/>
        </w:rPr>
        <w:t> </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560" w:lineRule="atLeast"/>
              <w:jc w:val="left"/>
              <w:rPr>
                <w:color w:val="404040"/>
              </w:rPr>
            </w:pPr>
            <w:r>
              <w:rPr>
                <w:rFonts w:ascii="楷体" w:hAnsi="楷体" w:eastAsia="楷体" w:cs="楷体"/>
                <w:color w:val="404040"/>
                <w:kern w:val="0"/>
                <w:sz w:val="20"/>
                <w:szCs w:val="20"/>
                <w:lang w:bidi="ar"/>
              </w:rPr>
              <w:t>（本列数据的勾稽关系为：第一项加第二项之和，等于第三项加第四项之和）</w:t>
            </w:r>
          </w:p>
          <w:p>
            <w:pPr>
              <w:pStyle w:val="2"/>
              <w:widowControl/>
              <w:spacing w:beforeAutospacing="0" w:afterAutospacing="0"/>
              <w:rPr>
                <w:color w:val="404040"/>
              </w:rPr>
            </w:pPr>
            <w:r>
              <w:rPr>
                <w:color w:val="404040"/>
              </w:rPr>
              <w:t> </w:t>
            </w:r>
          </w:p>
        </w:tc>
        <w:tc>
          <w:tcPr>
            <w:tcW w:w="4843"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申请人情况</w:t>
            </w:r>
          </w:p>
          <w:p>
            <w:pPr>
              <w:pStyle w:val="2"/>
              <w:widowControl/>
              <w:spacing w:beforeAutospacing="0" w:afterAutospacing="0"/>
              <w:rPr>
                <w:color w:val="404040"/>
              </w:rPr>
            </w:pPr>
            <w:r>
              <w:rPr>
                <w:color w:val="40404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color w:val="404040"/>
                <w:sz w:val="24"/>
              </w:rPr>
            </w:pPr>
          </w:p>
        </w:tc>
        <w:tc>
          <w:tcPr>
            <w:tcW w:w="685" w:type="dxa"/>
            <w:vMerge w:val="restart"/>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自然人</w:t>
            </w:r>
          </w:p>
          <w:p>
            <w:pPr>
              <w:pStyle w:val="2"/>
              <w:widowControl/>
              <w:spacing w:beforeAutospacing="0" w:afterAutospacing="0"/>
              <w:rPr>
                <w:color w:val="404040"/>
              </w:rPr>
            </w:pPr>
            <w:r>
              <w:rPr>
                <w:color w:val="404040"/>
              </w:rPr>
              <w:t> </w:t>
            </w:r>
          </w:p>
        </w:tc>
        <w:tc>
          <w:tcPr>
            <w:tcW w:w="3465" w:type="dxa"/>
            <w:gridSpan w:val="5"/>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法人或其他组织</w:t>
            </w:r>
          </w:p>
          <w:p>
            <w:pPr>
              <w:pStyle w:val="2"/>
              <w:widowControl/>
              <w:spacing w:beforeAutospacing="0" w:afterAutospacing="0"/>
              <w:rPr>
                <w:color w:val="404040"/>
              </w:rPr>
            </w:pPr>
            <w:r>
              <w:rPr>
                <w:color w:val="404040"/>
              </w:rPr>
              <w:t> </w:t>
            </w:r>
          </w:p>
        </w:tc>
        <w:tc>
          <w:tcPr>
            <w:tcW w:w="693" w:type="dxa"/>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总计</w:t>
            </w:r>
          </w:p>
          <w:p>
            <w:pPr>
              <w:pStyle w:val="2"/>
              <w:widowControl/>
              <w:spacing w:beforeAutospacing="0" w:afterAutospacing="0"/>
              <w:rPr>
                <w:color w:val="404040"/>
              </w:rPr>
            </w:pPr>
            <w:r>
              <w:rPr>
                <w:color w:val="40404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color w:val="404040"/>
                <w:sz w:val="24"/>
              </w:rPr>
            </w:pPr>
          </w:p>
        </w:tc>
        <w:tc>
          <w:tcPr>
            <w:tcW w:w="685" w:type="dxa"/>
            <w:vMerge w:val="continue"/>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rPr>
                <w:rFonts w:ascii="宋体"/>
                <w:color w:val="404040"/>
                <w:sz w:val="24"/>
              </w:rPr>
            </w:pPr>
          </w:p>
        </w:tc>
        <w:tc>
          <w:tcPr>
            <w:tcW w:w="69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商业</w:t>
            </w:r>
          </w:p>
          <w:p>
            <w:pPr>
              <w:pStyle w:val="2"/>
              <w:widowControl/>
              <w:spacing w:beforeAutospacing="0" w:afterAutospacing="0"/>
              <w:rPr>
                <w:color w:val="404040"/>
              </w:rPr>
            </w:pPr>
            <w:r>
              <w:rPr>
                <w:color w:val="404040"/>
              </w:rPr>
              <w:t> </w:t>
            </w:r>
            <w:r>
              <w:rPr>
                <w:rFonts w:hint="eastAsia" w:ascii="宋体" w:hAnsi="宋体" w:eastAsia="宋体" w:cs="宋体"/>
                <w:color w:val="404040"/>
                <w:sz w:val="20"/>
                <w:szCs w:val="20"/>
                <w:lang w:bidi="ar"/>
              </w:rPr>
              <w:t>企业</w:t>
            </w:r>
          </w:p>
          <w:p>
            <w:pPr>
              <w:pStyle w:val="2"/>
              <w:widowControl/>
              <w:spacing w:beforeAutospacing="0" w:afterAutospacing="0"/>
              <w:rPr>
                <w:color w:val="404040"/>
              </w:rPr>
            </w:pPr>
            <w:r>
              <w:rPr>
                <w:color w:val="404040"/>
              </w:rPr>
              <w:t> </w:t>
            </w:r>
          </w:p>
        </w:tc>
        <w:tc>
          <w:tcPr>
            <w:tcW w:w="69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科研</w:t>
            </w:r>
          </w:p>
          <w:p>
            <w:pPr>
              <w:pStyle w:val="2"/>
              <w:widowControl/>
              <w:spacing w:beforeAutospacing="0" w:afterAutospacing="0"/>
              <w:rPr>
                <w:color w:val="404040"/>
              </w:rPr>
            </w:pPr>
            <w:r>
              <w:rPr>
                <w:color w:val="404040"/>
              </w:rPr>
              <w:t> </w:t>
            </w:r>
            <w:r>
              <w:rPr>
                <w:rFonts w:hint="eastAsia" w:ascii="宋体" w:hAnsi="宋体" w:eastAsia="宋体" w:cs="宋体"/>
                <w:color w:val="404040"/>
                <w:sz w:val="20"/>
                <w:szCs w:val="20"/>
                <w:lang w:bidi="ar"/>
              </w:rPr>
              <w:t>机构</w:t>
            </w:r>
          </w:p>
          <w:p>
            <w:pPr>
              <w:pStyle w:val="2"/>
              <w:widowControl/>
              <w:spacing w:beforeAutospacing="0" w:afterAutospacing="0"/>
              <w:rPr>
                <w:color w:val="404040"/>
              </w:rPr>
            </w:pPr>
            <w:r>
              <w:rPr>
                <w:color w:val="404040"/>
              </w:rPr>
              <w:t> </w:t>
            </w:r>
          </w:p>
        </w:tc>
        <w:tc>
          <w:tcPr>
            <w:tcW w:w="69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社会公益组织</w:t>
            </w:r>
          </w:p>
          <w:p>
            <w:pPr>
              <w:pStyle w:val="2"/>
              <w:widowControl/>
              <w:spacing w:beforeAutospacing="0" w:afterAutospacing="0"/>
              <w:rPr>
                <w:color w:val="404040"/>
              </w:rPr>
            </w:pPr>
            <w:r>
              <w:rPr>
                <w:color w:val="404040"/>
              </w:rPr>
              <w:t> </w:t>
            </w:r>
          </w:p>
        </w:tc>
        <w:tc>
          <w:tcPr>
            <w:tcW w:w="69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法律服务机构</w:t>
            </w:r>
          </w:p>
          <w:p>
            <w:pPr>
              <w:pStyle w:val="2"/>
              <w:widowControl/>
              <w:spacing w:beforeAutospacing="0" w:afterAutospacing="0"/>
              <w:rPr>
                <w:color w:val="404040"/>
              </w:rPr>
            </w:pPr>
            <w:r>
              <w:rPr>
                <w:color w:val="404040"/>
              </w:rPr>
              <w:t> </w:t>
            </w:r>
          </w:p>
        </w:tc>
        <w:tc>
          <w:tcPr>
            <w:tcW w:w="69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其他</w:t>
            </w:r>
          </w:p>
          <w:p>
            <w:pPr>
              <w:pStyle w:val="2"/>
              <w:widowControl/>
              <w:spacing w:beforeAutospacing="0" w:afterAutospacing="0"/>
              <w:rPr>
                <w:color w:val="404040"/>
              </w:rPr>
            </w:pPr>
            <w:r>
              <w:rPr>
                <w:color w:val="404040"/>
              </w:rPr>
              <w:t> </w:t>
            </w:r>
          </w:p>
        </w:tc>
        <w:tc>
          <w:tcPr>
            <w:tcW w:w="693" w:type="dxa"/>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color w:val="40404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一、本年新收政府信息公开申请数量</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14</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二、上年结转政府信息公开申请数量</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三、本年度办理结果</w:t>
            </w:r>
          </w:p>
          <w:p>
            <w:pPr>
              <w:pStyle w:val="2"/>
              <w:widowControl/>
              <w:spacing w:beforeAutospacing="0" w:afterAutospacing="0"/>
              <w:rPr>
                <w:color w:val="404040"/>
              </w:rPr>
            </w:pPr>
            <w:r>
              <w:rPr>
                <w:color w:val="404040"/>
              </w:rPr>
              <w:t> </w:t>
            </w: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（一）予以公开</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（二）部分公开</w:t>
            </w:r>
            <w:r>
              <w:rPr>
                <w:rFonts w:hint="eastAsia" w:ascii="楷体" w:hAnsi="楷体" w:eastAsia="楷体" w:cs="楷体"/>
                <w:color w:val="404040"/>
                <w:kern w:val="0"/>
                <w:sz w:val="20"/>
                <w:szCs w:val="20"/>
                <w:lang w:bidi="ar"/>
              </w:rPr>
              <w:t>（区分处理的，只计这一情形，不计其他情形）</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restart"/>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（三）不予公开</w:t>
            </w:r>
          </w:p>
          <w:p>
            <w:pPr>
              <w:pStyle w:val="2"/>
              <w:widowControl/>
              <w:spacing w:beforeAutospacing="0" w:afterAutospacing="0"/>
              <w:rPr>
                <w:color w:val="404040"/>
              </w:rPr>
            </w:pPr>
            <w:r>
              <w:rPr>
                <w:color w:val="404040"/>
              </w:rPr>
              <w:t> </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1.属于国家秘密</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2.其他法律行政法规禁止公开</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3.危及“三安全一稳定”</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4.保护第三方合法权益</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5.属于三类内部事务信息</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6.属于四类过程性信息</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7.属于行政执法案卷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8.属于行政查询事项</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restart"/>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（四）无法提供</w:t>
            </w:r>
          </w:p>
          <w:p>
            <w:pPr>
              <w:pStyle w:val="2"/>
              <w:widowControl/>
              <w:spacing w:beforeAutospacing="0" w:afterAutospacing="0"/>
              <w:rPr>
                <w:color w:val="404040"/>
              </w:rPr>
            </w:pPr>
            <w:r>
              <w:rPr>
                <w:color w:val="404040"/>
              </w:rPr>
              <w:t> </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1.本机关不掌握相关政府信息</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7</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2.没有现成信息需要另行制作</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3.补正后申请内容仍不明确</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restart"/>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（五）不予处理</w:t>
            </w:r>
          </w:p>
          <w:p>
            <w:pPr>
              <w:pStyle w:val="2"/>
              <w:widowControl/>
              <w:spacing w:beforeAutospacing="0" w:afterAutospacing="0"/>
              <w:rPr>
                <w:color w:val="404040"/>
              </w:rPr>
            </w:pPr>
            <w:r>
              <w:rPr>
                <w:color w:val="404040"/>
              </w:rPr>
              <w:t> </w:t>
            </w: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1.信访举报投诉类申请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2.重复申请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rFonts w:ascii="宋体" w:hAnsi="宋体" w:eastAsia="宋体" w:cs="宋体"/>
                <w:color w:val="404040"/>
                <w:kern w:val="0"/>
                <w:sz w:val="20"/>
                <w:szCs w:val="20"/>
                <w:lang w:bidi="ar"/>
              </w:rPr>
            </w:pPr>
            <w:r>
              <w:rPr>
                <w:rFonts w:hint="eastAsia" w:ascii="宋体" w:hAnsi="宋体" w:eastAsia="宋体" w:cs="宋体"/>
                <w:color w:val="404040"/>
                <w:kern w:val="0"/>
                <w:sz w:val="20"/>
                <w:szCs w:val="20"/>
                <w:lang w:bidi="ar"/>
              </w:rPr>
              <w:t>3.要求提供公开出版物</w:t>
            </w:r>
          </w:p>
          <w:p>
            <w:pPr>
              <w:widowControl/>
              <w:spacing w:line="560" w:lineRule="atLeast"/>
              <w:jc w:val="left"/>
              <w:rPr>
                <w:color w:val="404040"/>
              </w:rP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tcPr>
          <w:p>
            <w:pPr>
              <w:widowControl/>
              <w:spacing w:line="560" w:lineRule="atLeast"/>
              <w:jc w:val="left"/>
              <w:rPr>
                <w:color w:val="404040"/>
              </w:rPr>
            </w:pPr>
            <w:r>
              <w:rPr>
                <w:rFonts w:hint="eastAsia" w:ascii="宋体" w:hAnsi="宋体" w:eastAsia="宋体" w:cs="宋体"/>
                <w:color w:val="404040"/>
                <w:kern w:val="0"/>
                <w:sz w:val="20"/>
                <w:szCs w:val="20"/>
                <w:lang w:bidi="ar"/>
              </w:rPr>
              <w:t>4.无正当理由大量反复申请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single" w:color="auto" w:sz="8" w:space="0"/>
              <w:left w:val="single" w:color="auto" w:sz="8" w:space="0"/>
              <w:bottom w:val="outset"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5.要求行政机关确认或重新出具已获取信息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restart"/>
            <w:tcBorders>
              <w:top w:val="nil"/>
              <w:left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（六）其他处理</w:t>
            </w:r>
          </w:p>
          <w:p>
            <w:pPr>
              <w:pStyle w:val="2"/>
              <w:rPr>
                <w:rFonts w:ascii="宋体" w:hAnsi="宋体" w:eastAsia="宋体" w:cs="宋体"/>
                <w:color w:val="404040"/>
                <w:sz w:val="20"/>
                <w:szCs w:val="20"/>
                <w:lang w:bidi="ar"/>
              </w:rPr>
            </w:pPr>
            <w:r>
              <w:rPr>
                <w:color w:val="404040"/>
              </w:rPr>
              <w:t> </w:t>
            </w: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color w:val="000000"/>
                <w:sz w:val="20"/>
                <w:szCs w:val="20"/>
              </w:rPr>
            </w:pPr>
          </w:p>
          <w:p>
            <w:pPr>
              <w:widowControl/>
              <w:jc w:val="left"/>
              <w:rPr>
                <w:color w:val="000000"/>
                <w:kern w:val="0"/>
                <w:sz w:val="20"/>
                <w:szCs w:val="20"/>
              </w:rPr>
            </w:pPr>
            <w:r>
              <w:rPr>
                <w:rFonts w:hint="eastAsia"/>
                <w:color w:val="000000"/>
                <w:sz w:val="20"/>
                <w:szCs w:val="20"/>
              </w:rPr>
              <w:t>0.其他处理总计</w:t>
            </w:r>
          </w:p>
          <w:p>
            <w:pPr>
              <w:widowControl/>
              <w:jc w:val="left"/>
              <w:rPr>
                <w:color w:val="000000"/>
                <w:kern w:val="0"/>
                <w:sz w:val="20"/>
                <w:szCs w:val="20"/>
              </w:rP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4</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left w:val="single" w:color="auto" w:sz="8" w:space="0"/>
              <w:right w:val="single" w:color="auto" w:sz="8" w:space="0"/>
            </w:tcBorders>
            <w:shd w:val="clear" w:color="auto" w:fill="DDEBF7"/>
            <w:tcMar>
              <w:left w:w="57" w:type="dxa"/>
              <w:right w:w="57" w:type="dxa"/>
            </w:tcMar>
            <w:vAlign w:val="center"/>
          </w:tcPr>
          <w:p>
            <w:pPr>
              <w:pStyle w:val="2"/>
              <w:widowControl/>
              <w:spacing w:beforeAutospacing="0" w:afterAutospacing="0"/>
              <w:rPr>
                <w:color w:val="404040"/>
              </w:rPr>
            </w:pP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1.申请人无正当理由逾期不补正、行政机关不再处理其政府信息公开申请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left w:val="single"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2.申请人逾期未按收费通知要求缴纳费用、行政机关不再处理其政府信息公开申请</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2" w:hRule="atLeast"/>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941" w:type="dxa"/>
            <w:vMerge w:val="continue"/>
            <w:tcBorders>
              <w:left w:val="single" w:color="auto" w:sz="8" w:space="0"/>
              <w:bottom w:val="outset" w:color="auto" w:sz="8" w:space="0"/>
              <w:right w:val="single" w:color="auto" w:sz="8" w:space="0"/>
            </w:tcBorders>
            <w:shd w:val="clear" w:color="auto" w:fill="DDEBF7"/>
            <w:tcMar>
              <w:left w:w="57" w:type="dxa"/>
              <w:right w:w="57" w:type="dxa"/>
            </w:tcMar>
            <w:vAlign w:val="center"/>
          </w:tcPr>
          <w:p>
            <w:pPr>
              <w:rPr>
                <w:rFonts w:ascii="宋体"/>
                <w:color w:val="404040"/>
                <w:sz w:val="24"/>
              </w:rPr>
            </w:pPr>
          </w:p>
        </w:tc>
        <w:tc>
          <w:tcPr>
            <w:tcW w:w="3199"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3.其他</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4</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765" w:type="dxa"/>
            <w:vMerge w:val="continue"/>
            <w:tcBorders>
              <w:top w:val="single" w:color="auto" w:sz="8"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color w:val="404040"/>
                <w:sz w:val="24"/>
              </w:rPr>
            </w:pPr>
          </w:p>
        </w:tc>
        <w:tc>
          <w:tcPr>
            <w:tcW w:w="414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（七）总计</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13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single" w:color="auto" w:sz="8"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atLeast"/>
              <w:jc w:val="left"/>
              <w:rPr>
                <w:color w:val="404040"/>
              </w:rPr>
            </w:pPr>
            <w:r>
              <w:rPr>
                <w:rFonts w:hint="eastAsia" w:ascii="宋体" w:hAnsi="宋体" w:eastAsia="宋体" w:cs="宋体"/>
                <w:color w:val="404040"/>
                <w:kern w:val="0"/>
                <w:sz w:val="20"/>
                <w:szCs w:val="20"/>
                <w:lang w:bidi="ar"/>
              </w:rPr>
              <w:t>四、结转下年度继续办理</w:t>
            </w:r>
          </w:p>
          <w:p>
            <w:pPr>
              <w:pStyle w:val="2"/>
              <w:widowControl/>
              <w:spacing w:beforeAutospacing="0" w:afterAutospacing="0"/>
              <w:rPr>
                <w:color w:val="404040"/>
              </w:rPr>
            </w:pPr>
            <w:r>
              <w:rPr>
                <w:color w:val="404040"/>
              </w:rPr>
              <w:t> </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kern w:val="0"/>
                <w:sz w:val="20"/>
                <w:szCs w:val="20"/>
              </w:rPr>
            </w:pPr>
            <w:r>
              <w:rPr>
                <w:rFonts w:ascii="Calibri" w:hAnsi="Calibri" w:eastAsia="等线" w:cs="Calibri"/>
                <w:color w:val="000000"/>
                <w:sz w:val="20"/>
                <w:szCs w:val="20"/>
              </w:rPr>
              <w:t>1</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0</w:t>
            </w:r>
          </w:p>
        </w:tc>
        <w:tc>
          <w:tcPr>
            <w:tcW w:w="693" w:type="dxa"/>
            <w:tcBorders>
              <w:top w:val="nil"/>
              <w:left w:val="nil"/>
              <w:bottom w:val="single" w:color="auto" w:sz="8" w:space="0"/>
              <w:right w:val="single" w:color="auto" w:sz="8" w:space="0"/>
            </w:tcBorders>
            <w:shd w:val="clear" w:color="auto" w:fill="auto"/>
            <w:vAlign w:val="center"/>
          </w:tcPr>
          <w:p>
            <w:pPr>
              <w:jc w:val="center"/>
              <w:rPr>
                <w:rFonts w:ascii="Calibri" w:hAnsi="Calibri" w:eastAsia="等线" w:cs="Calibri"/>
                <w:color w:val="000000"/>
                <w:sz w:val="20"/>
                <w:szCs w:val="20"/>
              </w:rPr>
            </w:pPr>
            <w:r>
              <w:rPr>
                <w:rFonts w:ascii="Calibri" w:hAnsi="Calibri" w:eastAsia="等线" w:cs="Calibri"/>
                <w:color w:val="000000"/>
                <w:sz w:val="20"/>
                <w:szCs w:val="20"/>
              </w:rPr>
              <w:t>1</w:t>
            </w:r>
          </w:p>
        </w:tc>
      </w:tr>
    </w:tbl>
    <w:p>
      <w:pPr>
        <w:pStyle w:val="2"/>
        <w:widowControl/>
        <w:spacing w:beforeAutospacing="0" w:afterAutospacing="0" w:line="560" w:lineRule="atLeast"/>
        <w:jc w:val="center"/>
        <w:rPr>
          <w:color w:val="404040"/>
        </w:rPr>
      </w:pPr>
      <w:r>
        <w:rPr>
          <w:rFonts w:ascii="Times New Roman" w:hAnsi="Times New Roman" w:eastAsia="寰蒋闆呴粦"/>
          <w:color w:val="404040"/>
          <w:shd w:val="clear" w:color="auto" w:fill="FFFFFF"/>
        </w:rPr>
        <w:t> </w:t>
      </w:r>
    </w:p>
    <w:p>
      <w:pPr>
        <w:widowControl/>
        <w:spacing w:line="560" w:lineRule="atLeast"/>
        <w:ind w:firstLine="675"/>
        <w:jc w:val="left"/>
        <w:rPr>
          <w:rFonts w:ascii="黑体" w:hAnsi="黑体" w:eastAsia="黑体" w:cs="黑体"/>
          <w:spacing w:val="8"/>
          <w:kern w:val="0"/>
          <w:sz w:val="32"/>
          <w:szCs w:val="32"/>
          <w:lang w:bidi="ar"/>
        </w:rPr>
      </w:pPr>
      <w:r>
        <w:rPr>
          <w:rFonts w:hint="eastAsia" w:ascii="黑体" w:hAnsi="黑体" w:eastAsia="黑体" w:cs="黑体"/>
          <w:spacing w:val="8"/>
          <w:kern w:val="0"/>
          <w:sz w:val="32"/>
          <w:szCs w:val="32"/>
          <w:lang w:bidi="ar"/>
        </w:rPr>
        <w:t>四、政府信息公开行政复议、行政诉讼情况</w:t>
      </w:r>
      <w:r>
        <w:rPr>
          <w:rFonts w:ascii="黑体" w:hAnsi="黑体" w:eastAsia="黑体" w:cs="黑体"/>
          <w:spacing w:val="8"/>
          <w:kern w:val="0"/>
          <w:sz w:val="32"/>
          <w:szCs w:val="32"/>
          <w:lang w:bidi="ar"/>
        </w:rPr>
        <w:t> </w:t>
      </w:r>
    </w:p>
    <w:p>
      <w:pPr>
        <w:pStyle w:val="2"/>
        <w:widowControl/>
        <w:spacing w:beforeAutospacing="0" w:afterAutospacing="0" w:line="560" w:lineRule="atLeast"/>
        <w:jc w:val="both"/>
        <w:rPr>
          <w:color w:val="404040"/>
        </w:rPr>
      </w:pPr>
      <w:r>
        <w:rPr>
          <w:rFonts w:ascii="Times New Roman" w:hAnsi="Times New Roman" w:eastAsia="寰蒋闆呴粦"/>
          <w:color w:val="404040"/>
          <w:shd w:val="clear" w:color="auto" w:fill="FFFFFF"/>
        </w:rPr>
        <w:t> </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4"/>
        <w:gridCol w:w="644"/>
        <w:gridCol w:w="644"/>
        <w:gridCol w:w="644"/>
        <w:gridCol w:w="644"/>
        <w:gridCol w:w="644"/>
        <w:gridCol w:w="644"/>
        <w:gridCol w:w="645"/>
        <w:gridCol w:w="645"/>
        <w:gridCol w:w="645"/>
        <w:gridCol w:w="645"/>
        <w:gridCol w:w="646"/>
        <w:gridCol w:w="646"/>
        <w:gridCol w:w="646"/>
        <w:gridCol w:w="7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2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行政复议</w:t>
            </w:r>
          </w:p>
          <w:p>
            <w:pPr>
              <w:pStyle w:val="2"/>
              <w:widowControl/>
              <w:spacing w:beforeAutospacing="0" w:afterAutospacing="0"/>
              <w:rPr>
                <w:color w:val="404040"/>
              </w:rPr>
            </w:pPr>
            <w:r>
              <w:rPr>
                <w:color w:val="404040"/>
              </w:rPr>
              <w:t> </w:t>
            </w:r>
          </w:p>
        </w:tc>
        <w:tc>
          <w:tcPr>
            <w:tcW w:w="6528" w:type="dxa"/>
            <w:gridSpan w:val="10"/>
            <w:tcBorders>
              <w:top w:val="single" w:color="auto" w:sz="8" w:space="0"/>
              <w:left w:val="nil"/>
              <w:bottom w:val="single" w:color="auto" w:sz="8" w:space="0"/>
              <w:right w:val="single" w:color="auto" w:sz="8" w:space="0"/>
            </w:tcBorders>
            <w:shd w:val="clear" w:color="auto" w:fill="BDD7EE"/>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行政诉讼</w:t>
            </w:r>
          </w:p>
          <w:p>
            <w:pPr>
              <w:pStyle w:val="2"/>
              <w:widowControl/>
              <w:spacing w:beforeAutospacing="0" w:afterAutospacing="0"/>
              <w:rPr>
                <w:color w:val="404040"/>
              </w:rPr>
            </w:pPr>
            <w:r>
              <w:rPr>
                <w:color w:val="40404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结果维持</w:t>
            </w:r>
          </w:p>
          <w:p>
            <w:pPr>
              <w:pStyle w:val="2"/>
              <w:widowControl/>
              <w:spacing w:beforeAutospacing="0" w:afterAutospacing="0"/>
              <w:rPr>
                <w:color w:val="404040"/>
              </w:rPr>
            </w:pPr>
            <w:r>
              <w:rPr>
                <w:color w:val="404040"/>
              </w:rPr>
              <w:t> </w:t>
            </w:r>
          </w:p>
        </w:tc>
        <w:tc>
          <w:tcPr>
            <w:tcW w:w="64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纠正</w:t>
            </w:r>
          </w:p>
          <w:p>
            <w:pPr>
              <w:pStyle w:val="2"/>
              <w:widowControl/>
              <w:spacing w:beforeAutospacing="0" w:afterAutospacing="0"/>
              <w:rPr>
                <w:color w:val="404040"/>
              </w:rPr>
            </w:pPr>
            <w:r>
              <w:rPr>
                <w:color w:val="404040"/>
              </w:rPr>
              <w:t> </w:t>
            </w:r>
          </w:p>
        </w:tc>
        <w:tc>
          <w:tcPr>
            <w:tcW w:w="64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其他</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结果</w:t>
            </w:r>
          </w:p>
          <w:p>
            <w:pPr>
              <w:pStyle w:val="2"/>
              <w:widowControl/>
              <w:spacing w:beforeAutospacing="0" w:afterAutospacing="0"/>
              <w:rPr>
                <w:color w:val="404040"/>
              </w:rPr>
            </w:pPr>
            <w:r>
              <w:rPr>
                <w:color w:val="404040"/>
              </w:rPr>
              <w:t> </w:t>
            </w:r>
          </w:p>
        </w:tc>
        <w:tc>
          <w:tcPr>
            <w:tcW w:w="64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尚未</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审结</w:t>
            </w:r>
          </w:p>
          <w:p>
            <w:pPr>
              <w:pStyle w:val="2"/>
              <w:widowControl/>
              <w:spacing w:beforeAutospacing="0" w:afterAutospacing="0"/>
              <w:rPr>
                <w:color w:val="404040"/>
              </w:rPr>
            </w:pPr>
            <w:r>
              <w:rPr>
                <w:color w:val="404040"/>
              </w:rPr>
              <w:t> </w:t>
            </w:r>
          </w:p>
        </w:tc>
        <w:tc>
          <w:tcPr>
            <w:tcW w:w="64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总计</w:t>
            </w:r>
          </w:p>
          <w:p>
            <w:pPr>
              <w:pStyle w:val="2"/>
              <w:widowControl/>
              <w:spacing w:beforeAutospacing="0" w:afterAutospacing="0"/>
              <w:rPr>
                <w:color w:val="404040"/>
              </w:rPr>
            </w:pPr>
            <w:r>
              <w:rPr>
                <w:color w:val="404040"/>
              </w:rPr>
              <w:t> </w:t>
            </w:r>
          </w:p>
        </w:tc>
        <w:tc>
          <w:tcPr>
            <w:tcW w:w="3223" w:type="dxa"/>
            <w:gridSpan w:val="5"/>
            <w:tcBorders>
              <w:top w:val="single" w:color="auto" w:sz="8" w:space="0"/>
              <w:left w:val="nil"/>
              <w:bottom w:val="single" w:color="auto" w:sz="8" w:space="0"/>
              <w:right w:val="single" w:color="auto" w:sz="8" w:space="0"/>
            </w:tcBorders>
            <w:shd w:val="clear" w:color="auto" w:fill="DDEBF7"/>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未经复议直接起诉</w:t>
            </w:r>
          </w:p>
          <w:p>
            <w:pPr>
              <w:pStyle w:val="2"/>
              <w:widowControl/>
              <w:spacing w:beforeAutospacing="0" w:afterAutospacing="0"/>
              <w:rPr>
                <w:color w:val="404040"/>
              </w:rPr>
            </w:pPr>
            <w:r>
              <w:rPr>
                <w:color w:val="404040"/>
              </w:rPr>
              <w:t> </w:t>
            </w:r>
          </w:p>
        </w:tc>
        <w:tc>
          <w:tcPr>
            <w:tcW w:w="3305" w:type="dxa"/>
            <w:gridSpan w:val="5"/>
            <w:tcBorders>
              <w:top w:val="single" w:color="auto" w:sz="8" w:space="0"/>
              <w:left w:val="nil"/>
              <w:bottom w:val="single" w:color="auto" w:sz="8" w:space="0"/>
              <w:right w:val="single" w:color="auto" w:sz="8" w:space="0"/>
            </w:tcBorders>
            <w:shd w:val="clear" w:color="auto" w:fill="DDEBF7"/>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复议后起诉</w:t>
            </w:r>
          </w:p>
          <w:p>
            <w:pPr>
              <w:pStyle w:val="2"/>
              <w:widowControl/>
              <w:spacing w:beforeAutospacing="0" w:afterAutospacing="0"/>
              <w:rPr>
                <w:color w:val="404040"/>
              </w:rPr>
            </w:pPr>
            <w:r>
              <w:rPr>
                <w:color w:val="40404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404040"/>
                <w:sz w:val="24"/>
              </w:rPr>
            </w:pPr>
          </w:p>
        </w:tc>
        <w:tc>
          <w:tcPr>
            <w:tcW w:w="6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404040"/>
                <w:sz w:val="24"/>
              </w:rPr>
            </w:pPr>
          </w:p>
        </w:tc>
        <w:tc>
          <w:tcPr>
            <w:tcW w:w="64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404040"/>
                <w:sz w:val="24"/>
              </w:rPr>
            </w:pPr>
          </w:p>
        </w:tc>
        <w:tc>
          <w:tcPr>
            <w:tcW w:w="64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404040"/>
                <w:sz w:val="24"/>
              </w:rPr>
            </w:pPr>
          </w:p>
        </w:tc>
        <w:tc>
          <w:tcPr>
            <w:tcW w:w="64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404040"/>
                <w:sz w:val="24"/>
              </w:rPr>
            </w:pP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维持</w:t>
            </w:r>
          </w:p>
          <w:p>
            <w:pPr>
              <w:pStyle w:val="2"/>
              <w:widowControl/>
              <w:spacing w:beforeAutospacing="0" w:afterAutospacing="0"/>
              <w:rPr>
                <w:color w:val="404040"/>
              </w:rPr>
            </w:pPr>
            <w:r>
              <w:rPr>
                <w:color w:val="404040"/>
              </w:rPr>
              <w:t> </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纠正</w:t>
            </w:r>
          </w:p>
          <w:p>
            <w:pPr>
              <w:pStyle w:val="2"/>
              <w:widowControl/>
              <w:spacing w:beforeAutospacing="0" w:afterAutospacing="0"/>
              <w:rPr>
                <w:color w:val="404040"/>
              </w:rPr>
            </w:pPr>
            <w:r>
              <w:rPr>
                <w:color w:val="404040"/>
              </w:rPr>
              <w:t> </w:t>
            </w:r>
          </w:p>
        </w:tc>
        <w:tc>
          <w:tcPr>
            <w:tcW w:w="6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其他</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结果</w:t>
            </w:r>
          </w:p>
          <w:p>
            <w:pPr>
              <w:pStyle w:val="2"/>
              <w:widowControl/>
              <w:spacing w:beforeAutospacing="0" w:afterAutospacing="0"/>
              <w:rPr>
                <w:color w:val="404040"/>
              </w:rPr>
            </w:pPr>
            <w:r>
              <w:rPr>
                <w:color w:val="404040"/>
              </w:rPr>
              <w:t> </w:t>
            </w:r>
          </w:p>
        </w:tc>
        <w:tc>
          <w:tcPr>
            <w:tcW w:w="6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尚未</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审结</w:t>
            </w:r>
          </w:p>
          <w:p>
            <w:pPr>
              <w:pStyle w:val="2"/>
              <w:widowControl/>
              <w:spacing w:beforeAutospacing="0" w:afterAutospacing="0"/>
              <w:rPr>
                <w:color w:val="404040"/>
              </w:rPr>
            </w:pPr>
            <w:r>
              <w:rPr>
                <w:color w:val="404040"/>
              </w:rPr>
              <w:t> </w:t>
            </w:r>
          </w:p>
        </w:tc>
        <w:tc>
          <w:tcPr>
            <w:tcW w:w="6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总计</w:t>
            </w:r>
          </w:p>
          <w:p>
            <w:pPr>
              <w:pStyle w:val="2"/>
              <w:widowControl/>
              <w:spacing w:beforeAutospacing="0" w:afterAutospacing="0"/>
              <w:rPr>
                <w:color w:val="404040"/>
              </w:rPr>
            </w:pPr>
            <w:r>
              <w:rPr>
                <w:color w:val="404040"/>
              </w:rPr>
              <w:t> </w:t>
            </w:r>
          </w:p>
        </w:tc>
        <w:tc>
          <w:tcPr>
            <w:tcW w:w="6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维持</w:t>
            </w:r>
          </w:p>
          <w:p>
            <w:pPr>
              <w:pStyle w:val="2"/>
              <w:widowControl/>
              <w:spacing w:beforeAutospacing="0" w:afterAutospacing="0"/>
              <w:rPr>
                <w:color w:val="404040"/>
              </w:rPr>
            </w:pPr>
            <w:r>
              <w:rPr>
                <w:color w:val="404040"/>
              </w:rPr>
              <w:t> </w:t>
            </w:r>
          </w:p>
        </w:tc>
        <w:tc>
          <w:tcPr>
            <w:tcW w:w="6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结果</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纠正</w:t>
            </w:r>
          </w:p>
          <w:p>
            <w:pPr>
              <w:pStyle w:val="2"/>
              <w:widowControl/>
              <w:spacing w:beforeAutospacing="0" w:afterAutospacing="0"/>
              <w:rPr>
                <w:color w:val="404040"/>
              </w:rPr>
            </w:pPr>
            <w:r>
              <w:rPr>
                <w:color w:val="404040"/>
              </w:rPr>
              <w:t> </w:t>
            </w:r>
          </w:p>
        </w:tc>
        <w:tc>
          <w:tcPr>
            <w:tcW w:w="6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其他</w:t>
            </w:r>
            <w:r>
              <w:rPr>
                <w:rFonts w:hint="eastAsia" w:ascii="宋体" w:hAnsi="宋体" w:eastAsia="宋体" w:cs="宋体"/>
                <w:color w:val="404040"/>
                <w:kern w:val="0"/>
                <w:sz w:val="20"/>
                <w:szCs w:val="20"/>
                <w:lang w:bidi="ar"/>
              </w:rPr>
              <w:br w:type="textWrapping"/>
            </w:r>
            <w:r>
              <w:rPr>
                <w:rFonts w:hint="eastAsia" w:ascii="宋体" w:hAnsi="宋体" w:eastAsia="宋体" w:cs="宋体"/>
                <w:color w:val="000000"/>
                <w:kern w:val="0"/>
                <w:sz w:val="20"/>
                <w:szCs w:val="20"/>
                <w:lang w:bidi="ar"/>
              </w:rPr>
              <w:t>结果</w:t>
            </w:r>
          </w:p>
          <w:p>
            <w:pPr>
              <w:pStyle w:val="2"/>
              <w:widowControl/>
              <w:spacing w:beforeAutospacing="0" w:afterAutospacing="0"/>
              <w:rPr>
                <w:color w:val="404040"/>
              </w:rPr>
            </w:pPr>
            <w:r>
              <w:rPr>
                <w:color w:val="404040"/>
              </w:rPr>
              <w:t> </w:t>
            </w:r>
          </w:p>
        </w:tc>
        <w:tc>
          <w:tcPr>
            <w:tcW w:w="6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404040"/>
                <w:kern w:val="0"/>
                <w:sz w:val="20"/>
                <w:szCs w:val="20"/>
                <w:lang w:bidi="ar"/>
              </w:rPr>
              <w:t>尚未</w:t>
            </w:r>
            <w:r>
              <w:rPr>
                <w:rFonts w:hint="eastAsia" w:ascii="宋体" w:hAnsi="宋体" w:eastAsia="宋体" w:cs="宋体"/>
                <w:color w:val="404040"/>
                <w:kern w:val="0"/>
                <w:sz w:val="20"/>
                <w:szCs w:val="20"/>
                <w:lang w:bidi="ar"/>
              </w:rPr>
              <w:br w:type="textWrapping"/>
            </w:r>
            <w:r>
              <w:rPr>
                <w:rFonts w:hint="eastAsia" w:ascii="宋体" w:hAnsi="宋体" w:eastAsia="宋体" w:cs="宋体"/>
                <w:color w:val="404040"/>
                <w:kern w:val="0"/>
                <w:sz w:val="20"/>
                <w:szCs w:val="20"/>
                <w:lang w:bidi="ar"/>
              </w:rPr>
              <w:t>审结</w:t>
            </w:r>
          </w:p>
          <w:p>
            <w:pPr>
              <w:pStyle w:val="2"/>
              <w:widowControl/>
              <w:spacing w:beforeAutospacing="0" w:afterAutospacing="0"/>
              <w:rPr>
                <w:color w:val="404040"/>
              </w:rPr>
            </w:pPr>
            <w:r>
              <w:rPr>
                <w:color w:val="404040"/>
              </w:rPr>
              <w:t> </w:t>
            </w:r>
          </w:p>
        </w:tc>
        <w:tc>
          <w:tcPr>
            <w:tcW w:w="7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atLeast"/>
              <w:jc w:val="center"/>
              <w:rPr>
                <w:color w:val="404040"/>
              </w:rPr>
            </w:pPr>
            <w:r>
              <w:rPr>
                <w:rFonts w:hint="eastAsia" w:ascii="宋体" w:hAnsi="宋体" w:eastAsia="宋体" w:cs="宋体"/>
                <w:color w:val="000000"/>
                <w:kern w:val="0"/>
                <w:sz w:val="20"/>
                <w:szCs w:val="20"/>
                <w:lang w:bidi="ar"/>
              </w:rPr>
              <w:t>总计</w:t>
            </w:r>
          </w:p>
          <w:p>
            <w:pPr>
              <w:pStyle w:val="2"/>
              <w:widowControl/>
              <w:spacing w:beforeAutospacing="0" w:afterAutospacing="0"/>
              <w:rPr>
                <w:color w:val="404040"/>
              </w:rPr>
            </w:pPr>
            <w:r>
              <w:rPr>
                <w:color w:val="40404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1</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color w:val="404040"/>
              </w:rPr>
            </w:pPr>
            <w:r>
              <w:rPr>
                <w:rFonts w:hint="eastAsia"/>
                <w:color w:val="404040"/>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color w:val="404040"/>
              </w:rPr>
            </w:pPr>
            <w:r>
              <w:rPr>
                <w:rFonts w:hint="eastAsia"/>
                <w:color w:val="404040"/>
              </w:rPr>
              <w:t>1</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1</w:t>
            </w:r>
          </w:p>
        </w:tc>
        <w:tc>
          <w:tcPr>
            <w:tcW w:w="6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6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0</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rPr>
                <w:color w:val="404040"/>
              </w:rPr>
            </w:pPr>
            <w:r>
              <w:rPr>
                <w:rFonts w:hint="eastAsia"/>
                <w:color w:val="404040"/>
              </w:rPr>
              <w:t>1</w:t>
            </w:r>
          </w:p>
        </w:tc>
      </w:tr>
    </w:tbl>
    <w:p>
      <w:pPr>
        <w:pStyle w:val="2"/>
        <w:widowControl/>
        <w:spacing w:beforeAutospacing="0" w:afterAutospacing="0" w:line="560" w:lineRule="atLeast"/>
        <w:jc w:val="center"/>
        <w:rPr>
          <w:color w:val="404040"/>
        </w:rPr>
      </w:pPr>
      <w:r>
        <w:rPr>
          <w:rFonts w:ascii="Times New Roman" w:hAnsi="Times New Roman" w:eastAsia="寰蒋闆呴粦"/>
          <w:color w:val="404040"/>
          <w:shd w:val="clear" w:color="auto" w:fill="FFFFFF"/>
        </w:rPr>
        <w:t> </w:t>
      </w:r>
    </w:p>
    <w:p>
      <w:pPr>
        <w:widowControl/>
        <w:spacing w:line="560" w:lineRule="atLeast"/>
        <w:ind w:firstLine="675"/>
        <w:jc w:val="left"/>
        <w:rPr>
          <w:color w:val="404040"/>
        </w:rPr>
      </w:pPr>
      <w:r>
        <w:rPr>
          <w:rFonts w:hint="eastAsia" w:ascii="黑体" w:hAnsi="黑体" w:eastAsia="黑体" w:cs="黑体"/>
          <w:spacing w:val="8"/>
          <w:kern w:val="0"/>
          <w:sz w:val="32"/>
          <w:szCs w:val="32"/>
          <w:lang w:bidi="ar"/>
        </w:rPr>
        <w:t>五、存在的主要问题及改进情况</w:t>
      </w:r>
      <w:r>
        <w:rPr>
          <w:rFonts w:ascii="Times New Roman" w:hAnsi="Times New Roman" w:eastAsia="寰蒋闆呴粦" w:cs="Times New Roman"/>
          <w:color w:val="404040"/>
          <w:sz w:val="24"/>
          <w:shd w:val="clear" w:color="auto" w:fill="FFFFFF"/>
        </w:rPr>
        <w:t> </w:t>
      </w:r>
    </w:p>
    <w:p>
      <w:pPr>
        <w:widowControl/>
        <w:spacing w:line="560" w:lineRule="exact"/>
        <w:ind w:firstLine="672" w:firstLineChars="200"/>
        <w:contextualSpacing/>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rPr>
        <w:t>审计局虽然在</w:t>
      </w:r>
      <w:r>
        <w:rPr>
          <w:rFonts w:ascii="仿宋_GB2312" w:hAnsi="宋体" w:eastAsia="仿宋_GB2312" w:cs="宋体"/>
          <w:spacing w:val="8"/>
          <w:kern w:val="0"/>
          <w:sz w:val="32"/>
          <w:szCs w:val="32"/>
        </w:rPr>
        <w:t>信息公开工作过程中</w:t>
      </w:r>
      <w:r>
        <w:rPr>
          <w:rFonts w:hint="eastAsia" w:ascii="仿宋_GB2312" w:hAnsi="宋体" w:eastAsia="仿宋_GB2312" w:cs="宋体"/>
          <w:spacing w:val="8"/>
          <w:kern w:val="0"/>
          <w:sz w:val="32"/>
          <w:szCs w:val="32"/>
        </w:rPr>
        <w:t>严格遵循“以公开为常态、不公开为例外”的原则，及时准确公开相关信息，</w:t>
      </w:r>
      <w:r>
        <w:rPr>
          <w:rFonts w:ascii="仿宋_GB2312" w:hAnsi="宋体" w:eastAsia="仿宋_GB2312" w:cs="宋体"/>
          <w:spacing w:val="8"/>
          <w:kern w:val="0"/>
          <w:sz w:val="32"/>
          <w:szCs w:val="32"/>
        </w:rPr>
        <w:t>但</w:t>
      </w:r>
      <w:r>
        <w:rPr>
          <w:rFonts w:hint="eastAsia" w:ascii="仿宋_GB2312" w:hAnsi="宋体" w:eastAsia="仿宋_GB2312" w:cs="宋体"/>
          <w:spacing w:val="8"/>
          <w:kern w:val="0"/>
          <w:sz w:val="32"/>
          <w:szCs w:val="32"/>
        </w:rPr>
        <w:t>受审计</w:t>
      </w:r>
      <w:r>
        <w:rPr>
          <w:rFonts w:ascii="仿宋_GB2312" w:hAnsi="宋体" w:eastAsia="仿宋_GB2312" w:cs="宋体"/>
          <w:spacing w:val="8"/>
          <w:kern w:val="0"/>
          <w:sz w:val="32"/>
          <w:szCs w:val="32"/>
        </w:rPr>
        <w:t>程序及审计方式的限制</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bidi="ar"/>
        </w:rPr>
        <w:t>无法很好满足涉及公众个人利益方面的诉求。</w:t>
      </w:r>
      <w:r>
        <w:rPr>
          <w:rFonts w:hint="eastAsia" w:ascii="仿宋_GB2312" w:hAnsi="宋体" w:eastAsia="仿宋_GB2312" w:cs="宋体"/>
          <w:spacing w:val="8"/>
          <w:kern w:val="0"/>
          <w:sz w:val="32"/>
          <w:szCs w:val="32"/>
        </w:rPr>
        <w:t>今后我局将继续按照政府信息公开工作的要求，加强学习宣传，加深理解，进一步推进社会公众关注度高的政府信息的公开，规范门户网站信息公开专栏建设，积极稳步推进审计机关政府信息公开各项工作全面发展，为人民群众理解审计、信任审计、支持审计营造良好的氛围。</w:t>
      </w:r>
    </w:p>
    <w:p>
      <w:pPr>
        <w:widowControl/>
        <w:spacing w:line="560" w:lineRule="atLeast"/>
        <w:ind w:firstLine="675"/>
        <w:jc w:val="left"/>
        <w:rPr>
          <w:color w:val="404040"/>
        </w:rPr>
      </w:pPr>
      <w:r>
        <w:rPr>
          <w:rFonts w:hint="eastAsia" w:ascii="黑体" w:hAnsi="黑体" w:eastAsia="黑体" w:cs="黑体"/>
          <w:spacing w:val="8"/>
          <w:kern w:val="0"/>
          <w:sz w:val="32"/>
          <w:szCs w:val="32"/>
          <w:lang w:bidi="ar"/>
        </w:rPr>
        <w:t>六、其他需要报告的事项</w:t>
      </w:r>
      <w:r>
        <w:rPr>
          <w:rFonts w:ascii="Times New Roman" w:hAnsi="Times New Roman" w:eastAsia="寰蒋闆呴粦" w:cs="Times New Roman"/>
          <w:color w:val="404040"/>
          <w:sz w:val="24"/>
          <w:shd w:val="clear" w:color="auto" w:fill="FFFFFF"/>
        </w:rPr>
        <w:t> </w:t>
      </w:r>
    </w:p>
    <w:p>
      <w:pPr>
        <w:widowControl/>
        <w:spacing w:line="560" w:lineRule="atLeast"/>
        <w:ind w:firstLine="675"/>
        <w:jc w:val="left"/>
        <w:rPr>
          <w:rFonts w:ascii="仿宋_GB2312" w:hAnsi="宋体" w:eastAsia="仿宋_GB2312" w:cs="宋体"/>
          <w:spacing w:val="8"/>
          <w:kern w:val="0"/>
          <w:sz w:val="32"/>
          <w:szCs w:val="32"/>
          <w:highlight w:val="yellow"/>
          <w:lang w:bidi="ar"/>
        </w:rPr>
      </w:pPr>
      <w:r>
        <w:rPr>
          <w:rFonts w:hint="eastAsia" w:ascii="仿宋_GB2312" w:hAnsi="宋体" w:eastAsia="仿宋_GB2312" w:cs="宋体"/>
          <w:spacing w:val="8"/>
          <w:kern w:val="0"/>
          <w:sz w:val="32"/>
          <w:szCs w:val="32"/>
          <w:lang w:bidi="ar"/>
        </w:rPr>
        <w:t>2024年，未收取信息处理费，发出收费通知的件数和总金额以及实际收取的总金额均为0。</w:t>
      </w:r>
      <w:r>
        <w:rPr>
          <w:rFonts w:ascii="仿宋_GB2312" w:hAnsi="宋体" w:eastAsia="仿宋_GB2312" w:cs="宋体"/>
          <w:spacing w:val="8"/>
          <w:kern w:val="0"/>
          <w:sz w:val="32"/>
          <w:szCs w:val="32"/>
          <w:lang w:bidi="ar"/>
        </w:rPr>
        <w:t> </w:t>
      </w:r>
    </w:p>
    <w:p>
      <w:pPr>
        <w:widowControl/>
        <w:spacing w:line="560" w:lineRule="atLeast"/>
        <w:ind w:firstLine="675"/>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本报告所列数据的统计期限，自2024年1月1日起至12月31日止。本报告的电子版可登录“朝阳区政府门户网站（“北京·朝阳”）http://www.bjchy.gov.cn/——政府信息公开栏目——政府信息公开年报”下载查阅。</w:t>
      </w:r>
    </w:p>
    <w:p>
      <w:pPr>
        <w:pStyle w:val="2"/>
        <w:widowControl/>
        <w:spacing w:beforeAutospacing="0" w:afterAutospacing="0" w:line="560" w:lineRule="atLeast"/>
        <w:jc w:val="center"/>
        <w:rPr>
          <w:color w:val="404040"/>
        </w:rPr>
      </w:pPr>
      <w:r>
        <w:rPr>
          <w:rFonts w:ascii="Times New Roman" w:hAnsi="Times New Roman" w:eastAsia="寰蒋闆呴粦"/>
          <w:color w:val="404040"/>
          <w:shd w:val="clear" w:color="auto" w:fill="FFFFFF"/>
        </w:rPr>
        <w:t> </w:t>
      </w:r>
    </w:p>
    <w:p>
      <w:pPr>
        <w:widowControl/>
        <w:spacing w:line="560" w:lineRule="atLeast"/>
        <w:jc w:val="center"/>
        <w:rPr>
          <w:color w:val="404040"/>
        </w:rPr>
      </w:pPr>
      <w:r>
        <w:rPr>
          <w:rFonts w:hint="eastAsia" w:ascii="仿宋_GB2312" w:hAnsi="Times New Roman" w:eastAsia="仿宋_GB2312" w:cs="仿宋_GB2312"/>
          <w:color w:val="404040"/>
          <w:spacing w:val="8"/>
          <w:kern w:val="0"/>
          <w:sz w:val="32"/>
          <w:szCs w:val="32"/>
          <w:shd w:val="clear" w:color="auto" w:fill="FFFFFF"/>
          <w:lang w:bidi="ar"/>
        </w:rPr>
        <w:t> </w:t>
      </w:r>
    </w:p>
    <w:p>
      <w:pPr>
        <w:pStyle w:val="2"/>
        <w:widowControl/>
        <w:spacing w:beforeAutospacing="0" w:afterAutospacing="0" w:line="560" w:lineRule="atLeast"/>
        <w:jc w:val="center"/>
        <w:rPr>
          <w:color w:val="404040"/>
        </w:rPr>
      </w:pPr>
      <w:r>
        <w:rPr>
          <w:rFonts w:ascii="Times New Roman" w:hAnsi="Times New Roman" w:eastAsia="寰蒋闆呴粦"/>
          <w:color w:val="404040"/>
          <w:shd w:val="clear" w:color="auto" w:fill="FFFFFF"/>
        </w:rPr>
        <w:t> </w:t>
      </w:r>
    </w:p>
    <w:p>
      <w:pPr>
        <w:pStyle w:val="2"/>
        <w:widowControl/>
        <w:spacing w:beforeAutospacing="0" w:afterAutospacing="0" w:line="560" w:lineRule="atLeast"/>
        <w:jc w:val="center"/>
        <w:rPr>
          <w:color w:val="404040"/>
        </w:rPr>
      </w:pPr>
      <w:r>
        <w:rPr>
          <w:rFonts w:ascii="寰蒋闆呴粦" w:hAnsi="寰蒋闆呴粦" w:eastAsia="寰蒋闆呴粦" w:cs="寰蒋闆呴粦"/>
          <w:color w:val="404040"/>
          <w:shd w:val="clear" w:color="auto" w:fill="FFFFFF"/>
        </w:rPr>
        <w:t> </w:t>
      </w:r>
    </w:p>
    <w:p>
      <w:pPr>
        <w:widowControl/>
        <w:shd w:val="clear" w:color="auto" w:fill="FFFFFF"/>
        <w:spacing w:line="560" w:lineRule="atLeast"/>
        <w:jc w:val="center"/>
      </w:pPr>
      <w:r>
        <w:rPr>
          <w:rFonts w:ascii="寰蒋闆呴粦" w:hAnsi="寰蒋闆呴粦" w:eastAsia="寰蒋闆呴粦" w:cs="寰蒋闆呴粦"/>
          <w:color w:val="404040"/>
          <w:kern w:val="0"/>
          <w:sz w:val="24"/>
          <w:shd w:val="clear" w:color="auto" w:fill="FFFFFF"/>
          <w:lang w:bidi="ar"/>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D4"/>
    <w:rsid w:val="00060191"/>
    <w:rsid w:val="000C1CF5"/>
    <w:rsid w:val="000F4C70"/>
    <w:rsid w:val="00104734"/>
    <w:rsid w:val="001731D9"/>
    <w:rsid w:val="00206355"/>
    <w:rsid w:val="002434D4"/>
    <w:rsid w:val="00257274"/>
    <w:rsid w:val="002E2374"/>
    <w:rsid w:val="002E3569"/>
    <w:rsid w:val="00310BB4"/>
    <w:rsid w:val="003F3403"/>
    <w:rsid w:val="00401143"/>
    <w:rsid w:val="00416A08"/>
    <w:rsid w:val="0043744E"/>
    <w:rsid w:val="004D6C2C"/>
    <w:rsid w:val="00527536"/>
    <w:rsid w:val="00581809"/>
    <w:rsid w:val="00586A22"/>
    <w:rsid w:val="006A3FA7"/>
    <w:rsid w:val="00714754"/>
    <w:rsid w:val="00724107"/>
    <w:rsid w:val="007346A9"/>
    <w:rsid w:val="007A0F68"/>
    <w:rsid w:val="008F0FEE"/>
    <w:rsid w:val="00A54850"/>
    <w:rsid w:val="00AC46CC"/>
    <w:rsid w:val="00B06B8C"/>
    <w:rsid w:val="00B15927"/>
    <w:rsid w:val="00B82204"/>
    <w:rsid w:val="00C95D5F"/>
    <w:rsid w:val="00CC7621"/>
    <w:rsid w:val="00D52481"/>
    <w:rsid w:val="00E07E84"/>
    <w:rsid w:val="00E755E4"/>
    <w:rsid w:val="00EA3665"/>
    <w:rsid w:val="00EF35F6"/>
    <w:rsid w:val="00FB091C"/>
    <w:rsid w:val="00FC2490"/>
    <w:rsid w:val="018E4766"/>
    <w:rsid w:val="01C664EA"/>
    <w:rsid w:val="028D4A0A"/>
    <w:rsid w:val="03F10D7F"/>
    <w:rsid w:val="04060977"/>
    <w:rsid w:val="04A86CB9"/>
    <w:rsid w:val="04BE3CF8"/>
    <w:rsid w:val="04FC6DEB"/>
    <w:rsid w:val="05DB45D0"/>
    <w:rsid w:val="060406ED"/>
    <w:rsid w:val="06A56CB1"/>
    <w:rsid w:val="06FE24A4"/>
    <w:rsid w:val="0706480F"/>
    <w:rsid w:val="07693ADC"/>
    <w:rsid w:val="07D84407"/>
    <w:rsid w:val="07D934A0"/>
    <w:rsid w:val="090749B2"/>
    <w:rsid w:val="09670DF4"/>
    <w:rsid w:val="09AA6BB4"/>
    <w:rsid w:val="0A4374C8"/>
    <w:rsid w:val="0A5E3903"/>
    <w:rsid w:val="0B7C6472"/>
    <w:rsid w:val="0BA53404"/>
    <w:rsid w:val="0C4605B3"/>
    <w:rsid w:val="0C7B22E6"/>
    <w:rsid w:val="0C84752B"/>
    <w:rsid w:val="0C8C74E9"/>
    <w:rsid w:val="0D190240"/>
    <w:rsid w:val="0D23111F"/>
    <w:rsid w:val="0D471A21"/>
    <w:rsid w:val="0DDB2361"/>
    <w:rsid w:val="0DF274FF"/>
    <w:rsid w:val="0E0A0832"/>
    <w:rsid w:val="0EBE1139"/>
    <w:rsid w:val="0EDC70F5"/>
    <w:rsid w:val="0EF14E3F"/>
    <w:rsid w:val="0F5B3E03"/>
    <w:rsid w:val="0F7419A0"/>
    <w:rsid w:val="104265B8"/>
    <w:rsid w:val="106C0E42"/>
    <w:rsid w:val="10DA06A7"/>
    <w:rsid w:val="10EC62A4"/>
    <w:rsid w:val="10FE368E"/>
    <w:rsid w:val="118F1BD8"/>
    <w:rsid w:val="11B252AF"/>
    <w:rsid w:val="11D176D6"/>
    <w:rsid w:val="120B5E8A"/>
    <w:rsid w:val="12E7797F"/>
    <w:rsid w:val="12F00C3B"/>
    <w:rsid w:val="131E631B"/>
    <w:rsid w:val="134E3B00"/>
    <w:rsid w:val="13824A7B"/>
    <w:rsid w:val="139954D3"/>
    <w:rsid w:val="14706D21"/>
    <w:rsid w:val="14F33CFE"/>
    <w:rsid w:val="153656A1"/>
    <w:rsid w:val="15C03693"/>
    <w:rsid w:val="16791277"/>
    <w:rsid w:val="16843A29"/>
    <w:rsid w:val="16F820F9"/>
    <w:rsid w:val="17424A94"/>
    <w:rsid w:val="175E1B22"/>
    <w:rsid w:val="17D331A5"/>
    <w:rsid w:val="188D742C"/>
    <w:rsid w:val="1934079C"/>
    <w:rsid w:val="19683BD7"/>
    <w:rsid w:val="19866A79"/>
    <w:rsid w:val="1A6D5CF1"/>
    <w:rsid w:val="1AC36D4B"/>
    <w:rsid w:val="1AF464FD"/>
    <w:rsid w:val="1B6C4CD7"/>
    <w:rsid w:val="1BAF0FE5"/>
    <w:rsid w:val="1BD8180C"/>
    <w:rsid w:val="1C6230D2"/>
    <w:rsid w:val="1DDF4CC4"/>
    <w:rsid w:val="1E4B017E"/>
    <w:rsid w:val="1F26552F"/>
    <w:rsid w:val="1F9961D8"/>
    <w:rsid w:val="1F9C79E3"/>
    <w:rsid w:val="1FBA14B3"/>
    <w:rsid w:val="200A4EA9"/>
    <w:rsid w:val="209303DB"/>
    <w:rsid w:val="21A80D66"/>
    <w:rsid w:val="21C9512C"/>
    <w:rsid w:val="23341AD7"/>
    <w:rsid w:val="233F3031"/>
    <w:rsid w:val="23571659"/>
    <w:rsid w:val="23AF7462"/>
    <w:rsid w:val="23C12A14"/>
    <w:rsid w:val="23E0239A"/>
    <w:rsid w:val="2442433F"/>
    <w:rsid w:val="24A53D67"/>
    <w:rsid w:val="24D25313"/>
    <w:rsid w:val="24DE6356"/>
    <w:rsid w:val="25270A34"/>
    <w:rsid w:val="253107BC"/>
    <w:rsid w:val="255B6A63"/>
    <w:rsid w:val="26565B4E"/>
    <w:rsid w:val="265D790A"/>
    <w:rsid w:val="26D12F9D"/>
    <w:rsid w:val="26D84907"/>
    <w:rsid w:val="2722702F"/>
    <w:rsid w:val="27356F4C"/>
    <w:rsid w:val="276462C6"/>
    <w:rsid w:val="280F09D1"/>
    <w:rsid w:val="280F3AB6"/>
    <w:rsid w:val="281F6450"/>
    <w:rsid w:val="28412601"/>
    <w:rsid w:val="28572DE8"/>
    <w:rsid w:val="28BD3DA3"/>
    <w:rsid w:val="28D24320"/>
    <w:rsid w:val="293028AD"/>
    <w:rsid w:val="29A263A6"/>
    <w:rsid w:val="29DA6CAD"/>
    <w:rsid w:val="2A65060C"/>
    <w:rsid w:val="2A6B6185"/>
    <w:rsid w:val="2AF61C38"/>
    <w:rsid w:val="2B0343DA"/>
    <w:rsid w:val="2B2C0973"/>
    <w:rsid w:val="2BDD2697"/>
    <w:rsid w:val="2C003913"/>
    <w:rsid w:val="2C7358A8"/>
    <w:rsid w:val="2D422C55"/>
    <w:rsid w:val="2DD578F0"/>
    <w:rsid w:val="2DEA7643"/>
    <w:rsid w:val="2E690B64"/>
    <w:rsid w:val="2E6B09CF"/>
    <w:rsid w:val="2E830A37"/>
    <w:rsid w:val="2EB01E65"/>
    <w:rsid w:val="2ED4545C"/>
    <w:rsid w:val="2F602773"/>
    <w:rsid w:val="2F7C1D98"/>
    <w:rsid w:val="305A1286"/>
    <w:rsid w:val="30DD2F1D"/>
    <w:rsid w:val="30FE21D3"/>
    <w:rsid w:val="3182737F"/>
    <w:rsid w:val="326B4B50"/>
    <w:rsid w:val="328B6664"/>
    <w:rsid w:val="341C1EDD"/>
    <w:rsid w:val="34312981"/>
    <w:rsid w:val="348A6668"/>
    <w:rsid w:val="353C1D3D"/>
    <w:rsid w:val="35BB56C2"/>
    <w:rsid w:val="36024A8F"/>
    <w:rsid w:val="36C21A36"/>
    <w:rsid w:val="36D20DDD"/>
    <w:rsid w:val="3729014A"/>
    <w:rsid w:val="374A7BBA"/>
    <w:rsid w:val="37BD7787"/>
    <w:rsid w:val="37D82E43"/>
    <w:rsid w:val="380A3C56"/>
    <w:rsid w:val="38272B6D"/>
    <w:rsid w:val="392E5373"/>
    <w:rsid w:val="397A20F0"/>
    <w:rsid w:val="39BA0AC4"/>
    <w:rsid w:val="39CF1F9D"/>
    <w:rsid w:val="39E951E1"/>
    <w:rsid w:val="3A220405"/>
    <w:rsid w:val="3A3B38C3"/>
    <w:rsid w:val="3B80043F"/>
    <w:rsid w:val="3B9560C7"/>
    <w:rsid w:val="3C4E6565"/>
    <w:rsid w:val="3C547C6D"/>
    <w:rsid w:val="3C5D4421"/>
    <w:rsid w:val="3C934B36"/>
    <w:rsid w:val="3D2D47FD"/>
    <w:rsid w:val="3D38331F"/>
    <w:rsid w:val="3D560CA0"/>
    <w:rsid w:val="3D5C13A6"/>
    <w:rsid w:val="3DE6603E"/>
    <w:rsid w:val="3EA77631"/>
    <w:rsid w:val="3EAD4ED7"/>
    <w:rsid w:val="3EF56B04"/>
    <w:rsid w:val="3F6D6FDB"/>
    <w:rsid w:val="3FAB1426"/>
    <w:rsid w:val="3FB20F3D"/>
    <w:rsid w:val="403D63CE"/>
    <w:rsid w:val="407F4ABB"/>
    <w:rsid w:val="40A065D4"/>
    <w:rsid w:val="40A94D7C"/>
    <w:rsid w:val="40C65E0D"/>
    <w:rsid w:val="413355C7"/>
    <w:rsid w:val="42A210D4"/>
    <w:rsid w:val="42DA4547"/>
    <w:rsid w:val="42FC1997"/>
    <w:rsid w:val="432740B7"/>
    <w:rsid w:val="43F079EC"/>
    <w:rsid w:val="46316AD7"/>
    <w:rsid w:val="46A573D2"/>
    <w:rsid w:val="46BD1038"/>
    <w:rsid w:val="46F02D97"/>
    <w:rsid w:val="4728230A"/>
    <w:rsid w:val="4779732C"/>
    <w:rsid w:val="47B96436"/>
    <w:rsid w:val="47E70138"/>
    <w:rsid w:val="485C412B"/>
    <w:rsid w:val="49464C80"/>
    <w:rsid w:val="4A886C7E"/>
    <w:rsid w:val="4AE87CC9"/>
    <w:rsid w:val="4B0961A9"/>
    <w:rsid w:val="4B1A7B7C"/>
    <w:rsid w:val="4B422DF2"/>
    <w:rsid w:val="4B5C6B43"/>
    <w:rsid w:val="4BC5117A"/>
    <w:rsid w:val="4CB90B1E"/>
    <w:rsid w:val="4CEE6138"/>
    <w:rsid w:val="4D0E30BB"/>
    <w:rsid w:val="4D5D24F4"/>
    <w:rsid w:val="4DA62DAA"/>
    <w:rsid w:val="4E010062"/>
    <w:rsid w:val="4E127FA2"/>
    <w:rsid w:val="4E513C9C"/>
    <w:rsid w:val="4E6E0725"/>
    <w:rsid w:val="4EC6219A"/>
    <w:rsid w:val="4F3929DF"/>
    <w:rsid w:val="4FCA2C34"/>
    <w:rsid w:val="4FDB5010"/>
    <w:rsid w:val="4FF4783A"/>
    <w:rsid w:val="503C7837"/>
    <w:rsid w:val="50881C1C"/>
    <w:rsid w:val="50B9791F"/>
    <w:rsid w:val="51717E03"/>
    <w:rsid w:val="51795C26"/>
    <w:rsid w:val="51887C77"/>
    <w:rsid w:val="51C83F3F"/>
    <w:rsid w:val="51D637C8"/>
    <w:rsid w:val="51EC4755"/>
    <w:rsid w:val="51F047FC"/>
    <w:rsid w:val="52236047"/>
    <w:rsid w:val="52777CD9"/>
    <w:rsid w:val="52E13E70"/>
    <w:rsid w:val="52E3624D"/>
    <w:rsid w:val="52FA2B9B"/>
    <w:rsid w:val="53712FA5"/>
    <w:rsid w:val="540D200A"/>
    <w:rsid w:val="54325AF1"/>
    <w:rsid w:val="54E557E2"/>
    <w:rsid w:val="555601A6"/>
    <w:rsid w:val="558F30D4"/>
    <w:rsid w:val="55B64E0A"/>
    <w:rsid w:val="55C31CBC"/>
    <w:rsid w:val="56912A48"/>
    <w:rsid w:val="57536006"/>
    <w:rsid w:val="57834EF0"/>
    <w:rsid w:val="57BF7B87"/>
    <w:rsid w:val="57D73E5B"/>
    <w:rsid w:val="583E57B2"/>
    <w:rsid w:val="586050AD"/>
    <w:rsid w:val="58961B9F"/>
    <w:rsid w:val="58DD057D"/>
    <w:rsid w:val="58E82CB6"/>
    <w:rsid w:val="59656E32"/>
    <w:rsid w:val="599B4C5C"/>
    <w:rsid w:val="59F636AD"/>
    <w:rsid w:val="5A4549C1"/>
    <w:rsid w:val="5A773595"/>
    <w:rsid w:val="5ACE4C8E"/>
    <w:rsid w:val="5AEB2C68"/>
    <w:rsid w:val="5B5B4D1F"/>
    <w:rsid w:val="5B765245"/>
    <w:rsid w:val="5B7D71DA"/>
    <w:rsid w:val="5C3B067A"/>
    <w:rsid w:val="5C5A7099"/>
    <w:rsid w:val="5CF2567B"/>
    <w:rsid w:val="5DB30F1B"/>
    <w:rsid w:val="5DCE5C23"/>
    <w:rsid w:val="5E27346D"/>
    <w:rsid w:val="5F083920"/>
    <w:rsid w:val="5F203244"/>
    <w:rsid w:val="5F5D0D93"/>
    <w:rsid w:val="5F730EBB"/>
    <w:rsid w:val="605319E9"/>
    <w:rsid w:val="6087425B"/>
    <w:rsid w:val="60EA4B03"/>
    <w:rsid w:val="6110201F"/>
    <w:rsid w:val="61115439"/>
    <w:rsid w:val="61231158"/>
    <w:rsid w:val="61773A9E"/>
    <w:rsid w:val="619839E9"/>
    <w:rsid w:val="619C6C49"/>
    <w:rsid w:val="61DD09B9"/>
    <w:rsid w:val="625613C7"/>
    <w:rsid w:val="62B557AE"/>
    <w:rsid w:val="63C60346"/>
    <w:rsid w:val="640412C4"/>
    <w:rsid w:val="644F4A2A"/>
    <w:rsid w:val="646952C9"/>
    <w:rsid w:val="64D65A1F"/>
    <w:rsid w:val="64EF5B12"/>
    <w:rsid w:val="656662AF"/>
    <w:rsid w:val="65973438"/>
    <w:rsid w:val="66036024"/>
    <w:rsid w:val="66BF2F5C"/>
    <w:rsid w:val="672912C5"/>
    <w:rsid w:val="67307A60"/>
    <w:rsid w:val="674F36B5"/>
    <w:rsid w:val="67950D06"/>
    <w:rsid w:val="6795400D"/>
    <w:rsid w:val="67AF7E48"/>
    <w:rsid w:val="680073F0"/>
    <w:rsid w:val="68595C89"/>
    <w:rsid w:val="6862115A"/>
    <w:rsid w:val="68B72D7C"/>
    <w:rsid w:val="69EB5C9F"/>
    <w:rsid w:val="6A8B34B6"/>
    <w:rsid w:val="6B8C28AD"/>
    <w:rsid w:val="6BA50F9C"/>
    <w:rsid w:val="6C53345F"/>
    <w:rsid w:val="6C6A7E6F"/>
    <w:rsid w:val="6D6069E1"/>
    <w:rsid w:val="6D920BAA"/>
    <w:rsid w:val="6D98692A"/>
    <w:rsid w:val="6DD109B9"/>
    <w:rsid w:val="6DE61D99"/>
    <w:rsid w:val="6DF074F2"/>
    <w:rsid w:val="6DFB0306"/>
    <w:rsid w:val="6E58114B"/>
    <w:rsid w:val="6EC32241"/>
    <w:rsid w:val="700038CF"/>
    <w:rsid w:val="70BC5C08"/>
    <w:rsid w:val="70C100CB"/>
    <w:rsid w:val="71402DBB"/>
    <w:rsid w:val="725500CA"/>
    <w:rsid w:val="732A5F4B"/>
    <w:rsid w:val="73765C8B"/>
    <w:rsid w:val="73C74857"/>
    <w:rsid w:val="74B853F8"/>
    <w:rsid w:val="753A777E"/>
    <w:rsid w:val="76795917"/>
    <w:rsid w:val="772F2B4D"/>
    <w:rsid w:val="778757E3"/>
    <w:rsid w:val="77CE529E"/>
    <w:rsid w:val="77CE7519"/>
    <w:rsid w:val="78A67CD6"/>
    <w:rsid w:val="79F05086"/>
    <w:rsid w:val="7A506FF7"/>
    <w:rsid w:val="7A711DFB"/>
    <w:rsid w:val="7A7F1136"/>
    <w:rsid w:val="7A82510E"/>
    <w:rsid w:val="7B2B1CE4"/>
    <w:rsid w:val="7B6312D6"/>
    <w:rsid w:val="7B89436F"/>
    <w:rsid w:val="7CD36855"/>
    <w:rsid w:val="7CDB59EA"/>
    <w:rsid w:val="7DBB016F"/>
    <w:rsid w:val="7F191127"/>
    <w:rsid w:val="7F412430"/>
    <w:rsid w:val="7F611E26"/>
    <w:rsid w:val="7FAE5194"/>
    <w:rsid w:val="7FE95601"/>
    <w:rsid w:val="7FEC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458</Words>
  <Characters>2612</Characters>
  <Lines>21</Lines>
  <Paragraphs>6</Paragraphs>
  <TotalTime>240</TotalTime>
  <ScaleCrop>false</ScaleCrop>
  <LinksUpToDate>false</LinksUpToDate>
  <CharactersWithSpaces>3064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2023-07-19T06:29:00Z</dcterms:created>
  <dc:creator>wl</dc:creator>
  <cp:lastModifiedBy>Administrator</cp:lastModifiedBy>
  <cp:lastPrinted>2024-01-08T03:25:00Z</cp:lastPrinted>
  <dcterms:modified xsi:type="dcterms:W3CDTF">2025-01-14T09:28:33Z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