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3E9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2</w:t>
      </w:r>
      <w:bookmarkStart w:id="14" w:name="_GoBack"/>
      <w:bookmarkEnd w:id="14"/>
    </w:p>
    <w:p w14:paraId="48F462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项目支出绩效评价报告</w:t>
      </w:r>
    </w:p>
    <w:p w14:paraId="0C7002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仿宋_GB2312" w:eastAsia="仿宋_GB2312"/>
          <w:sz w:val="32"/>
          <w:szCs w:val="32"/>
        </w:rPr>
      </w:pPr>
    </w:p>
    <w:p w14:paraId="12740F7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基本情况</w:t>
      </w:r>
    </w:p>
    <w:p w14:paraId="3FD1095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14:paraId="2FC9273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项目名称：2024年农村地区</w:t>
      </w:r>
      <w:bookmarkStart w:id="0" w:name="OLE_LINK1"/>
      <w:r>
        <w:rPr>
          <w:rFonts w:hint="default" w:ascii="Times New Roman" w:hAnsi="Times New Roman" w:eastAsia="仿宋_GB2312" w:cs="Times New Roman"/>
          <w:sz w:val="32"/>
          <w:szCs w:val="32"/>
          <w:lang w:val="en-US" w:eastAsia="zh-CN"/>
        </w:rPr>
        <w:t>为民办实事-老旧小区基础设施修缮项目</w:t>
      </w:r>
    </w:p>
    <w:bookmarkEnd w:id="0"/>
    <w:p w14:paraId="2E8D401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项目单位：北京市朝阳区来广营乡人民政府（以下简称来广营乡政府）</w:t>
      </w:r>
    </w:p>
    <w:p w14:paraId="632FD9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项目背景</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本项目为规范农村地区为民办实事项目，充分调动群众参与基层民主建设，规范办实事工作要求，优化社区发展环境，区农业农村局拟定了《关于进一步规范农村地区为民解忧办实事工作方案》（朝政农发〔2020〕28号）（以下简称“为民办实事工作方案”），为民办实事项目结合党政群共商共治三级议事协商的工作要求进行选取落实。</w:t>
      </w:r>
    </w:p>
    <w:p w14:paraId="1EAB59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主要内容</w:t>
      </w:r>
      <w:r>
        <w:rPr>
          <w:rFonts w:hint="eastAsia" w:eastAsia="仿宋_GB2312" w:cs="Times New Roman"/>
          <w:sz w:val="32"/>
          <w:szCs w:val="32"/>
          <w:lang w:eastAsia="zh-CN"/>
        </w:rPr>
        <w:t>：</w:t>
      </w:r>
      <w:r>
        <w:rPr>
          <w:rFonts w:hint="eastAsia" w:eastAsia="仿宋_GB2312" w:cs="Times New Roman"/>
          <w:sz w:val="32"/>
          <w:szCs w:val="32"/>
          <w:lang w:val="en-US" w:eastAsia="zh-CN"/>
        </w:rPr>
        <w:t>项目结合实际情况申报地区级议事协商项目。地区级议事协商项目主要选取基础比较薄弱的老旧小区，实施小区更新改造，结合居民需求，围绕精细化管理、环境治理、公共设施、社区治理等方面，注重统筹、整合和集成，梳理并设计形成系统性项目。</w:t>
      </w:r>
    </w:p>
    <w:p w14:paraId="7491F1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实施情况、资金投入和使用情况</w:t>
      </w:r>
    </w:p>
    <w:p w14:paraId="6BDFE6AA">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outlineLvl w:val="0"/>
        <w:rPr>
          <w:rFonts w:hint="eastAsia" w:ascii="仿宋_GB2312" w:hAnsi="仿宋_GB2312" w:eastAsia="仿宋_GB2312" w:cs="仿宋_GB2312"/>
          <w:sz w:val="32"/>
          <w:szCs w:val="32"/>
          <w:lang w:eastAsia="zh-CN"/>
        </w:rPr>
      </w:pPr>
      <w:r>
        <w:rPr>
          <w:rFonts w:hint="eastAsia" w:eastAsia="仿宋_GB2312" w:cs="Times New Roman"/>
          <w:sz w:val="32"/>
          <w:szCs w:val="32"/>
          <w:lang w:val="en-US" w:eastAsia="zh-CN"/>
        </w:rPr>
        <w:t>按照《关于进一步规范农村地区为民解忧办实事工作方案》文件要求，对于老旧小区进行改造修缮。</w:t>
      </w:r>
      <w:r>
        <w:rPr>
          <w:rFonts w:hint="eastAsia" w:ascii="Times New Roman" w:hAnsi="Times New Roman" w:eastAsia="仿宋_GB2312" w:cs="Times New Roman"/>
          <w:sz w:val="32"/>
          <w:szCs w:val="32"/>
        </w:rPr>
        <w:t>资金使用符合预算安排，确保各项</w:t>
      </w:r>
      <w:r>
        <w:rPr>
          <w:rFonts w:hint="eastAsia" w:eastAsia="仿宋_GB2312" w:cs="Times New Roman"/>
          <w:sz w:val="32"/>
          <w:szCs w:val="32"/>
          <w:lang w:val="en-US" w:eastAsia="zh-CN"/>
        </w:rPr>
        <w:t>工程</w:t>
      </w:r>
      <w:r>
        <w:rPr>
          <w:rFonts w:hint="eastAsia" w:ascii="Times New Roman" w:hAnsi="Times New Roman" w:eastAsia="仿宋_GB2312" w:cs="Times New Roman"/>
          <w:sz w:val="32"/>
          <w:szCs w:val="32"/>
        </w:rPr>
        <w:t>的顺利进行</w:t>
      </w:r>
      <w:r>
        <w:rPr>
          <w:rFonts w:hint="eastAsia" w:eastAsia="仿宋_GB2312" w:cs="Times New Roman"/>
          <w:sz w:val="32"/>
          <w:szCs w:val="32"/>
          <w:lang w:eastAsia="zh-CN"/>
        </w:rPr>
        <w:t>，</w:t>
      </w:r>
      <w:bookmarkStart w:id="1" w:name="OLE_LINK2"/>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年实际支出金额为</w:t>
      </w:r>
      <w:r>
        <w:rPr>
          <w:rFonts w:hint="eastAsia" w:eastAsia="仿宋_GB2312" w:cs="Times New Roman"/>
          <w:color w:val="auto"/>
          <w:sz w:val="32"/>
          <w:szCs w:val="32"/>
          <w:lang w:val="en-US" w:eastAsia="zh-CN"/>
        </w:rPr>
        <w:t>66.649016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bookmarkEnd w:id="1"/>
    <w:p w14:paraId="276BA81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1E38AD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总体目标：确保办实事项目落到实处，切实解决居民急难愁盼问题，持续提升老旧小区生活环境。</w:t>
      </w:r>
    </w:p>
    <w:p w14:paraId="59022A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阶段性目标：确保为民办实事工程有序开展。</w:t>
      </w:r>
    </w:p>
    <w:p w14:paraId="778769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14:paraId="765710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7DB76B9B">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1.评价目的</w:t>
      </w:r>
    </w:p>
    <w:p w14:paraId="55210627">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项目在于明确评价对工程质量、进度、成本等方面的促进作用。从提升效率、保障成果、规范管理等角度构思</w:t>
      </w:r>
      <w:r>
        <w:rPr>
          <w:rFonts w:hint="eastAsia" w:ascii="仿宋_GB2312" w:hAnsi="仿宋" w:eastAsia="仿宋_GB2312"/>
          <w:sz w:val="32"/>
          <w:szCs w:val="32"/>
          <w:lang w:eastAsia="zh-CN"/>
        </w:rPr>
        <w:t>。</w:t>
      </w:r>
    </w:p>
    <w:p w14:paraId="3F72CC98">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2.评价对象</w:t>
      </w:r>
    </w:p>
    <w:p w14:paraId="7EC231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 w:eastAsia="仿宋_GB2312"/>
          <w:color w:val="auto"/>
          <w:sz w:val="32"/>
          <w:szCs w:val="32"/>
        </w:rPr>
        <w:t>本次绩效评价的对象</w:t>
      </w:r>
      <w:r>
        <w:rPr>
          <w:rFonts w:hint="eastAsia" w:ascii="仿宋_GB2312" w:hAnsi="仿宋" w:eastAsia="仿宋_GB2312"/>
          <w:color w:val="auto"/>
          <w:sz w:val="32"/>
          <w:szCs w:val="32"/>
          <w:lang w:eastAsia="zh-CN"/>
        </w:rPr>
        <w:t>是</w:t>
      </w:r>
      <w:r>
        <w:rPr>
          <w:rFonts w:hint="default" w:ascii="Times New Roman" w:hAnsi="Times New Roman" w:eastAsia="仿宋_GB2312" w:cs="Times New Roman"/>
          <w:color w:val="auto"/>
          <w:sz w:val="32"/>
          <w:szCs w:val="32"/>
          <w:lang w:val="en-US" w:eastAsia="zh-CN"/>
        </w:rPr>
        <w:t>老旧小区基础设施修缮</w:t>
      </w:r>
      <w:r>
        <w:rPr>
          <w:rFonts w:hint="eastAsia" w:eastAsia="仿宋_GB2312" w:cs="Times New Roman"/>
          <w:color w:val="auto"/>
          <w:sz w:val="32"/>
          <w:szCs w:val="32"/>
          <w:lang w:val="en-US" w:eastAsia="zh-CN"/>
        </w:rPr>
        <w:t>内容和办实事经费使用质效。</w:t>
      </w:r>
    </w:p>
    <w:p w14:paraId="4483E54C">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14:paraId="2FC15EB2">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eastAsia" w:ascii="楷体_GB2312" w:hAnsi="楷体_GB2312" w:eastAsia="楷体_GB2312" w:cs="楷体_GB2312"/>
          <w:sz w:val="32"/>
          <w:szCs w:val="32"/>
        </w:rPr>
      </w:pPr>
      <w:r>
        <w:rPr>
          <w:rFonts w:hint="eastAsia" w:ascii="仿宋_GB2312" w:hAnsi="仿宋" w:eastAsia="仿宋_GB2312"/>
          <w:sz w:val="32"/>
          <w:szCs w:val="32"/>
        </w:rPr>
        <w:t>本次绩效评价的范围是：绩效目标与工作方案的适应性；</w:t>
      </w:r>
      <w:r>
        <w:rPr>
          <w:rFonts w:hint="eastAsia" w:ascii="仿宋_GB2312" w:hAnsi="仿宋" w:eastAsia="仿宋_GB2312"/>
          <w:sz w:val="32"/>
          <w:szCs w:val="32"/>
          <w:lang w:val="en-US" w:eastAsia="zh-CN"/>
        </w:rPr>
        <w:t>工程进度完成</w:t>
      </w:r>
      <w:r>
        <w:rPr>
          <w:rFonts w:hint="eastAsia" w:ascii="仿宋_GB2312" w:hAnsi="仿宋" w:eastAsia="仿宋_GB2312"/>
          <w:sz w:val="32"/>
          <w:szCs w:val="32"/>
        </w:rPr>
        <w:t>状况；绩效目标的实现程度，包括是否达到预定效果等需要评价的其他内容。</w:t>
      </w:r>
    </w:p>
    <w:p w14:paraId="33F96A4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绩效评价原则、评价指标体系、评价方法、评价标准</w:t>
      </w:r>
    </w:p>
    <w:p w14:paraId="29F80822">
      <w:pPr>
        <w:keepNext w:val="0"/>
        <w:keepLines w:val="0"/>
        <w:pageBreakBefore w:val="0"/>
        <w:numPr>
          <w:ilvl w:val="0"/>
          <w:numId w:val="6"/>
        </w:numPr>
        <w:kinsoku/>
        <w:wordWrap/>
        <w:overflowPunct/>
        <w:topLinePunct w:val="0"/>
        <w:autoSpaceDE/>
        <w:autoSpaceDN/>
        <w:bidi w:val="0"/>
        <w:adjustRightInd/>
        <w:snapToGrid w:val="0"/>
        <w:spacing w:line="560" w:lineRule="exact"/>
        <w:ind w:right="0" w:rightChars="0"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w:t>
      </w:r>
    </w:p>
    <w:p w14:paraId="346EC714">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科学规范原则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绩效评价严格执行规定的程序，按照科学可行的要求，采用定量与定性分析相结合的方法。</w:t>
      </w:r>
    </w:p>
    <w:p w14:paraId="3AF9ED43">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hAnsi="仿宋" w:eastAsia="仿宋_GB2312"/>
          <w:sz w:val="32"/>
          <w:szCs w:val="32"/>
        </w:rPr>
      </w:pPr>
      <w:r>
        <w:rPr>
          <w:rFonts w:hint="eastAsia" w:ascii="仿宋_GB2312" w:hAnsi="仿宋" w:eastAsia="仿宋_GB2312"/>
          <w:sz w:val="32"/>
          <w:szCs w:val="32"/>
        </w:rPr>
        <w:t>公正公开原则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绩效评价符合真实、客观、公正的要求，依法公开并接受监督。</w:t>
      </w:r>
    </w:p>
    <w:p w14:paraId="25EC75EE">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hAnsi="仿宋" w:eastAsia="仿宋_GB2312"/>
          <w:sz w:val="32"/>
          <w:szCs w:val="32"/>
        </w:rPr>
      </w:pPr>
      <w:r>
        <w:rPr>
          <w:rFonts w:hint="eastAsia" w:ascii="仿宋_GB2312" w:hAnsi="仿宋" w:eastAsia="仿宋_GB2312"/>
          <w:sz w:val="32"/>
          <w:szCs w:val="32"/>
        </w:rPr>
        <w:t>分级分类原则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绩效评价由</w:t>
      </w:r>
      <w:r>
        <w:rPr>
          <w:rFonts w:hint="eastAsia" w:ascii="仿宋_GB2312" w:hAnsi="仿宋" w:eastAsia="仿宋_GB2312"/>
          <w:sz w:val="32"/>
          <w:szCs w:val="32"/>
          <w:lang w:val="en-US" w:eastAsia="zh-CN"/>
        </w:rPr>
        <w:t>第三方结算评审公司实施</w:t>
      </w:r>
      <w:r>
        <w:rPr>
          <w:rFonts w:hint="eastAsia" w:ascii="仿宋_GB2312" w:hAnsi="仿宋" w:eastAsia="仿宋_GB2312"/>
          <w:sz w:val="32"/>
          <w:szCs w:val="32"/>
        </w:rPr>
        <w:t>。</w:t>
      </w:r>
    </w:p>
    <w:p w14:paraId="4096423C">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hAnsi="仿宋" w:eastAsia="仿宋_GB2312"/>
          <w:sz w:val="32"/>
          <w:szCs w:val="32"/>
        </w:rPr>
      </w:pPr>
      <w:r>
        <w:rPr>
          <w:rFonts w:hint="eastAsia" w:ascii="仿宋_GB2312" w:hAnsi="仿宋" w:eastAsia="仿宋_GB2312"/>
          <w:sz w:val="32"/>
          <w:szCs w:val="32"/>
        </w:rPr>
        <w:t>绩效相关原则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绩效评价针对</w:t>
      </w:r>
      <w:r>
        <w:rPr>
          <w:rFonts w:hint="eastAsia" w:ascii="仿宋_GB2312" w:hAnsi="仿宋" w:eastAsia="仿宋_GB2312"/>
          <w:sz w:val="32"/>
          <w:szCs w:val="32"/>
          <w:lang w:val="en-US" w:eastAsia="zh-CN"/>
        </w:rPr>
        <w:t>工程质量及工期进行</w:t>
      </w:r>
      <w:r>
        <w:rPr>
          <w:rFonts w:hint="eastAsia" w:ascii="仿宋_GB2312" w:hAnsi="仿宋" w:eastAsia="仿宋_GB2312"/>
          <w:sz w:val="32"/>
          <w:szCs w:val="32"/>
        </w:rPr>
        <w:t>，结果清晰反映产出和绩效之间的紧密对应关系。</w:t>
      </w:r>
    </w:p>
    <w:p w14:paraId="075001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2.评价指标体系：包括产出指标、质量指标、时效指标、成本指标和社会效益指标。</w:t>
      </w:r>
    </w:p>
    <w:p w14:paraId="151BAE5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14:paraId="49BCDDB6">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仿宋_GB2312" w:hAnsi="楷体_GB2312" w:eastAsia="仿宋_GB2312" w:cs="楷体_GB2312"/>
          <w:sz w:val="32"/>
          <w:szCs w:val="32"/>
          <w:lang w:val="en-US" w:eastAsia="zh-CN"/>
        </w:rPr>
      </w:pPr>
      <w:r>
        <w:rPr>
          <w:rFonts w:hint="eastAsia" w:ascii="仿宋_GB2312" w:hAnsi="仿宋" w:eastAsia="仿宋_GB2312"/>
          <w:sz w:val="32"/>
          <w:szCs w:val="32"/>
          <w:lang w:val="en-US" w:eastAsia="zh-CN"/>
        </w:rPr>
        <w:t>根据实际施工现场查验，确保施工工程按时、保质、安全、高效完成。</w:t>
      </w:r>
    </w:p>
    <w:p w14:paraId="07C7F26A">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综合评价情况及评价结论</w:t>
      </w:r>
      <w:r>
        <w:rPr>
          <w:rFonts w:hint="eastAsia" w:ascii="黑体" w:hAnsi="黑体" w:eastAsia="黑体" w:cs="黑体"/>
          <w:sz w:val="32"/>
          <w:szCs w:val="32"/>
          <w:lang w:val="en-US" w:eastAsia="zh-CN"/>
        </w:rPr>
        <w:t xml:space="preserve"> </w:t>
      </w:r>
    </w:p>
    <w:p w14:paraId="3F4A857E">
      <w:pPr>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该项目总体绩效目标比较明确，绩效指标设定基本清晰、合理；</w:t>
      </w:r>
      <w:r>
        <w:rPr>
          <w:rFonts w:hint="eastAsia" w:ascii="仿宋_GB2312" w:hAnsi="仿宋" w:eastAsia="仿宋_GB2312"/>
          <w:sz w:val="32"/>
          <w:szCs w:val="32"/>
          <w:lang w:val="en-US" w:eastAsia="zh-CN"/>
        </w:rPr>
        <w:t>使该工程整体达到预期。</w:t>
      </w:r>
    </w:p>
    <w:p w14:paraId="3EDD461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绩效评价指标分析</w:t>
      </w:r>
      <w:r>
        <w:rPr>
          <w:rFonts w:hint="eastAsia" w:ascii="黑体" w:hAnsi="黑体" w:eastAsia="黑体" w:cs="黑体"/>
          <w:sz w:val="32"/>
          <w:szCs w:val="32"/>
          <w:lang w:val="en-US" w:eastAsia="zh-CN"/>
        </w:rPr>
        <w:t xml:space="preserve"> </w:t>
      </w:r>
    </w:p>
    <w:p w14:paraId="19526A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（一）项目决策情况</w:t>
      </w:r>
    </w:p>
    <w:p w14:paraId="1A3B5FFC">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sz w:val="32"/>
          <w:szCs w:val="32"/>
        </w:rPr>
      </w:pPr>
      <w:bookmarkStart w:id="2" w:name="_Toc462125903"/>
      <w:bookmarkStart w:id="3" w:name="_Toc40971717"/>
      <w:r>
        <w:rPr>
          <w:rFonts w:hint="eastAsia" w:ascii="仿宋_GB2312" w:eastAsia="仿宋_GB2312"/>
          <w:bCs/>
          <w:sz w:val="32"/>
          <w:szCs w:val="32"/>
        </w:rPr>
        <w:t>1.目标明确性分析</w:t>
      </w:r>
      <w:bookmarkEnd w:id="2"/>
      <w:bookmarkEnd w:id="3"/>
    </w:p>
    <w:p w14:paraId="4A8400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bookmarkStart w:id="4"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w:t>
      </w:r>
      <w:bookmarkEnd w:id="4"/>
      <w:bookmarkStart w:id="5" w:name="_Toc462125904"/>
      <w:bookmarkStart w:id="6" w:name="_Toc40971719"/>
      <w:r>
        <w:rPr>
          <w:rFonts w:hint="eastAsia" w:eastAsia="仿宋_GB2312" w:cs="Times New Roman"/>
          <w:sz w:val="32"/>
          <w:szCs w:val="32"/>
          <w:lang w:val="en-US" w:eastAsia="zh-CN"/>
        </w:rPr>
        <w:t>符合政策要求和实际需求。</w:t>
      </w:r>
    </w:p>
    <w:p w14:paraId="6F7764DF">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sz w:val="32"/>
          <w:szCs w:val="32"/>
        </w:rPr>
      </w:pPr>
      <w:r>
        <w:rPr>
          <w:rFonts w:hint="eastAsia" w:ascii="仿宋_GB2312" w:eastAsia="仿宋_GB2312"/>
          <w:bCs/>
          <w:sz w:val="32"/>
          <w:szCs w:val="32"/>
        </w:rPr>
        <w:t>2.目标合理性分析</w:t>
      </w:r>
      <w:bookmarkEnd w:id="5"/>
      <w:bookmarkEnd w:id="6"/>
    </w:p>
    <w:p w14:paraId="45E67CDC">
      <w:pPr>
        <w:keepNext w:val="0"/>
        <w:keepLines w:val="0"/>
        <w:pageBreakBefore w:val="0"/>
        <w:kinsoku/>
        <w:wordWrap/>
        <w:overflowPunct/>
        <w:topLinePunct w:val="0"/>
        <w:autoSpaceDE/>
        <w:autoSpaceDN/>
        <w:bidi w:val="0"/>
        <w:adjustRightInd/>
        <w:snapToGrid w:val="0"/>
        <w:spacing w:line="560" w:lineRule="exact"/>
        <w:ind w:right="0" w:rightChars="0" w:firstLine="640"/>
        <w:rPr>
          <w:rFonts w:hint="eastAsia" w:eastAsia="仿宋_GB2312" w:cs="Times New Roman"/>
          <w:sz w:val="32"/>
          <w:szCs w:val="32"/>
          <w:lang w:val="en-US" w:eastAsia="zh-CN"/>
        </w:rPr>
      </w:pPr>
      <w:bookmarkStart w:id="7" w:name="_Toc40971720"/>
      <w:r>
        <w:rPr>
          <w:rFonts w:hint="eastAsia" w:ascii="仿宋_GB2312" w:eastAsia="仿宋_GB2312"/>
          <w:bCs/>
          <w:sz w:val="32"/>
          <w:szCs w:val="32"/>
        </w:rPr>
        <w:t>项目目标制定较为合理。</w:t>
      </w:r>
      <w:bookmarkEnd w:id="7"/>
      <w:bookmarkStart w:id="8" w:name="_Toc40971721"/>
      <w:bookmarkStart w:id="9" w:name="_Toc462125905"/>
      <w:r>
        <w:rPr>
          <w:rFonts w:hint="eastAsia" w:eastAsia="仿宋_GB2312" w:cs="Times New Roman"/>
          <w:sz w:val="32"/>
          <w:szCs w:val="32"/>
          <w:lang w:val="en-US" w:eastAsia="zh-CN"/>
        </w:rPr>
        <w:t>各项活动的开展针对不同人群的具体需求和特点，通过深入不同群体交流，了解收集不同需求。</w:t>
      </w:r>
    </w:p>
    <w:p w14:paraId="1246B0A6">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sz w:val="32"/>
          <w:szCs w:val="32"/>
        </w:rPr>
      </w:pPr>
      <w:r>
        <w:rPr>
          <w:rFonts w:hint="eastAsia" w:ascii="仿宋_GB2312" w:eastAsia="仿宋_GB2312"/>
          <w:bCs/>
          <w:sz w:val="32"/>
          <w:szCs w:val="32"/>
        </w:rPr>
        <w:t>3.目标细化程度分析</w:t>
      </w:r>
      <w:bookmarkEnd w:id="8"/>
      <w:bookmarkEnd w:id="9"/>
    </w:p>
    <w:p w14:paraId="07DBE009">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color w:val="000000" w:themeColor="text1"/>
          <w:sz w:val="32"/>
          <w:szCs w:val="32"/>
          <w14:textFill>
            <w14:solidFill>
              <w14:schemeClr w14:val="tx1"/>
            </w14:solidFill>
          </w14:textFill>
        </w:rPr>
      </w:pPr>
      <w:bookmarkStart w:id="10" w:name="_Toc40971722"/>
      <w:r>
        <w:rPr>
          <w:rFonts w:hint="eastAsia" w:ascii="仿宋_GB2312" w:eastAsia="仿宋_GB2312"/>
          <w:bCs/>
          <w:sz w:val="32"/>
          <w:szCs w:val="32"/>
        </w:rPr>
        <w:t>依据项目内容，从项目产出数量、质量、社会效益等方面设定了具体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10"/>
    </w:p>
    <w:p w14:paraId="532C85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（二）项目过程情况</w:t>
      </w:r>
    </w:p>
    <w:p w14:paraId="355A1C24">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1.资金使用及管理情况</w:t>
      </w:r>
    </w:p>
    <w:p w14:paraId="25E66CE9">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年实际支出金额为</w:t>
      </w:r>
      <w:r>
        <w:rPr>
          <w:rFonts w:hint="eastAsia" w:eastAsia="仿宋_GB2312" w:cs="Times New Roman"/>
          <w:color w:val="auto"/>
          <w:sz w:val="32"/>
          <w:szCs w:val="32"/>
          <w:lang w:val="en-US" w:eastAsia="zh-CN"/>
        </w:rPr>
        <w:t>66.649016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eastAsia="仿宋_GB2312"/>
          <w:bCs/>
          <w:color w:val="000000" w:themeColor="text1"/>
          <w:sz w:val="32"/>
          <w:szCs w:val="32"/>
          <w14:textFill>
            <w14:solidFill>
              <w14:schemeClr w14:val="tx1"/>
            </w14:solidFill>
          </w14:textFill>
        </w:rPr>
        <w:t>项目资金</w:t>
      </w:r>
      <w:r>
        <w:rPr>
          <w:rFonts w:hint="eastAsia" w:ascii="仿宋_GB2312" w:hAnsi="仿宋" w:eastAsia="仿宋_GB2312"/>
          <w:color w:val="000000" w:themeColor="text1"/>
          <w:sz w:val="32"/>
          <w:szCs w:val="32"/>
          <w14:textFill>
            <w14:solidFill>
              <w14:schemeClr w14:val="tx1"/>
            </w14:solidFill>
          </w14:textFill>
        </w:rPr>
        <w:t>按照</w:t>
      </w:r>
      <w:r>
        <w:rPr>
          <w:rFonts w:hint="eastAsia" w:ascii="仿宋_GB2312" w:hAnsi="仿宋" w:eastAsia="仿宋_GB2312"/>
          <w:color w:val="000000" w:themeColor="text1"/>
          <w:sz w:val="32"/>
          <w:szCs w:val="32"/>
          <w:lang w:eastAsia="zh-CN"/>
          <w14:textFill>
            <w14:solidFill>
              <w14:schemeClr w14:val="tx1"/>
            </w14:solidFill>
          </w14:textFill>
        </w:rPr>
        <w:t>专项资金管理办法</w:t>
      </w:r>
      <w:r>
        <w:rPr>
          <w:rFonts w:hint="eastAsia" w:ascii="仿宋_GB2312" w:hAnsi="仿宋" w:eastAsia="仿宋_GB2312"/>
          <w:color w:val="000000" w:themeColor="text1"/>
          <w:sz w:val="32"/>
          <w:szCs w:val="32"/>
          <w14:textFill>
            <w14:solidFill>
              <w14:schemeClr w14:val="tx1"/>
            </w14:solidFill>
          </w14:textFill>
        </w:rPr>
        <w:t>和《财务管理制度》等规定执行，保证了资金的合理有效使用。</w:t>
      </w:r>
    </w:p>
    <w:p w14:paraId="2B978057">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color w:val="000000" w:themeColor="text1"/>
          <w:sz w:val="32"/>
          <w:szCs w:val="32"/>
          <w14:textFill>
            <w14:solidFill>
              <w14:schemeClr w14:val="tx1"/>
            </w14:solidFill>
          </w14:textFill>
        </w:rPr>
      </w:pPr>
      <w:bookmarkStart w:id="11" w:name="_Toc40971725"/>
      <w:bookmarkStart w:id="12" w:name="_Toc462125908"/>
      <w:r>
        <w:rPr>
          <w:rFonts w:hint="eastAsia" w:ascii="仿宋_GB2312" w:eastAsia="仿宋_GB2312"/>
          <w:bCs/>
          <w:color w:val="000000" w:themeColor="text1"/>
          <w:sz w:val="32"/>
          <w:szCs w:val="32"/>
          <w14:textFill>
            <w14:solidFill>
              <w14:schemeClr w14:val="tx1"/>
            </w14:solidFill>
          </w14:textFill>
        </w:rPr>
        <w:t>2.项目组织管理情况</w:t>
      </w:r>
      <w:bookmarkEnd w:id="11"/>
      <w:bookmarkEnd w:id="12"/>
    </w:p>
    <w:p w14:paraId="6853216A">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该项目在组织管理上，符合财政项目管理规定。</w:t>
      </w:r>
    </w:p>
    <w:p w14:paraId="158349FD">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项目实施情况：本项目作为年度重点民生实事工程，旨在彻底改善老旧小区的基础设施老化问题，提升居民生活品质与安全感。</w:t>
      </w:r>
    </w:p>
    <w:p w14:paraId="667F13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（三）项目产出情况</w:t>
      </w:r>
    </w:p>
    <w:p w14:paraId="520B959D">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p>
    <w:p w14:paraId="759548CD">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该项目实际总投资金额为</w:t>
      </w:r>
      <w:r>
        <w:rPr>
          <w:rFonts w:hint="eastAsia" w:eastAsia="仿宋_GB2312" w:cs="Times New Roman"/>
          <w:color w:val="auto"/>
          <w:sz w:val="32"/>
          <w:szCs w:val="32"/>
          <w:lang w:val="en-US" w:eastAsia="zh-CN"/>
        </w:rPr>
        <w:t>66.649016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 w:eastAsia="仿宋_GB2312"/>
          <w:color w:val="000000" w:themeColor="text1"/>
          <w:sz w:val="32"/>
          <w:szCs w:val="32"/>
          <w14:textFill>
            <w14:solidFill>
              <w14:schemeClr w14:val="tx1"/>
            </w14:solidFill>
          </w14:textFill>
        </w:rPr>
        <w:t>未超预算，经济性较好。</w:t>
      </w:r>
    </w:p>
    <w:p w14:paraId="3D771765">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bookmarkStart w:id="13" w:name="_Toc462125912"/>
      <w:r>
        <w:rPr>
          <w:rFonts w:hint="eastAsia" w:ascii="仿宋_GB2312" w:hAnsi="仿宋" w:eastAsia="仿宋_GB2312"/>
          <w:color w:val="000000" w:themeColor="text1"/>
          <w:sz w:val="32"/>
          <w:szCs w:val="32"/>
          <w14:textFill>
            <w14:solidFill>
              <w14:schemeClr w14:val="tx1"/>
            </w14:solidFill>
          </w14:textFill>
        </w:rPr>
        <w:t>2.项目效率性分析</w:t>
      </w:r>
      <w:bookmarkEnd w:id="13"/>
    </w:p>
    <w:p w14:paraId="2C7A5532">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14:paraId="430E7FC1">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w:t>
      </w:r>
      <w:r>
        <w:rPr>
          <w:rFonts w:hint="eastAsia" w:ascii="仿宋_GB2312" w:hAnsi="仿宋" w:eastAsia="仿宋_GB2312"/>
          <w:color w:val="000000" w:themeColor="text1"/>
          <w:sz w:val="32"/>
          <w:szCs w:val="32"/>
          <w:lang w:eastAsia="zh-CN"/>
          <w14:textFill>
            <w14:solidFill>
              <w14:schemeClr w14:val="tx1"/>
            </w14:solidFill>
          </w14:textFill>
        </w:rPr>
        <w:t>总体实施进展顺利，按合同约定如期</w:t>
      </w:r>
      <w:r>
        <w:rPr>
          <w:rFonts w:hint="eastAsia" w:ascii="仿宋_GB2312" w:hAnsi="仿宋" w:eastAsia="仿宋_GB2312"/>
          <w:color w:val="000000" w:themeColor="text1"/>
          <w:sz w:val="32"/>
          <w:szCs w:val="32"/>
          <w:lang w:val="en-US" w:eastAsia="zh-CN"/>
          <w14:textFill>
            <w14:solidFill>
              <w14:schemeClr w14:val="tx1"/>
            </w14:solidFill>
          </w14:textFill>
        </w:rPr>
        <w:t>完工</w:t>
      </w:r>
      <w:r>
        <w:rPr>
          <w:rFonts w:hint="eastAsia" w:ascii="仿宋_GB2312" w:hAnsi="仿宋" w:eastAsia="仿宋_GB2312"/>
          <w:color w:val="000000" w:themeColor="text1"/>
          <w:sz w:val="32"/>
          <w:szCs w:val="32"/>
          <w14:textFill>
            <w14:solidFill>
              <w14:schemeClr w14:val="tx1"/>
            </w14:solidFill>
          </w14:textFill>
        </w:rPr>
        <w:t>。</w:t>
      </w:r>
    </w:p>
    <w:p w14:paraId="51BC90D8">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14:paraId="415A2198">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本项目按合同约定内容全部完成，经综合评估、验收合格，各项功能满足使用要求，达到了预期效果，受到了居民的普遍认可。</w:t>
      </w:r>
    </w:p>
    <w:p w14:paraId="68132A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（四）项目效益情况</w:t>
      </w:r>
    </w:p>
    <w:p w14:paraId="65A4CE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社会效益显著，居民生活品质显著提升，居民生活环境得到了改善，基础设施的改造增强了安全性、便利性、舒适性服务对象满意度高。</w:t>
      </w:r>
    </w:p>
    <w:p w14:paraId="2574B9E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主要经验及做法、存在的问题及原因分析</w:t>
      </w:r>
      <w:r>
        <w:rPr>
          <w:rFonts w:hint="eastAsia" w:ascii="黑体" w:hAnsi="黑体" w:eastAsia="黑体" w:cs="黑体"/>
          <w:sz w:val="32"/>
          <w:szCs w:val="32"/>
          <w:lang w:val="en-US" w:eastAsia="zh-CN"/>
        </w:rPr>
        <w:t xml:space="preserve"> </w:t>
      </w:r>
    </w:p>
    <w:p w14:paraId="0305862D">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仿宋_GB2312" w:cs="Times New Roman"/>
          <w:b/>
          <w:bCs/>
          <w:sz w:val="32"/>
          <w:szCs w:val="32"/>
          <w:lang w:val="en-US" w:eastAsia="zh-CN"/>
        </w:rPr>
      </w:pPr>
      <w:r>
        <w:rPr>
          <w:rFonts w:hint="eastAsia" w:ascii="楷体_GB2312" w:eastAsia="楷体_GB2312"/>
          <w:color w:val="000000" w:themeColor="text1"/>
          <w:sz w:val="32"/>
          <w:szCs w:val="32"/>
          <w14:textFill>
            <w14:solidFill>
              <w14:schemeClr w14:val="tx1"/>
            </w14:solidFill>
          </w14:textFill>
        </w:rPr>
        <w:t>（一）主要经验和做法</w:t>
      </w:r>
    </w:p>
    <w:p w14:paraId="0BEC7EE0">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bCs/>
          <w:sz w:val="32"/>
          <w:szCs w:val="32"/>
          <w:lang w:eastAsia="zh-CN"/>
        </w:rPr>
        <w:t>强化宣传引导，</w:t>
      </w:r>
      <w:r>
        <w:rPr>
          <w:rFonts w:hint="default" w:ascii="Times New Roman" w:hAnsi="Times New Roman" w:eastAsia="仿宋_GB2312" w:cs="Times New Roman"/>
          <w:b/>
          <w:bCs/>
          <w:sz w:val="32"/>
          <w:szCs w:val="32"/>
          <w:lang w:val="en-US" w:eastAsia="zh-CN"/>
        </w:rPr>
        <w:t>结合</w:t>
      </w:r>
      <w:r>
        <w:rPr>
          <w:rFonts w:hint="default" w:ascii="Times New Roman" w:hAnsi="Times New Roman" w:eastAsia="仿宋_GB2312" w:cs="Times New Roman"/>
          <w:b/>
          <w:bCs/>
          <w:sz w:val="32"/>
          <w:szCs w:val="32"/>
          <w:lang w:eastAsia="zh-CN"/>
        </w:rPr>
        <w:t>实际</w:t>
      </w:r>
      <w:r>
        <w:rPr>
          <w:rFonts w:hint="default" w:ascii="Times New Roman" w:hAnsi="Times New Roman" w:eastAsia="仿宋_GB2312" w:cs="Times New Roman"/>
          <w:b/>
          <w:bCs/>
          <w:sz w:val="32"/>
          <w:szCs w:val="32"/>
          <w:lang w:val="en-US" w:eastAsia="zh-CN"/>
        </w:rPr>
        <w:t>问民需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营造氛围。在项目申报阶段，村委会、物业及党员、居民代表通过入户了解、在业主微信群进行宣传等方式，让群众深入了解老旧小区</w:t>
      </w:r>
      <w:r>
        <w:rPr>
          <w:rFonts w:hint="default" w:ascii="Times New Roman" w:hAnsi="Times New Roman" w:eastAsia="仿宋_GB2312" w:cs="Times New Roman"/>
          <w:sz w:val="32"/>
          <w:szCs w:val="32"/>
        </w:rPr>
        <w:t>公共设施</w:t>
      </w:r>
      <w:r>
        <w:rPr>
          <w:rFonts w:hint="default" w:ascii="Times New Roman" w:hAnsi="Times New Roman" w:eastAsia="仿宋_GB2312" w:cs="Times New Roman"/>
          <w:sz w:val="32"/>
          <w:szCs w:val="32"/>
          <w:lang w:eastAsia="zh-CN"/>
        </w:rPr>
        <w:t>提升有关政策，积极营造“我支持”的浓厚氛围。收集民意。</w:t>
      </w:r>
      <w:r>
        <w:rPr>
          <w:rFonts w:hint="default" w:ascii="Times New Roman" w:hAnsi="Times New Roman" w:eastAsia="仿宋_GB2312" w:cs="Times New Roman"/>
          <w:sz w:val="32"/>
          <w:szCs w:val="32"/>
          <w:lang w:val="en-US" w:eastAsia="zh-CN"/>
        </w:rPr>
        <w:t>组织召开居民会议，业务科室、居委会工作人员、物业公司、党员居民代表共同参与，</w:t>
      </w:r>
      <w:r>
        <w:rPr>
          <w:rFonts w:hint="default" w:ascii="Times New Roman" w:hAnsi="Times New Roman" w:eastAsia="仿宋_GB2312" w:cs="Times New Roman"/>
          <w:sz w:val="32"/>
          <w:szCs w:val="32"/>
          <w:lang w:eastAsia="zh-CN"/>
        </w:rPr>
        <w:t>充分争取居民代表意见，针对群众反映改造意向强烈项目，经过议事协商，确定需求，列入改造清单。边访边改。在项目改造过程中，坚持走访群众，不断收集群众的建议，及时把群众反映的问题与施工方对接解决，减少因施工造成的</w:t>
      </w:r>
      <w:r>
        <w:rPr>
          <w:rFonts w:hint="default" w:ascii="Times New Roman" w:hAnsi="Times New Roman" w:eastAsia="仿宋_GB2312" w:cs="Times New Roman"/>
          <w:sz w:val="32"/>
          <w:szCs w:val="32"/>
          <w:lang w:val="en-US" w:eastAsia="zh-CN"/>
        </w:rPr>
        <w:t>投诉案件。</w:t>
      </w:r>
    </w:p>
    <w:p w14:paraId="07177E73">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二是强化党建引领</w:t>
      </w:r>
      <w:r>
        <w:rPr>
          <w:rFonts w:hint="eastAsia" w:ascii="Times New Roman" w:hAnsi="Times New Roman" w:eastAsia="仿宋_GB2312" w:cs="Times New Roman"/>
          <w:b/>
          <w:bCs/>
          <w:sz w:val="32"/>
          <w:szCs w:val="32"/>
          <w:lang w:val="en-US" w:eastAsia="zh-CN"/>
        </w:rPr>
        <w:t>，多方联动</w:t>
      </w:r>
      <w:r>
        <w:rPr>
          <w:rFonts w:hint="default" w:ascii="Times New Roman" w:hAnsi="Times New Roman" w:eastAsia="仿宋_GB2312" w:cs="Times New Roman"/>
          <w:b/>
          <w:bCs/>
          <w:sz w:val="32"/>
          <w:szCs w:val="32"/>
          <w:lang w:val="en-US" w:eastAsia="zh-CN"/>
        </w:rPr>
        <w:t>聚合力。</w:t>
      </w:r>
      <w:r>
        <w:rPr>
          <w:rFonts w:hint="default" w:ascii="Times New Roman" w:hAnsi="Times New Roman" w:eastAsia="仿宋_GB2312" w:cs="Times New Roman"/>
          <w:sz w:val="32"/>
          <w:szCs w:val="32"/>
          <w:lang w:val="en-US" w:eastAsia="zh-CN"/>
        </w:rPr>
        <w:t>以党建引领基层治理为抓手，发挥党建引领作用。在改造过程中，</w:t>
      </w:r>
      <w:r>
        <w:rPr>
          <w:rFonts w:hint="eastAsia" w:ascii="Times New Roman" w:hAnsi="Times New Roman" w:eastAsia="仿宋_GB2312" w:cs="Times New Roman"/>
          <w:sz w:val="32"/>
          <w:szCs w:val="32"/>
          <w:lang w:val="en-US" w:eastAsia="zh-CN"/>
        </w:rPr>
        <w:t>充分运用“议事、协商”工作机制，对居民存在的疑问，联合相关单位及时召开为居民代表会，消除质疑，变阻力为动力，</w:t>
      </w:r>
      <w:r>
        <w:rPr>
          <w:rFonts w:hint="default" w:ascii="Times New Roman" w:hAnsi="Times New Roman" w:eastAsia="仿宋_GB2312" w:cs="Times New Roman"/>
          <w:sz w:val="32"/>
          <w:szCs w:val="32"/>
          <w:lang w:val="en-US" w:eastAsia="zh-CN"/>
        </w:rPr>
        <w:t>调动居民、社区、共建单位及社会各界力量</w:t>
      </w:r>
      <w:r>
        <w:rPr>
          <w:rFonts w:hint="eastAsia" w:ascii="Times New Roman" w:hAnsi="Times New Roman" w:eastAsia="仿宋_GB2312" w:cs="Times New Roman"/>
          <w:sz w:val="32"/>
          <w:szCs w:val="32"/>
          <w:lang w:val="en-US" w:eastAsia="zh-CN"/>
        </w:rPr>
        <w:t>共同</w:t>
      </w:r>
      <w:r>
        <w:rPr>
          <w:rFonts w:hint="default" w:ascii="Times New Roman" w:hAnsi="Times New Roman" w:eastAsia="仿宋_GB2312" w:cs="Times New Roman"/>
          <w:sz w:val="32"/>
          <w:szCs w:val="32"/>
          <w:lang w:val="en-US" w:eastAsia="zh-CN"/>
        </w:rPr>
        <w:t>参与“建、管、运、监”各环节，以功能完善为重点，将群众最迫切、最急需的要求列为优先项目，真正做到改造一项，提升一项。</w:t>
      </w:r>
    </w:p>
    <w:p w14:paraId="00CC5AEE">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三是强化</w:t>
      </w:r>
      <w:r>
        <w:rPr>
          <w:rFonts w:hint="eastAsia" w:ascii="Times New Roman" w:hAnsi="Times New Roman" w:eastAsia="仿宋_GB2312" w:cs="Times New Roman"/>
          <w:b/>
          <w:bCs/>
          <w:sz w:val="32"/>
          <w:szCs w:val="32"/>
          <w:lang w:val="en-US" w:eastAsia="zh-CN"/>
        </w:rPr>
        <w:t>长效赋能</w:t>
      </w:r>
      <w:r>
        <w:rPr>
          <w:rFonts w:hint="default" w:ascii="Times New Roman" w:hAnsi="Times New Roman" w:eastAsia="仿宋_GB2312" w:cs="Times New Roman"/>
          <w:b/>
          <w:bCs/>
          <w:sz w:val="32"/>
          <w:szCs w:val="32"/>
          <w:lang w:val="en-US" w:eastAsia="zh-CN"/>
        </w:rPr>
        <w:t>，压实责任促提升</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老旧小区改造后及时把公共设施维护纳入物业管理征询意见的问题之一，由小区居民自己监督、自己维护。发现问题后，及时与物业沟通，共同协商问题解决方法及途径，强化对已改造小区的后期管理工作，尽可能实现物业管理从弱到强、从简易到专业，建立长效管理机制，共同维护改造成果。</w:t>
      </w:r>
    </w:p>
    <w:p w14:paraId="44C433E9">
      <w:pPr>
        <w:keepNext w:val="0"/>
        <w:keepLines w:val="0"/>
        <w:pageBreakBefore w:val="0"/>
        <w:kinsoku/>
        <w:wordWrap/>
        <w:overflowPunct/>
        <w:topLinePunct w:val="0"/>
        <w:autoSpaceDE/>
        <w:autoSpaceDN/>
        <w:bidi w:val="0"/>
        <w:adjustRightInd/>
        <w:spacing w:line="560" w:lineRule="exact"/>
        <w:ind w:right="0" w:rightChars="0" w:firstLine="640" w:firstLineChars="200"/>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14:paraId="6E3A16B4">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eastAsia" w:ascii="黑体" w:hAnsi="黑体" w:eastAsia="黑体" w:cs="黑体"/>
          <w:sz w:val="32"/>
          <w:szCs w:val="32"/>
          <w:lang w:val="en-US" w:eastAsia="zh-CN"/>
        </w:rPr>
      </w:pPr>
      <w:r>
        <w:rPr>
          <w:rFonts w:hint="eastAsia" w:ascii="Times New Roman" w:hAnsi="Times New Roman" w:eastAsia="仿宋_GB2312"/>
          <w:bCs/>
          <w:kern w:val="44"/>
          <w:sz w:val="32"/>
          <w:szCs w:val="44"/>
        </w:rPr>
        <w:t>项目主要实施内容是对公共设施共用部位进行维修和更新、改造等，项目实施后</w:t>
      </w:r>
      <w:r>
        <w:rPr>
          <w:rFonts w:ascii="Times New Roman" w:hAnsi="Times New Roman" w:eastAsia="仿宋_GB2312"/>
          <w:bCs/>
          <w:kern w:val="44"/>
          <w:sz w:val="32"/>
          <w:szCs w:val="44"/>
        </w:rPr>
        <w:t>可以解决居民</w:t>
      </w:r>
      <w:r>
        <w:rPr>
          <w:rFonts w:hint="eastAsia" w:ascii="Times New Roman" w:hAnsi="Times New Roman" w:eastAsia="仿宋_GB2312"/>
          <w:bCs/>
          <w:kern w:val="44"/>
          <w:sz w:val="32"/>
          <w:szCs w:val="44"/>
        </w:rPr>
        <w:t>安全</w:t>
      </w:r>
      <w:r>
        <w:rPr>
          <w:rFonts w:ascii="Times New Roman" w:hAnsi="Times New Roman" w:eastAsia="仿宋_GB2312"/>
          <w:bCs/>
          <w:kern w:val="44"/>
          <w:sz w:val="32"/>
          <w:szCs w:val="44"/>
        </w:rPr>
        <w:t>隐患，</w:t>
      </w:r>
      <w:r>
        <w:rPr>
          <w:rFonts w:hint="eastAsia" w:eastAsia="仿宋_GB2312"/>
          <w:bCs/>
          <w:kern w:val="44"/>
          <w:sz w:val="32"/>
          <w:szCs w:val="44"/>
          <w:lang w:val="en-US" w:eastAsia="zh-CN"/>
        </w:rPr>
        <w:t>但后续普遍需加强</w:t>
      </w:r>
      <w:r>
        <w:rPr>
          <w:rFonts w:hint="eastAsia" w:ascii="Times New Roman" w:hAnsi="Times New Roman" w:eastAsia="仿宋_GB2312"/>
          <w:bCs/>
          <w:kern w:val="44"/>
          <w:sz w:val="32"/>
          <w:szCs w:val="44"/>
        </w:rPr>
        <w:t>责任单位、产权单位</w:t>
      </w:r>
      <w:r>
        <w:rPr>
          <w:rFonts w:hint="eastAsia" w:eastAsia="仿宋_GB2312"/>
          <w:bCs/>
          <w:kern w:val="44"/>
          <w:sz w:val="32"/>
          <w:szCs w:val="44"/>
          <w:lang w:eastAsia="zh-CN"/>
        </w:rPr>
        <w:t>、</w:t>
      </w:r>
      <w:r>
        <w:rPr>
          <w:rFonts w:hint="eastAsia" w:eastAsia="仿宋_GB2312"/>
          <w:bCs/>
          <w:kern w:val="44"/>
          <w:sz w:val="32"/>
          <w:szCs w:val="44"/>
          <w:lang w:val="en-US" w:eastAsia="zh-CN"/>
        </w:rPr>
        <w:t>物业等相关方</w:t>
      </w:r>
      <w:r>
        <w:rPr>
          <w:rFonts w:hint="eastAsia" w:ascii="Times New Roman" w:hAnsi="Times New Roman" w:eastAsia="仿宋_GB2312"/>
          <w:bCs/>
          <w:kern w:val="44"/>
          <w:sz w:val="32"/>
          <w:szCs w:val="44"/>
        </w:rPr>
        <w:t>解决居民诉求的</w:t>
      </w:r>
      <w:r>
        <w:rPr>
          <w:rFonts w:hint="eastAsia" w:eastAsia="仿宋_GB2312"/>
          <w:bCs/>
          <w:kern w:val="44"/>
          <w:sz w:val="32"/>
          <w:szCs w:val="44"/>
          <w:lang w:val="en-US" w:eastAsia="zh-CN"/>
        </w:rPr>
        <w:t>长久办法</w:t>
      </w:r>
      <w:r>
        <w:rPr>
          <w:rFonts w:hint="eastAsia" w:ascii="Times New Roman" w:hAnsi="Times New Roman" w:eastAsia="仿宋_GB2312"/>
          <w:bCs/>
          <w:kern w:val="44"/>
          <w:sz w:val="32"/>
          <w:szCs w:val="44"/>
        </w:rPr>
        <w:t>，以及推进居民履行自身义务的相关措施。</w:t>
      </w:r>
    </w:p>
    <w:p w14:paraId="7AD2961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有关建议</w:t>
      </w:r>
      <w:r>
        <w:rPr>
          <w:rFonts w:hint="eastAsia" w:ascii="黑体" w:hAnsi="黑体" w:eastAsia="黑体" w:cs="黑体"/>
          <w:sz w:val="32"/>
          <w:szCs w:val="32"/>
          <w:lang w:val="en-US" w:eastAsia="zh-CN"/>
        </w:rPr>
        <w:t xml:space="preserve">  </w:t>
      </w:r>
    </w:p>
    <w:p w14:paraId="2D285441">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default" w:ascii="Times New Roman" w:hAnsi="Times New Roman" w:eastAsia="仿宋_GB2312" w:cs="Times New Roman"/>
          <w:sz w:val="32"/>
          <w:szCs w:val="32"/>
          <w:lang w:eastAsia="zh-CN"/>
        </w:rPr>
      </w:pPr>
      <w:r>
        <w:rPr>
          <w:rFonts w:hint="eastAsia" w:ascii="仿宋_GB2312" w:hAnsi="宋体" w:eastAsia="仿宋_GB2312"/>
          <w:color w:val="000000" w:themeColor="text1"/>
          <w:sz w:val="32"/>
          <w:szCs w:val="32"/>
          <w14:textFill>
            <w14:solidFill>
              <w14:schemeClr w14:val="tx1"/>
            </w14:solidFill>
          </w14:textFill>
        </w:rPr>
        <w:t>强化</w:t>
      </w:r>
      <w:r>
        <w:rPr>
          <w:rFonts w:hint="eastAsia" w:ascii="仿宋_GB2312" w:hAnsi="宋体" w:eastAsia="仿宋_GB2312"/>
          <w:color w:val="000000" w:themeColor="text1"/>
          <w:sz w:val="32"/>
          <w:szCs w:val="32"/>
          <w:lang w:val="en-US" w:eastAsia="zh-CN"/>
          <w14:textFill>
            <w14:solidFill>
              <w14:schemeClr w14:val="tx1"/>
            </w14:solidFill>
          </w14:textFill>
        </w:rPr>
        <w:t>项目调研，为项目申报预留充足时间</w:t>
      </w:r>
      <w:r>
        <w:rPr>
          <w:rFonts w:hint="eastAsia" w:ascii="仿宋_GB2312" w:hAnsi="宋体" w:eastAsia="仿宋_GB2312"/>
          <w:color w:val="000000" w:themeColor="text1"/>
          <w:sz w:val="32"/>
          <w:szCs w:val="32"/>
          <w14:textFill>
            <w14:solidFill>
              <w14:schemeClr w14:val="tx1"/>
            </w14:solidFill>
          </w14:textFill>
        </w:rPr>
        <w:t>，细化需求</w:t>
      </w:r>
      <w:r>
        <w:rPr>
          <w:rFonts w:hint="eastAsia" w:ascii="仿宋_GB2312" w:hAnsi="宋体" w:eastAsia="仿宋_GB2312"/>
          <w:color w:val="000000" w:themeColor="text1"/>
          <w:sz w:val="32"/>
          <w:szCs w:val="32"/>
          <w:lang w:val="en-US" w:eastAsia="zh-CN"/>
          <w14:textFill>
            <w14:solidFill>
              <w14:schemeClr w14:val="tx1"/>
            </w14:solidFill>
          </w14:textFill>
        </w:rPr>
        <w:t>摸排</w:t>
      </w:r>
      <w:r>
        <w:rPr>
          <w:rFonts w:hint="eastAsia" w:ascii="仿宋_GB2312" w:hAnsi="宋体"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lang w:eastAsia="zh-CN"/>
        </w:rPr>
        <w:t>依托</w:t>
      </w:r>
      <w:r>
        <w:rPr>
          <w:rFonts w:hint="eastAsia" w:ascii="Times New Roman" w:hAnsi="Times New Roman" w:eastAsia="仿宋_GB2312" w:cs="Times New Roman"/>
          <w:sz w:val="32"/>
          <w:szCs w:val="32"/>
          <w:lang w:val="en-US" w:eastAsia="zh-CN"/>
        </w:rPr>
        <w:t>为民解忧办实事利好政策</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充分发挥</w:t>
      </w:r>
      <w:r>
        <w:rPr>
          <w:rFonts w:hint="default" w:ascii="Times New Roman" w:hAnsi="Times New Roman" w:eastAsia="仿宋_GB2312" w:cs="Times New Roman"/>
          <w:sz w:val="32"/>
          <w:szCs w:val="32"/>
          <w:lang w:eastAsia="zh-CN"/>
        </w:rPr>
        <w:t>社区议事协商平台</w:t>
      </w:r>
      <w:r>
        <w:rPr>
          <w:rFonts w:hint="eastAsia"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lang w:eastAsia="zh-CN"/>
        </w:rPr>
        <w:t>，针对群众反映改造意向强烈</w:t>
      </w:r>
      <w:r>
        <w:rPr>
          <w:rFonts w:hint="eastAsia" w:eastAsia="仿宋_GB2312" w:cs="Times New Roman"/>
          <w:sz w:val="32"/>
          <w:szCs w:val="32"/>
          <w:lang w:val="en-US" w:eastAsia="zh-CN"/>
        </w:rPr>
        <w:t>的内容</w:t>
      </w:r>
      <w:r>
        <w:rPr>
          <w:rFonts w:hint="default" w:ascii="Times New Roman" w:hAnsi="Times New Roman" w:eastAsia="仿宋_GB2312" w:cs="Times New Roman"/>
          <w:sz w:val="32"/>
          <w:szCs w:val="32"/>
          <w:lang w:eastAsia="zh-CN"/>
        </w:rPr>
        <w:t>，确定需求，</w:t>
      </w:r>
      <w:r>
        <w:rPr>
          <w:rFonts w:hint="eastAsia" w:ascii="Times New Roman" w:hAnsi="Times New Roman" w:eastAsia="仿宋_GB2312" w:cs="Times New Roman"/>
          <w:sz w:val="32"/>
          <w:szCs w:val="32"/>
          <w:lang w:val="en-US" w:eastAsia="zh-CN"/>
        </w:rPr>
        <w:t>是否可拓宽项目准入范围</w:t>
      </w:r>
      <w:r>
        <w:rPr>
          <w:rFonts w:hint="default" w:ascii="Times New Roman" w:hAnsi="Times New Roman" w:eastAsia="仿宋_GB2312" w:cs="Times New Roman"/>
          <w:sz w:val="32"/>
          <w:szCs w:val="32"/>
          <w:lang w:eastAsia="zh-CN"/>
        </w:rPr>
        <w:t>。</w:t>
      </w:r>
    </w:p>
    <w:p w14:paraId="7F7C72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14:paraId="681D2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无其他需要特别说明的问题。</w:t>
      </w:r>
    </w:p>
    <w:p w14:paraId="07A96CC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30B58843">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“2024年农村地区为民办实事-老旧小区基础设施修缮项目”项目绩效评价指标体系评分表</w:t>
      </w:r>
    </w:p>
    <w:tbl>
      <w:tblPr>
        <w:tblStyle w:val="8"/>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72"/>
        <w:gridCol w:w="2024"/>
        <w:gridCol w:w="1968"/>
        <w:gridCol w:w="1968"/>
      </w:tblGrid>
      <w:tr w14:paraId="5ED9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872" w:type="dxa"/>
            <w:shd w:val="clear" w:color="EBEFF3" w:fill="EBEFF3"/>
            <w:vAlign w:val="center"/>
          </w:tcPr>
          <w:p w14:paraId="4013B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一级指标</w:t>
            </w:r>
          </w:p>
        </w:tc>
        <w:tc>
          <w:tcPr>
            <w:tcW w:w="2024" w:type="dxa"/>
            <w:shd w:val="clear" w:color="EBEFF3" w:fill="EBEFF3"/>
            <w:vAlign w:val="center"/>
          </w:tcPr>
          <w:p w14:paraId="7A7CC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二级指标</w:t>
            </w:r>
          </w:p>
        </w:tc>
        <w:tc>
          <w:tcPr>
            <w:tcW w:w="1968" w:type="dxa"/>
            <w:shd w:val="clear" w:color="EBEFF3" w:fill="EBEFF3"/>
            <w:vAlign w:val="center"/>
          </w:tcPr>
          <w:p w14:paraId="69049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1968" w:type="dxa"/>
            <w:shd w:val="clear" w:color="EBEFF3" w:fill="EBEFF3"/>
            <w:vAlign w:val="center"/>
          </w:tcPr>
          <w:p w14:paraId="2C36FC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得分</w:t>
            </w:r>
          </w:p>
        </w:tc>
      </w:tr>
      <w:tr w14:paraId="104D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72" w:type="dxa"/>
            <w:shd w:val="clear" w:color="auto" w:fill="auto"/>
            <w:vAlign w:val="center"/>
          </w:tcPr>
          <w:p w14:paraId="18CB8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24" w:type="dxa"/>
            <w:shd w:val="clear" w:color="auto" w:fill="auto"/>
            <w:vAlign w:val="center"/>
          </w:tcPr>
          <w:p w14:paraId="6F9E2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68" w:type="dxa"/>
            <w:shd w:val="clear" w:color="auto" w:fill="auto"/>
            <w:vAlign w:val="center"/>
          </w:tcPr>
          <w:p w14:paraId="2F8BC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工作进度</w:t>
            </w:r>
          </w:p>
        </w:tc>
        <w:tc>
          <w:tcPr>
            <w:tcW w:w="1968" w:type="dxa"/>
            <w:shd w:val="clear" w:color="auto" w:fill="auto"/>
            <w:vAlign w:val="center"/>
          </w:tcPr>
          <w:p w14:paraId="138DF7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r>
      <w:tr w14:paraId="2CAD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72" w:type="dxa"/>
            <w:shd w:val="clear" w:color="auto" w:fill="auto"/>
            <w:vAlign w:val="center"/>
          </w:tcPr>
          <w:p w14:paraId="396BE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24" w:type="dxa"/>
            <w:shd w:val="clear" w:color="auto" w:fill="auto"/>
            <w:vAlign w:val="center"/>
          </w:tcPr>
          <w:p w14:paraId="4D6ED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68" w:type="dxa"/>
            <w:shd w:val="clear" w:color="auto" w:fill="auto"/>
            <w:vAlign w:val="center"/>
          </w:tcPr>
          <w:p w14:paraId="4738F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受益人数</w:t>
            </w:r>
          </w:p>
        </w:tc>
        <w:tc>
          <w:tcPr>
            <w:tcW w:w="1968" w:type="dxa"/>
            <w:shd w:val="clear" w:color="auto" w:fill="auto"/>
            <w:vAlign w:val="center"/>
          </w:tcPr>
          <w:p w14:paraId="4E5BE5E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r>
      <w:tr w14:paraId="3AE9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72" w:type="dxa"/>
            <w:shd w:val="clear" w:color="auto" w:fill="auto"/>
            <w:vAlign w:val="center"/>
          </w:tcPr>
          <w:p w14:paraId="0E42C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24" w:type="dxa"/>
            <w:shd w:val="clear" w:color="auto" w:fill="auto"/>
            <w:vAlign w:val="center"/>
          </w:tcPr>
          <w:p w14:paraId="0C0FC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68" w:type="dxa"/>
            <w:shd w:val="clear" w:color="auto" w:fill="auto"/>
            <w:vAlign w:val="center"/>
          </w:tcPr>
          <w:p w14:paraId="33A60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竣工验收合格率</w:t>
            </w:r>
          </w:p>
        </w:tc>
        <w:tc>
          <w:tcPr>
            <w:tcW w:w="1968" w:type="dxa"/>
            <w:shd w:val="clear" w:color="auto" w:fill="auto"/>
            <w:vAlign w:val="center"/>
          </w:tcPr>
          <w:p w14:paraId="3425D7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r>
      <w:tr w14:paraId="2AB8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72" w:type="dxa"/>
            <w:shd w:val="clear" w:color="auto" w:fill="auto"/>
            <w:vAlign w:val="center"/>
          </w:tcPr>
          <w:p w14:paraId="46A36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024" w:type="dxa"/>
            <w:shd w:val="clear" w:color="auto" w:fill="auto"/>
            <w:vAlign w:val="center"/>
          </w:tcPr>
          <w:p w14:paraId="12C7E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68" w:type="dxa"/>
            <w:shd w:val="clear" w:color="auto" w:fill="auto"/>
            <w:vAlign w:val="center"/>
          </w:tcPr>
          <w:p w14:paraId="570AA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居民生活环境</w:t>
            </w:r>
          </w:p>
        </w:tc>
        <w:tc>
          <w:tcPr>
            <w:tcW w:w="1968" w:type="dxa"/>
            <w:shd w:val="clear" w:color="auto" w:fill="auto"/>
            <w:vAlign w:val="center"/>
          </w:tcPr>
          <w:p w14:paraId="242646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r>
      <w:tr w14:paraId="5C17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72" w:type="dxa"/>
            <w:shd w:val="clear" w:color="auto" w:fill="auto"/>
            <w:vAlign w:val="center"/>
          </w:tcPr>
          <w:p w14:paraId="18093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24" w:type="dxa"/>
            <w:shd w:val="clear" w:color="auto" w:fill="auto"/>
            <w:vAlign w:val="center"/>
          </w:tcPr>
          <w:p w14:paraId="14BF7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68" w:type="dxa"/>
            <w:shd w:val="clear" w:color="auto" w:fill="auto"/>
            <w:vAlign w:val="center"/>
          </w:tcPr>
          <w:p w14:paraId="6901A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968" w:type="dxa"/>
            <w:shd w:val="clear" w:color="auto" w:fill="auto"/>
            <w:vAlign w:val="center"/>
          </w:tcPr>
          <w:p w14:paraId="3FC349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r>
      <w:tr w14:paraId="2209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72" w:type="dxa"/>
            <w:shd w:val="clear" w:color="auto" w:fill="auto"/>
            <w:vAlign w:val="center"/>
          </w:tcPr>
          <w:p w14:paraId="31E20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24" w:type="dxa"/>
            <w:shd w:val="clear" w:color="auto" w:fill="auto"/>
            <w:vAlign w:val="center"/>
          </w:tcPr>
          <w:p w14:paraId="53F32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968" w:type="dxa"/>
            <w:shd w:val="clear" w:color="auto" w:fill="auto"/>
            <w:vAlign w:val="center"/>
          </w:tcPr>
          <w:p w14:paraId="3CF1E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项目成本</w:t>
            </w:r>
          </w:p>
        </w:tc>
        <w:tc>
          <w:tcPr>
            <w:tcW w:w="1968" w:type="dxa"/>
            <w:shd w:val="clear" w:color="auto" w:fill="auto"/>
            <w:vAlign w:val="center"/>
          </w:tcPr>
          <w:p w14:paraId="05EC86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r>
      <w:tr w14:paraId="42DD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864" w:type="dxa"/>
            <w:gridSpan w:val="3"/>
            <w:shd w:val="clear" w:color="auto" w:fill="auto"/>
            <w:vAlign w:val="center"/>
          </w:tcPr>
          <w:p w14:paraId="5AB542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综合得分</w:t>
            </w:r>
          </w:p>
        </w:tc>
        <w:tc>
          <w:tcPr>
            <w:tcW w:w="1968" w:type="dxa"/>
            <w:shd w:val="clear" w:color="auto" w:fill="auto"/>
            <w:vAlign w:val="center"/>
          </w:tcPr>
          <w:p w14:paraId="21A7370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bl>
    <w:p w14:paraId="3A834F4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6705">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5D2CE">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B75D2CE">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66929C4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BDA48"/>
    <w:multiLevelType w:val="singleLevel"/>
    <w:tmpl w:val="65FBDA48"/>
    <w:lvl w:ilvl="0" w:tentative="0">
      <w:start w:val="1"/>
      <w:numFmt w:val="chineseCounting"/>
      <w:suff w:val="nothing"/>
      <w:lvlText w:val="%1、"/>
      <w:lvlJc w:val="left"/>
    </w:lvl>
  </w:abstractNum>
  <w:abstractNum w:abstractNumId="1">
    <w:nsid w:val="65FBE4C9"/>
    <w:multiLevelType w:val="singleLevel"/>
    <w:tmpl w:val="65FBE4C9"/>
    <w:lvl w:ilvl="0" w:tentative="0">
      <w:start w:val="1"/>
      <w:numFmt w:val="chineseCounting"/>
      <w:suff w:val="nothing"/>
      <w:lvlText w:val="（%1）"/>
      <w:lvlJc w:val="left"/>
    </w:lvl>
  </w:abstractNum>
  <w:abstractNum w:abstractNumId="2">
    <w:nsid w:val="65FBE50A"/>
    <w:multiLevelType w:val="singleLevel"/>
    <w:tmpl w:val="65FBE50A"/>
    <w:lvl w:ilvl="0" w:tentative="0">
      <w:start w:val="1"/>
      <w:numFmt w:val="decimal"/>
      <w:suff w:val="nothing"/>
      <w:lvlText w:val="%1."/>
      <w:lvlJc w:val="left"/>
    </w:lvl>
  </w:abstractNum>
  <w:abstractNum w:abstractNumId="3">
    <w:nsid w:val="65FCE9C5"/>
    <w:multiLevelType w:val="singleLevel"/>
    <w:tmpl w:val="65FCE9C5"/>
    <w:lvl w:ilvl="0" w:tentative="0">
      <w:start w:val="2"/>
      <w:numFmt w:val="chineseCounting"/>
      <w:suff w:val="nothing"/>
      <w:lvlText w:val="（%1）"/>
      <w:lvlJc w:val="left"/>
    </w:lvl>
  </w:abstractNum>
  <w:abstractNum w:abstractNumId="4">
    <w:nsid w:val="65FCEADD"/>
    <w:multiLevelType w:val="singleLevel"/>
    <w:tmpl w:val="65FCEADD"/>
    <w:lvl w:ilvl="0" w:tentative="0">
      <w:start w:val="2"/>
      <w:numFmt w:val="chineseCounting"/>
      <w:suff w:val="nothing"/>
      <w:lvlText w:val="（%1）"/>
      <w:lvlJc w:val="left"/>
    </w:lvl>
  </w:abstractNum>
  <w:abstractNum w:abstractNumId="5">
    <w:nsid w:val="65FCEC4B"/>
    <w:multiLevelType w:val="singleLevel"/>
    <w:tmpl w:val="65FCEC4B"/>
    <w:lvl w:ilvl="0" w:tentative="0">
      <w:start w:val="3"/>
      <w:numFmt w:val="chineseCounting"/>
      <w:suff w:val="nothing"/>
      <w:lvlText w:val="%1、"/>
      <w:lvlJc w:val="left"/>
    </w:lvl>
  </w:abstractNum>
  <w:abstractNum w:abstractNumId="6">
    <w:nsid w:val="65FD523E"/>
    <w:multiLevelType w:val="singleLevel"/>
    <w:tmpl w:val="65FD523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2C2731C"/>
    <w:rsid w:val="05163D5B"/>
    <w:rsid w:val="0ABD1CB0"/>
    <w:rsid w:val="0C583F4F"/>
    <w:rsid w:val="0D2072BE"/>
    <w:rsid w:val="1622164B"/>
    <w:rsid w:val="17F84998"/>
    <w:rsid w:val="1CBE040B"/>
    <w:rsid w:val="23103A2A"/>
    <w:rsid w:val="273F6F84"/>
    <w:rsid w:val="292755D8"/>
    <w:rsid w:val="294D3E85"/>
    <w:rsid w:val="2A5D71C9"/>
    <w:rsid w:val="2E614D1A"/>
    <w:rsid w:val="2EFF36ED"/>
    <w:rsid w:val="34AA6D2B"/>
    <w:rsid w:val="34F430C0"/>
    <w:rsid w:val="37173543"/>
    <w:rsid w:val="39757FCA"/>
    <w:rsid w:val="3A8D4070"/>
    <w:rsid w:val="3C331A43"/>
    <w:rsid w:val="3CA3521A"/>
    <w:rsid w:val="3CCC084C"/>
    <w:rsid w:val="3E6D60DB"/>
    <w:rsid w:val="3F550684"/>
    <w:rsid w:val="3FF76880"/>
    <w:rsid w:val="417272B3"/>
    <w:rsid w:val="43744EF9"/>
    <w:rsid w:val="4A6E4F95"/>
    <w:rsid w:val="4CE554C8"/>
    <w:rsid w:val="4D4A15E7"/>
    <w:rsid w:val="50290C58"/>
    <w:rsid w:val="53136C5F"/>
    <w:rsid w:val="58CE5DD8"/>
    <w:rsid w:val="594823EE"/>
    <w:rsid w:val="5A6D4B9A"/>
    <w:rsid w:val="5B765D22"/>
    <w:rsid w:val="5C073259"/>
    <w:rsid w:val="60BA3574"/>
    <w:rsid w:val="62232B46"/>
    <w:rsid w:val="628725ED"/>
    <w:rsid w:val="62E707D8"/>
    <w:rsid w:val="69BB53D3"/>
    <w:rsid w:val="6E315DDA"/>
    <w:rsid w:val="6F1757BF"/>
    <w:rsid w:val="6F1819E3"/>
    <w:rsid w:val="71AE6998"/>
    <w:rsid w:val="73BD6240"/>
    <w:rsid w:val="74DF422A"/>
    <w:rsid w:val="787B367A"/>
    <w:rsid w:val="79A304E1"/>
    <w:rsid w:val="7AB7FF50"/>
    <w:rsid w:val="7BFEB0DB"/>
    <w:rsid w:val="7C273D49"/>
    <w:rsid w:val="7E040D1A"/>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val="0"/>
      <w:spacing w:before="0" w:after="120"/>
      <w:ind w:left="420" w:leftChars="200" w:right="0"/>
      <w:jc w:val="both"/>
    </w:pPr>
    <w:rPr>
      <w:rFonts w:ascii="Calibri" w:hAnsi="Calibri" w:eastAsia="宋体" w:cs="Times New Roman"/>
      <w:kern w:val="2"/>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qFormat/>
    <w:uiPriority w:val="99"/>
    <w:pPr>
      <w:spacing w:line="240" w:lineRule="auto"/>
      <w:ind w:firstLine="0" w:firstLineChars="0"/>
    </w:pPr>
    <w:rPr>
      <w:rFonts w:ascii="Calibri" w:hAnsi="Calibri" w:cs="Calibri"/>
      <w:sz w:val="21"/>
      <w:szCs w:val="21"/>
    </w:rPr>
  </w:style>
  <w:style w:type="paragraph" w:styleId="7">
    <w:name w:val="Body Text First Indent 2"/>
    <w:basedOn w:val="3"/>
    <w:qFormat/>
    <w:uiPriority w:val="0"/>
    <w:pPr>
      <w:widowControl w:val="0"/>
      <w:spacing w:before="0" w:after="120"/>
      <w:ind w:left="420" w:leftChars="200" w:right="0" w:firstLine="420" w:firstLineChars="200"/>
      <w:jc w:val="both"/>
    </w:pPr>
    <w:rPr>
      <w:rFonts w:ascii="Calibri" w:hAnsi="Calibri" w:eastAsia="宋体" w:cs="Times New Roman"/>
      <w:kern w:val="2"/>
      <w:sz w:val="21"/>
      <w:szCs w:val="24"/>
      <w:lang w:val="en-US" w:eastAsia="zh-CN" w:bidi="ar-SA"/>
    </w:rPr>
  </w:style>
  <w:style w:type="paragraph" w:customStyle="1" w:styleId="10">
    <w:name w:val="列出段落1"/>
    <w:basedOn w:val="1"/>
    <w:qFormat/>
    <w:uiPriority w:val="34"/>
    <w:pPr>
      <w:ind w:firstLine="420" w:firstLineChars="200"/>
    </w:pPr>
    <w:rPr>
      <w:rFonts w:ascii="Calibri" w:hAnsi="Calibri" w:cs="黑体"/>
      <w:szCs w:val="22"/>
    </w:rPr>
  </w:style>
  <w:style w:type="character" w:customStyle="1" w:styleId="11">
    <w:name w:val="font01"/>
    <w:basedOn w:val="9"/>
    <w:qFormat/>
    <w:uiPriority w:val="0"/>
    <w:rPr>
      <w:rFonts w:hint="eastAsia" w:ascii="仿宋_GB2312" w:eastAsia="仿宋_GB2312" w:cs="仿宋_GB2312"/>
      <w:color w:val="000000"/>
      <w:sz w:val="28"/>
      <w:szCs w:val="28"/>
      <w:u w:val="none"/>
    </w:rPr>
  </w:style>
  <w:style w:type="character" w:customStyle="1" w:styleId="12">
    <w:name w:val="font21"/>
    <w:basedOn w:val="9"/>
    <w:qFormat/>
    <w:uiPriority w:val="0"/>
    <w:rPr>
      <w:rFonts w:hint="default" w:ascii="Times New Roman" w:hAnsi="Times New Roman" w:cs="Times New Roman"/>
      <w:color w:val="000000"/>
      <w:sz w:val="28"/>
      <w:szCs w:val="28"/>
      <w:u w:val="none"/>
    </w:rPr>
  </w:style>
  <w:style w:type="character" w:customStyle="1" w:styleId="13">
    <w:name w:val="font31"/>
    <w:basedOn w:val="9"/>
    <w:qFormat/>
    <w:uiPriority w:val="0"/>
    <w:rPr>
      <w:rFonts w:hint="eastAsia" w:ascii="宋体" w:hAnsi="宋体" w:eastAsia="宋体" w:cs="宋体"/>
      <w:b/>
      <w:color w:val="000000"/>
      <w:sz w:val="22"/>
      <w:szCs w:val="22"/>
      <w:u w:val="none"/>
    </w:rPr>
  </w:style>
  <w:style w:type="character" w:customStyle="1" w:styleId="14">
    <w:name w:val="font121"/>
    <w:basedOn w:val="9"/>
    <w:qFormat/>
    <w:uiPriority w:val="0"/>
    <w:rPr>
      <w:rFonts w:hint="eastAsia" w:ascii="宋体" w:hAnsi="宋体" w:eastAsia="宋体" w:cs="宋体"/>
      <w:b/>
      <w:color w:val="000000"/>
      <w:sz w:val="18"/>
      <w:szCs w:val="18"/>
      <w:u w:val="none"/>
    </w:rPr>
  </w:style>
  <w:style w:type="character" w:customStyle="1" w:styleId="15">
    <w:name w:val="font51"/>
    <w:basedOn w:val="9"/>
    <w:qFormat/>
    <w:uiPriority w:val="0"/>
    <w:rPr>
      <w:rFonts w:hint="default" w:ascii="Times New Roman" w:hAnsi="Times New Roman" w:cs="Times New Roman"/>
      <w:b/>
      <w:color w:val="000000"/>
      <w:sz w:val="18"/>
      <w:szCs w:val="18"/>
      <w:u w:val="none"/>
    </w:rPr>
  </w:style>
  <w:style w:type="character" w:customStyle="1" w:styleId="16">
    <w:name w:val="font71"/>
    <w:basedOn w:val="9"/>
    <w:qFormat/>
    <w:uiPriority w:val="0"/>
    <w:rPr>
      <w:rFonts w:hint="eastAsia" w:ascii="宋体" w:hAnsi="宋体" w:eastAsia="宋体" w:cs="宋体"/>
      <w:b/>
      <w:color w:val="000000"/>
      <w:sz w:val="18"/>
      <w:szCs w:val="18"/>
      <w:u w:val="none"/>
    </w:rPr>
  </w:style>
  <w:style w:type="character" w:customStyle="1" w:styleId="17">
    <w:name w:val="font101"/>
    <w:basedOn w:val="9"/>
    <w:qFormat/>
    <w:uiPriority w:val="0"/>
    <w:rPr>
      <w:rFonts w:hint="default" w:ascii="Times New Roman" w:hAnsi="Times New Roman" w:cs="Times New Roman"/>
      <w:b/>
      <w:color w:val="000000"/>
      <w:sz w:val="18"/>
      <w:szCs w:val="18"/>
      <w:u w:val="none"/>
    </w:rPr>
  </w:style>
  <w:style w:type="character" w:customStyle="1" w:styleId="18">
    <w:name w:val="font61"/>
    <w:basedOn w:val="9"/>
    <w:qFormat/>
    <w:uiPriority w:val="0"/>
    <w:rPr>
      <w:rFonts w:hint="eastAsia" w:ascii="宋体" w:hAnsi="宋体" w:eastAsia="宋体" w:cs="宋体"/>
      <w:b/>
      <w:color w:val="000000"/>
      <w:sz w:val="18"/>
      <w:szCs w:val="18"/>
      <w:u w:val="none"/>
    </w:rPr>
  </w:style>
  <w:style w:type="character" w:customStyle="1" w:styleId="19">
    <w:name w:val="font91"/>
    <w:basedOn w:val="9"/>
    <w:qFormat/>
    <w:uiPriority w:val="0"/>
    <w:rPr>
      <w:rFonts w:hint="default" w:ascii="Times New Roman" w:hAnsi="Times New Roman" w:cs="Times New Roman"/>
      <w:b/>
      <w:color w:val="000000"/>
      <w:sz w:val="18"/>
      <w:szCs w:val="18"/>
      <w:u w:val="none"/>
    </w:rPr>
  </w:style>
  <w:style w:type="character" w:customStyle="1" w:styleId="20">
    <w:name w:val="font41"/>
    <w:basedOn w:val="9"/>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1610</Words>
  <Characters>1650</Characters>
  <Lines>2</Lines>
  <Paragraphs>1</Paragraphs>
  <TotalTime>1</TotalTime>
  <ScaleCrop>false</ScaleCrop>
  <LinksUpToDate>false</LinksUpToDate>
  <CharactersWithSpaces>1662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john</cp:lastModifiedBy>
  <cp:lastPrinted>2025-02-17T08:18:00Z</cp:lastPrinted>
  <dcterms:modified xsi:type="dcterms:W3CDTF">2025-09-05T06:54:00Z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eyJoZGlkIjoiZWNiM2EyYzI1ZDNhZTVhZmIzZjNkYzEwMzlmYzI4YTAiLCJ1c2VySWQiOiI1NDQ1NDUzNzgifQ==</vt:lpwstr>
  </property>
  <property fmtid="{D5CDD505-2E9C-101B-9397-08002B2CF9AE}" pid="4" name="ICV">
    <vt:lpwstr>BB30F8C566D34EBD8FD8080595F2540B_13</vt:lpwstr>
  </property>
</Properties>
</file>