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0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77"/>
        <w:gridCol w:w="1078"/>
        <w:gridCol w:w="718"/>
        <w:gridCol w:w="1114"/>
        <w:gridCol w:w="217"/>
        <w:gridCol w:w="901"/>
        <w:gridCol w:w="837"/>
        <w:gridCol w:w="335"/>
        <w:gridCol w:w="303"/>
        <w:gridCol w:w="755"/>
        <w:gridCol w:w="644"/>
        <w:gridCol w:w="6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909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909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2021</w:t>
            </w:r>
            <w:r>
              <w:rPr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4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朝阳区入河排口及断面在线监测智慧化管理项目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北京市朝阳区生态环境局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北京市朝阳区生态环境局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张钧轶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65087822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180.5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180.5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178.91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99.12%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180.5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180.5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178.91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通过使用市级资金，安装入河排口及重要断面水质水量自动监测装置、入河排口标志牌，对弃用、非法排口进行封堵，加强辖区水环境相关工作管理</w:t>
            </w:r>
          </w:p>
        </w:tc>
        <w:tc>
          <w:tcPr>
            <w:tcW w:w="35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通过使用市级资金，安装了5套入河排口及重要断面水质水量自动监测装置、2个入河排口标志牌，已梳理了需要封堵的弃用、非法排口台账。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578" w:type="dxa"/>
            <w:vMerge w:val="continue"/>
            <w:tcBorders>
              <w:left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7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4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微型站-水质自动监测装置建设（9套）</w:t>
            </w: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5套</w:t>
            </w:r>
          </w:p>
        </w:tc>
        <w:tc>
          <w:tcPr>
            <w:tcW w:w="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5套</w:t>
            </w:r>
          </w:p>
        </w:tc>
        <w:tc>
          <w:tcPr>
            <w:tcW w:w="6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578" w:type="dxa"/>
            <w:vMerge w:val="continue"/>
            <w:tcBorders>
              <w:left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4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Cs w:val="0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24小时水量自动监测装置（9套）</w:t>
            </w: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5套</w:t>
            </w:r>
          </w:p>
        </w:tc>
        <w:tc>
          <w:tcPr>
            <w:tcW w:w="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5套</w:t>
            </w:r>
          </w:p>
        </w:tc>
        <w:tc>
          <w:tcPr>
            <w:tcW w:w="6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578" w:type="dxa"/>
            <w:vMerge w:val="continue"/>
            <w:tcBorders>
              <w:left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4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 w:val="0"/>
                <w:color w:val="000000"/>
                <w:kern w:val="0"/>
                <w:sz w:val="18"/>
                <w:szCs w:val="18"/>
              </w:rPr>
              <w:t>指标3：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周边视频监控装置建设（9套）</w:t>
            </w: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5套</w:t>
            </w:r>
          </w:p>
        </w:tc>
        <w:tc>
          <w:tcPr>
            <w:tcW w:w="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5套</w:t>
            </w:r>
          </w:p>
        </w:tc>
        <w:tc>
          <w:tcPr>
            <w:tcW w:w="6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578" w:type="dxa"/>
            <w:vMerge w:val="continue"/>
            <w:tcBorders>
              <w:left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4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 w:val="0"/>
                <w:color w:val="000000"/>
                <w:kern w:val="0"/>
                <w:sz w:val="18"/>
                <w:szCs w:val="18"/>
              </w:rPr>
              <w:t>指标4：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标志牌建设（20个）</w:t>
            </w: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2个</w:t>
            </w:r>
          </w:p>
        </w:tc>
        <w:tc>
          <w:tcPr>
            <w:tcW w:w="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2个</w:t>
            </w:r>
          </w:p>
        </w:tc>
        <w:tc>
          <w:tcPr>
            <w:tcW w:w="6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578" w:type="dxa"/>
            <w:vMerge w:val="continue"/>
            <w:tcBorders>
              <w:left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49" w:type="dxa"/>
            <w:gridSpan w:val="3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微型站-水质自动监测装置建设验收合格</w:t>
            </w:r>
          </w:p>
        </w:tc>
        <w:tc>
          <w:tcPr>
            <w:tcW w:w="901" w:type="dxa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638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755" w:type="dxa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578" w:type="dxa"/>
            <w:vMerge w:val="continue"/>
            <w:tcBorders>
              <w:left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Cs w:val="0"/>
                <w:color w:val="000000"/>
                <w:kern w:val="0"/>
                <w:sz w:val="18"/>
                <w:szCs w:val="18"/>
              </w:rPr>
              <w:t>指标2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24小时水量自动监测装置验收合格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578" w:type="dxa"/>
            <w:vMerge w:val="continue"/>
            <w:tcBorders>
              <w:left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 w:val="0"/>
                <w:color w:val="000000"/>
                <w:kern w:val="0"/>
                <w:sz w:val="18"/>
                <w:szCs w:val="18"/>
              </w:rPr>
              <w:t>指标3：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周边视频监控装置建设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578" w:type="dxa"/>
            <w:vMerge w:val="continue"/>
            <w:tcBorders>
              <w:left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项目立项准备时间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2021年8月前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2021年8月前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578" w:type="dxa"/>
            <w:vMerge w:val="continue"/>
            <w:tcBorders>
              <w:left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Cs w:val="0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设备供应商遴选时间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2021年8-9月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2021年8-9月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8" w:type="dxa"/>
            <w:vMerge w:val="continue"/>
            <w:tcBorders>
              <w:left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 w:val="0"/>
                <w:color w:val="000000"/>
                <w:kern w:val="0"/>
                <w:sz w:val="18"/>
                <w:szCs w:val="18"/>
              </w:rPr>
              <w:t>指标3：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设备安装时间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2022年2月前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2022年2月前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 w:val="continue"/>
            <w:tcBorders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 w:val="0"/>
                <w:color w:val="000000"/>
                <w:kern w:val="0"/>
                <w:sz w:val="18"/>
                <w:szCs w:val="18"/>
              </w:rPr>
              <w:t>指标4：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项目验收时间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2022年3月前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2022年3月前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exact"/>
          <w:jc w:val="center"/>
        </w:trPr>
        <w:tc>
          <w:tcPr>
            <w:tcW w:w="57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4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项目预算控制总数361万元</w:t>
            </w: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180.5万元</w:t>
            </w:r>
          </w:p>
        </w:tc>
        <w:tc>
          <w:tcPr>
            <w:tcW w:w="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178.9125万元</w:t>
            </w:r>
          </w:p>
        </w:tc>
        <w:tc>
          <w:tcPr>
            <w:tcW w:w="6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2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78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049" w:type="dxa"/>
            <w:gridSpan w:val="3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01" w:type="dxa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exact"/>
          <w:jc w:val="center"/>
        </w:trPr>
        <w:tc>
          <w:tcPr>
            <w:tcW w:w="578" w:type="dxa"/>
            <w:vMerge w:val="continue"/>
            <w:tcBorders>
              <w:left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nil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通过项目实施提升监管能力</w:t>
            </w: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通过安装在线水质监测、水量监测、视频监控、统一的标志牌等工作提升水环境监管能力</w:t>
            </w:r>
          </w:p>
        </w:tc>
        <w:tc>
          <w:tcPr>
            <w:tcW w:w="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通过安装在线水质监测、水量监测、视频监控、统一的标志牌等工作提升水环境监管能力</w:t>
            </w:r>
          </w:p>
        </w:tc>
        <w:tc>
          <w:tcPr>
            <w:tcW w:w="6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exact"/>
          <w:jc w:val="center"/>
        </w:trPr>
        <w:tc>
          <w:tcPr>
            <w:tcW w:w="578" w:type="dxa"/>
            <w:vMerge w:val="continue"/>
            <w:tcBorders>
              <w:left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nil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通过项目实施强化入河排口规范化建设</w:t>
            </w:r>
          </w:p>
        </w:tc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强化全区入河排口规范化建设，通过排污口整治，促进改善区域水质环境</w:t>
            </w:r>
          </w:p>
        </w:tc>
        <w:tc>
          <w:tcPr>
            <w:tcW w:w="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强化全区入河排口规范化建设，通过排污口整治，促进改善区域水质环境</w:t>
            </w:r>
          </w:p>
        </w:tc>
        <w:tc>
          <w:tcPr>
            <w:tcW w:w="6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项目实施效果有待在后期展现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exact"/>
          <w:jc w:val="center"/>
        </w:trPr>
        <w:tc>
          <w:tcPr>
            <w:tcW w:w="578" w:type="dxa"/>
            <w:vMerge w:val="continue"/>
            <w:tcBorders>
              <w:left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通过项目实施，对新发现废弃、非法排口进行封堵，提升辖区水环境管理可持续影响</w:t>
            </w:r>
          </w:p>
        </w:tc>
        <w:tc>
          <w:tcPr>
            <w:tcW w:w="901" w:type="dxa"/>
            <w:tcBorders>
              <w:top w:val="single" w:color="000000" w:sz="2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强化对重点入河排口及“十四五”时期我区新增市级考核断面的监管</w:t>
            </w:r>
          </w:p>
        </w:tc>
        <w:tc>
          <w:tcPr>
            <w:tcW w:w="837" w:type="dxa"/>
            <w:tcBorders>
              <w:top w:val="single" w:color="000000" w:sz="2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强化对重点入河排口及“十四五”时期我区新增市级考核断面的监管</w:t>
            </w:r>
          </w:p>
        </w:tc>
        <w:tc>
          <w:tcPr>
            <w:tcW w:w="638" w:type="dxa"/>
            <w:gridSpan w:val="2"/>
            <w:tcBorders>
              <w:top w:val="single" w:color="000000" w:sz="2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755" w:type="dxa"/>
            <w:tcBorders>
              <w:top w:val="single" w:color="000000" w:sz="2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项目实施效果有待在后期展现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578" w:type="dxa"/>
            <w:vMerge w:val="continue"/>
            <w:tcBorders>
              <w:left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上级部门/领导满意度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≥90%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95%</w:t>
            </w:r>
          </w:p>
        </w:tc>
        <w:tc>
          <w:tcPr>
            <w:tcW w:w="638" w:type="dxa"/>
            <w:gridSpan w:val="2"/>
            <w:tcBorders>
              <w:top w:val="single" w:color="auto" w:sz="4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578" w:type="dxa"/>
            <w:vMerge w:val="continue"/>
            <w:tcBorders>
              <w:left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Cs w:val="0"/>
                <w:color w:val="000000"/>
                <w:kern w:val="0"/>
                <w:sz w:val="18"/>
                <w:szCs w:val="18"/>
              </w:rPr>
              <w:t>指标2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设备使用人员满意度</w:t>
            </w:r>
          </w:p>
        </w:tc>
        <w:tc>
          <w:tcPr>
            <w:tcW w:w="901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≥90%</w:t>
            </w:r>
          </w:p>
        </w:tc>
        <w:tc>
          <w:tcPr>
            <w:tcW w:w="837" w:type="dxa"/>
            <w:tcBorders>
              <w:top w:val="nil"/>
              <w:left w:val="nil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95%</w:t>
            </w:r>
          </w:p>
        </w:tc>
        <w:tc>
          <w:tcPr>
            <w:tcW w:w="6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2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38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55" w:type="dxa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.91</w:t>
            </w:r>
          </w:p>
        </w:tc>
        <w:tc>
          <w:tcPr>
            <w:tcW w:w="1282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bookmarkEnd w:id="0"/>
    </w:tbl>
    <w:p>
      <w:pPr>
        <w:widowControl/>
        <w:spacing w:line="360" w:lineRule="auto"/>
        <w:ind w:firstLine="241" w:firstLineChars="100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hint="eastAsia" w:ascii="宋体" w:hAnsi="宋体"/>
          <w:sz w:val="24"/>
          <w:szCs w:val="32"/>
        </w:rPr>
        <w:t>张凯彬</w:t>
      </w:r>
      <w:r>
        <w:rPr>
          <w:rFonts w:ascii="宋体" w:hAnsi="宋体"/>
          <w:sz w:val="24"/>
          <w:szCs w:val="32"/>
        </w:rPr>
        <w:t xml:space="preserve">    </w:t>
      </w:r>
      <w:r>
        <w:rPr>
          <w:rFonts w:hint="eastAsia" w:ascii="宋体" w:hAnsi="宋体"/>
          <w:sz w:val="24"/>
          <w:szCs w:val="32"/>
        </w:rPr>
        <w:t xml:space="preserve">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hint="eastAsia" w:ascii="宋体" w:hAnsi="宋体"/>
          <w:sz w:val="24"/>
          <w:szCs w:val="32"/>
        </w:rPr>
        <w:t>65087822</w:t>
      </w:r>
      <w:r>
        <w:rPr>
          <w:rFonts w:ascii="宋体" w:hAnsi="宋体"/>
          <w:sz w:val="24"/>
          <w:szCs w:val="32"/>
        </w:rPr>
        <w:t xml:space="preserve">    </w:t>
      </w:r>
      <w:r>
        <w:rPr>
          <w:rFonts w:hint="eastAsia" w:ascii="宋体" w:hAnsi="宋体"/>
          <w:sz w:val="24"/>
          <w:szCs w:val="32"/>
        </w:rPr>
        <w:t xml:space="preserve">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hint="eastAsia" w:ascii="宋体" w:hAnsi="宋体"/>
          <w:sz w:val="24"/>
          <w:szCs w:val="32"/>
        </w:rPr>
        <w:t>2022年1月8日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36F4"/>
    <w:rsid w:val="00022E65"/>
    <w:rsid w:val="001D36F4"/>
    <w:rsid w:val="00257E54"/>
    <w:rsid w:val="002C3F25"/>
    <w:rsid w:val="03F35283"/>
    <w:rsid w:val="08DF474E"/>
    <w:rsid w:val="0A982E07"/>
    <w:rsid w:val="0AB3379D"/>
    <w:rsid w:val="0AB47859"/>
    <w:rsid w:val="1BD619E1"/>
    <w:rsid w:val="1C0F6782"/>
    <w:rsid w:val="224138CC"/>
    <w:rsid w:val="245D3851"/>
    <w:rsid w:val="275859A0"/>
    <w:rsid w:val="2D0B7011"/>
    <w:rsid w:val="2EA80FBB"/>
    <w:rsid w:val="356C63A6"/>
    <w:rsid w:val="36054C9A"/>
    <w:rsid w:val="3C8D359E"/>
    <w:rsid w:val="407D695D"/>
    <w:rsid w:val="40AA0BC3"/>
    <w:rsid w:val="46FF5F5D"/>
    <w:rsid w:val="495E1254"/>
    <w:rsid w:val="521E0DE5"/>
    <w:rsid w:val="53115DB4"/>
    <w:rsid w:val="563D5F2D"/>
    <w:rsid w:val="56B71078"/>
    <w:rsid w:val="573A7355"/>
    <w:rsid w:val="5D363A5E"/>
    <w:rsid w:val="60C6076F"/>
    <w:rsid w:val="634E337B"/>
    <w:rsid w:val="63520F1A"/>
    <w:rsid w:val="6D611D5A"/>
    <w:rsid w:val="6D8D2B4F"/>
    <w:rsid w:val="6F47458A"/>
    <w:rsid w:val="707935A0"/>
    <w:rsid w:val="74E81416"/>
    <w:rsid w:val="76B255A9"/>
    <w:rsid w:val="7911045C"/>
    <w:rsid w:val="7BB73BB8"/>
    <w:rsid w:val="7CA3642A"/>
    <w:rsid w:val="7D9D293A"/>
    <w:rsid w:val="7E8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9">
    <w:name w:val="批注框文本 Char"/>
    <w:basedOn w:val="7"/>
    <w:link w:val="3"/>
    <w:qFormat/>
    <w:uiPriority w:val="0"/>
    <w:rPr>
      <w:rFonts w:ascii="Times New Roman" w:hAnsi="Times New Roman" w:eastAsia="宋体" w:cs="Times New Roman"/>
      <w:b/>
      <w:bCs/>
      <w:kern w:val="2"/>
      <w:sz w:val="18"/>
      <w:szCs w:val="18"/>
    </w:rPr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 w:eastAsia="宋体" w:cs="Times New Roman"/>
      <w:b/>
      <w:bCs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="Times New Roman" w:hAnsi="Times New Roman" w:eastAsia="宋体" w:cs="Times New Roman"/>
      <w:b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277</Words>
  <Characters>1585</Characters>
  <Lines>13</Lines>
  <Paragraphs>3</Paragraphs>
  <TotalTime>35</TotalTime>
  <ScaleCrop>false</ScaleCrop>
  <LinksUpToDate>false</LinksUpToDate>
  <CharactersWithSpaces>1859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2022-01-08T00:40:00Z</dcterms:created>
  <dc:creator>LT040185</dc:creator>
  <cp:lastModifiedBy>潘潘</cp:lastModifiedBy>
  <dcterms:modified xsi:type="dcterms:W3CDTF">2022-01-11T06:07:35Z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98EFCC0E3A1142D7B63BD3CC67C394DC</vt:lpwstr>
  </property>
</Properties>
</file>