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0" w:after="0" w:afterAutospacing="0" w:line="560" w:lineRule="atLeast"/>
        <w:ind w:left="4400" w:right="0" w:hanging="720"/>
        <w:jc w:val="both"/>
        <w:rPr>
          <w:rFonts w:hint="default" w:ascii="Times New Roman" w:hAnsi="Times New Roman" w:cs="Times New Roman"/>
          <w:sz w:val="21"/>
          <w:szCs w:val="21"/>
        </w:rPr>
      </w:pPr>
      <w:r>
        <w:rPr>
          <w:rFonts w:ascii="黑体" w:hAnsi="宋体" w:eastAsia="黑体" w:cs="黑体"/>
          <w:sz w:val="32"/>
          <w:szCs w:val="32"/>
        </w:rPr>
        <w:t>一、</w:t>
      </w:r>
      <w:r>
        <w:rPr>
          <w:rFonts w:ascii="Times New Roman" w:hAnsi="Times New Roman" w:eastAsia="黑体" w:cs="Times New Roman"/>
          <w:sz w:val="14"/>
          <w:szCs w:val="14"/>
        </w:rPr>
        <w:t xml:space="preserve"> </w:t>
      </w:r>
      <w:r>
        <w:rPr>
          <w:rFonts w:hint="eastAsia" w:ascii="黑体" w:hAnsi="宋体" w:eastAsia="黑体" w:cs="黑体"/>
          <w:sz w:val="32"/>
          <w:szCs w:val="32"/>
        </w:rPr>
        <w:t>概述</w:t>
      </w:r>
    </w:p>
    <w:p>
      <w:pPr>
        <w:pStyle w:val="2"/>
        <w:keepNext w:val="0"/>
        <w:keepLines w:val="0"/>
        <w:widowControl/>
        <w:suppressLineNumbers w:val="0"/>
        <w:spacing w:before="0" w:beforeAutospacing="0" w:after="0" w:afterAutospacing="0" w:line="560" w:lineRule="atLeast"/>
        <w:ind w:left="4400" w:right="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600"/>
        <w:jc w:val="left"/>
        <w:rPr>
          <w:rFonts w:hint="default" w:ascii="Times New Roman" w:hAnsi="Times New Roman" w:cs="Times New Roman"/>
          <w:sz w:val="21"/>
          <w:szCs w:val="21"/>
        </w:rPr>
      </w:pPr>
      <w:r>
        <w:rPr>
          <w:rFonts w:ascii="仿宋" w:hAnsi="仿宋" w:eastAsia="仿宋" w:cs="仿宋"/>
          <w:sz w:val="32"/>
          <w:szCs w:val="32"/>
        </w:rPr>
        <w:t>2017</w:t>
      </w:r>
      <w:r>
        <w:rPr>
          <w:rFonts w:hint="eastAsia" w:ascii="仿宋" w:hAnsi="仿宋" w:eastAsia="仿宋" w:cs="仿宋"/>
          <w:sz w:val="32"/>
          <w:szCs w:val="32"/>
        </w:rPr>
        <w:t>年，在区政府信息公开办公室的指导和帮助下，在工委、办事处领导的重视下，望京街道办事处按照《朝阳区2017年政务公开工作要点》和《北京市重点领域政务公开三级清单》（街乡）要求，进一步加强组织领导，完善街道信息公开工作制度，明确职责分工，落实日常监管，提高信息质量，并积极创新和拓展公开渠道，主动回应和服务社会关切；坚持“服务管理规范化、服务环境优美化、服务功能多样化、服务窗口标准化、服务项目优质化”的“五化”标准，作为我单位政府信息公开实体场所的为民服务中心标准化建设进一步规范。为加强对政务公开工作的组织领导，上半年对望京街道政务公开领导小组成员及其职责进行了调整，进一步强调了领导小组及办公室成员职责，明确了具体负责人员及专职员；为确保发布的政府信息及时、准确、一致，制订了《望京街道政府信息公开发布协调制度》；为切实落实公文公开工作，制订了《望京街道公文公开属性源头认定机制》；我单位还制订了《望京街道政府信息公开保密审查制度》，政府信息公开工作更加科学、规范。同时，为强化工作的落实，年内主要领导牵头专题研究政府信息公开工作、召开科室、队、所层面的沟通协调会、机关全体干部的学习培训会各一次，从而确保各项工作落实到位，行政效能得到了增强。</w:t>
      </w:r>
    </w:p>
    <w:p>
      <w:pPr>
        <w:pStyle w:val="2"/>
        <w:keepNext w:val="0"/>
        <w:keepLines w:val="0"/>
        <w:widowControl/>
        <w:suppressLineNumbers w:val="0"/>
        <w:snapToGrid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年度内所公开的政府信息，能全面反映本街道全方位工作，到位达到了辖区居民、社区单位及时全面了解办事处重点工作、服务内容，方便居民查询所需信息的目的。同时，确保制度性、政策性内容长期公开，阶段性、经常性工作及时公开，动态性工作、舆情反馈类信息随时公开。对事关全局、公众普遍关注和触及公众切身利益的重要事项实行决策前公开、实施过程公开、实施结果及时公开。自动公开街道各部门的便民措施、工作制度、违纪、违建的情况及责任清查查处结果。</w:t>
      </w:r>
    </w:p>
    <w:p>
      <w:pPr>
        <w:pStyle w:val="2"/>
        <w:keepNext w:val="0"/>
        <w:keepLines w:val="0"/>
        <w:widowControl/>
        <w:suppressLineNumbers w:val="0"/>
        <w:spacing w:before="0" w:beforeAutospacing="0" w:after="0" w:afterAutospacing="0" w:line="560" w:lineRule="atLeast"/>
        <w:ind w:left="0" w:right="0" w:firstLine="600"/>
        <w:jc w:val="left"/>
        <w:rPr>
          <w:rFonts w:hint="default" w:ascii="Times New Roman" w:hAnsi="Times New Roman" w:cs="Times New Roman"/>
          <w:sz w:val="21"/>
          <w:szCs w:val="21"/>
        </w:rPr>
      </w:pPr>
      <w:r>
        <w:rPr>
          <w:rFonts w:hint="eastAsia" w:ascii="仿宋" w:hAnsi="仿宋" w:eastAsia="仿宋" w:cs="仿宋"/>
          <w:sz w:val="32"/>
          <w:szCs w:val="32"/>
        </w:rPr>
        <w:t>截至2017年底，街道政府信息公开工作运行正常，政府信息公开咨询、申请以及答复工作均顺利开展。</w:t>
      </w:r>
    </w:p>
    <w:p>
      <w:pPr>
        <w:pStyle w:val="2"/>
        <w:keepNext w:val="0"/>
        <w:keepLines w:val="0"/>
        <w:widowControl/>
        <w:suppressLineNumbers w:val="0"/>
        <w:spacing w:before="0" w:beforeAutospacing="0" w:after="0"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sz w:val="32"/>
          <w:szCs w:val="32"/>
        </w:rPr>
        <w:t>二、主动公开情况</w:t>
      </w:r>
    </w:p>
    <w:p>
      <w:pPr>
        <w:pStyle w:val="2"/>
        <w:keepNext w:val="0"/>
        <w:keepLines w:val="0"/>
        <w:widowControl/>
        <w:suppressLineNumbers w:val="0"/>
        <w:spacing w:before="0" w:beforeAutospacing="0" w:after="0" w:afterAutospacing="0" w:line="560" w:lineRule="atLeast"/>
        <w:ind w:left="0" w:right="0" w:firstLine="320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ascii="楷体" w:hAnsi="楷体" w:eastAsia="楷体" w:cs="楷体"/>
          <w:b/>
          <w:sz w:val="32"/>
          <w:szCs w:val="32"/>
        </w:rPr>
        <w:t>（一）公开情况</w:t>
      </w:r>
    </w:p>
    <w:p>
      <w:pPr>
        <w:pStyle w:val="2"/>
        <w:keepNext w:val="0"/>
        <w:keepLines w:val="0"/>
        <w:widowControl/>
        <w:suppressLineNumbers w:val="0"/>
        <w:snapToGrid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为扎实推进政务公开工作，我街道按照《朝阳区2017年政务公开工作要点》和《北京市重点领域政务公开三级清单》（街乡），完善政府信息公开目录和政府信息公开指南，严格审定公开内容，做到该公开的及时全面公开。加强网站建设，不断调整和完善网站功能和栏目设置，新开设专栏4个。全年主动公开政府信息463条，其中主动公开规范性文件19件；重点领域公开政府信息148条，其中主动公开财政预算决算、“三公经费”和行政经费信息2条，主动公开食品安全标准，食品生产经营许可、专项检查整治等信息49条；主动公开生产安全事故的政府举措、处置进展、风险预警、防范措施等信息7条；主动公开行政机关对与人民群众利益密切相关的公共企事业单位进行监督管理的信息83条。每周按照第三方测评工单，立行立改，确保公开质量；每月按要求完成纸质文件和目录的移送工作，全年移送信息308条。针对居民关切的社区环境、交通、公共服务等问题，通过街道政府网站、望京社区报、望京微语公众号以及为民服务中心自助查询一体机等，及时发布、宣传；制订了《关于北京日报“政府与市民”版反映问题及领导批办舆情问题等专项督查落实整改的工作方案》，健全相应的工作机制和流程，针对媒体反映问题整改到位，及时回应和反馈</w:t>
      </w:r>
      <w:r>
        <w:rPr>
          <w:rFonts w:hint="eastAsia" w:ascii="仿宋" w:hAnsi="仿宋" w:eastAsia="仿宋" w:cs="仿宋"/>
          <w:sz w:val="32"/>
          <w:szCs w:val="32"/>
          <w:shd w:val="clear" w:fill="FFFFFF"/>
        </w:rPr>
        <w:t>凯尔宝宝幼儿园、大西洋楼顶违建、望京西园四区垃圾</w:t>
      </w:r>
      <w:r>
        <w:rPr>
          <w:rFonts w:hint="eastAsia" w:ascii="仿宋" w:hAnsi="仿宋" w:eastAsia="仿宋" w:cs="仿宋"/>
          <w:sz w:val="32"/>
          <w:szCs w:val="32"/>
        </w:rPr>
        <w:t>等热点舆情56起。同时利用微博、微信回应事件42次，今日望京社区报回应23次，政策解读36件。</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楷体" w:hAnsi="楷体" w:eastAsia="楷体" w:cs="楷体"/>
          <w:b/>
          <w:sz w:val="32"/>
          <w:szCs w:val="32"/>
        </w:rPr>
        <w:t>（二）公开形式</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sz w:val="32"/>
          <w:szCs w:val="32"/>
        </w:rPr>
        <w:t>1. 政府网站</w:t>
      </w:r>
      <w:r>
        <w:rPr>
          <w:rFonts w:hint="eastAsia" w:ascii="仿宋" w:hAnsi="仿宋" w:eastAsia="仿宋" w:cs="仿宋"/>
          <w:sz w:val="32"/>
          <w:szCs w:val="32"/>
        </w:rPr>
        <w:t>。自《北京市重点领域政务公开三级清单》（街乡）实施之日起，街道在外网平台的工作动态、社区动态、党务公开、党政群共商共治等栏目中，及时登载政务服务、民生服务和行政执法各类信息，确保工作信息每日有更新，确保能电子化公开的文件、内容全部实现电子化，确保能主动公开的内容无需居民申请全部主动公开。</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sz w:val="32"/>
          <w:szCs w:val="32"/>
        </w:rPr>
        <w:t>2</w:t>
      </w:r>
      <w:r>
        <w:rPr>
          <w:rFonts w:hint="eastAsia" w:ascii="仿宋" w:hAnsi="仿宋" w:eastAsia="仿宋" w:cs="仿宋"/>
          <w:sz w:val="32"/>
          <w:szCs w:val="32"/>
        </w:rPr>
        <w:t xml:space="preserve">. </w:t>
      </w:r>
      <w:r>
        <w:rPr>
          <w:rFonts w:hint="eastAsia" w:ascii="仿宋" w:hAnsi="仿宋" w:eastAsia="仿宋" w:cs="仿宋"/>
          <w:b/>
          <w:sz w:val="32"/>
          <w:szCs w:val="32"/>
        </w:rPr>
        <w:t>望京网、社区报。</w:t>
      </w:r>
      <w:r>
        <w:rPr>
          <w:rFonts w:hint="eastAsia" w:ascii="仿宋" w:hAnsi="仿宋" w:eastAsia="仿宋" w:cs="仿宋"/>
          <w:sz w:val="32"/>
          <w:szCs w:val="32"/>
        </w:rPr>
        <w:t>为地区居民及时了解政府信息情况和提供各类便利，街道整合地区望京网、社区网站等资源，及时公布政务办事程序；与北青传媒合作，开设“今日望京”专版公开政府政策、工作动态等有关信息，扩大居民的知晓率和参与率。全年共出版《今日望京》社区报24期，其中出版十九大专刊2期，“圆冬”行动专刊2期。新华社、人民网等国家级媒体报道18篇，《北京日报》、北京电视台等市级媒体报道140篇，《朝阳报》、朝阳有线、朝阳APP等区级媒体报道110篇。针对今年辖区最大的工程项目——望京体育文化广场约22000平米的还建项目，委托地区最具影响力的商业网站“望京网”进行意见建议征求，上百条跟帖表达认可并提出较好意见。</w:t>
      </w:r>
    </w:p>
    <w:p>
      <w:pPr>
        <w:pStyle w:val="2"/>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sz w:val="21"/>
          <w:szCs w:val="21"/>
        </w:rPr>
      </w:pPr>
      <w:r>
        <w:rPr>
          <w:rFonts w:hint="eastAsia" w:ascii="仿宋" w:hAnsi="仿宋" w:eastAsia="仿宋" w:cs="仿宋"/>
          <w:b/>
          <w:sz w:val="32"/>
          <w:szCs w:val="32"/>
        </w:rPr>
        <w:t>3</w:t>
      </w:r>
      <w:r>
        <w:rPr>
          <w:rFonts w:hint="eastAsia" w:ascii="仿宋" w:hAnsi="仿宋" w:eastAsia="仿宋" w:cs="仿宋"/>
          <w:sz w:val="32"/>
          <w:szCs w:val="32"/>
        </w:rPr>
        <w:t xml:space="preserve">. </w:t>
      </w:r>
      <w:r>
        <w:rPr>
          <w:rFonts w:hint="eastAsia" w:ascii="仿宋" w:hAnsi="仿宋" w:eastAsia="仿宋" w:cs="仿宋"/>
          <w:b/>
          <w:sz w:val="32"/>
          <w:szCs w:val="32"/>
        </w:rPr>
        <w:t>“望京微语”微信公众号及新浪微博“望京街道办事处”</w:t>
      </w:r>
      <w:r>
        <w:rPr>
          <w:rFonts w:hint="eastAsia" w:ascii="仿宋" w:hAnsi="仿宋" w:eastAsia="仿宋" w:cs="仿宋"/>
          <w:sz w:val="32"/>
          <w:szCs w:val="32"/>
        </w:rPr>
        <w:t>。针对望京居民年轻化、收入高、受教育程度高的特点，结合当前形势，建立了“望京微语”微信公众平台，每周两期，推出特色鲜明、网民欢迎的微话题、微活动，构建线上线下组织引导机制，大力宣传街道办事处安全监管及行政处罚信息，政策法规解读，及时澄清不完整信息。目前，望京微语关注量为4953个（粉丝），今年以来推送图文信息600余篇。新浪微博“望京街道办事处”关注量为189个，今年以来推送图文信息189篇。</w:t>
      </w:r>
    </w:p>
    <w:p>
      <w:pPr>
        <w:pStyle w:val="2"/>
        <w:keepNext w:val="0"/>
        <w:keepLines w:val="0"/>
        <w:widowControl/>
        <w:suppressLineNumbers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sz w:val="32"/>
          <w:szCs w:val="32"/>
        </w:rPr>
        <w:t>4.“望京居民建言直通车”微信群</w:t>
      </w:r>
      <w:r>
        <w:rPr>
          <w:rFonts w:hint="eastAsia" w:ascii="仿宋" w:hAnsi="仿宋" w:eastAsia="仿宋" w:cs="仿宋"/>
          <w:sz w:val="32"/>
          <w:szCs w:val="32"/>
        </w:rPr>
        <w:t>。结合包片联系社区机制，每名处级和科长至少联系10名普通居民，“望京**社区居民建言直通车”微信群34个，进一步畅通诉求渠道，听取建言献策，并建立“即知即改”机制，形成街道内部发现-解决-反馈问题的闭环体系，确保问题发现在属地，解决在属地。取得了第三季度群众安全感满意度名列街道系统第２名的好成绩。</w:t>
      </w:r>
    </w:p>
    <w:p>
      <w:pPr>
        <w:pStyle w:val="2"/>
        <w:keepNext w:val="0"/>
        <w:keepLines w:val="0"/>
        <w:widowControl/>
        <w:suppressLineNumbers w:val="0"/>
        <w:snapToGrid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sz w:val="32"/>
          <w:szCs w:val="32"/>
        </w:rPr>
        <w:t>5.综合服务窗口</w:t>
      </w:r>
      <w:r>
        <w:rPr>
          <w:rFonts w:hint="eastAsia" w:ascii="仿宋" w:hAnsi="仿宋" w:eastAsia="仿宋" w:cs="仿宋"/>
          <w:sz w:val="32"/>
          <w:szCs w:val="32"/>
        </w:rPr>
        <w:t>。为方便辖区居民了解、查询主动公开的政府信息，街道在望京为民服务中心、各社区服务站设立政府信息公开综合服务窗口，为居民主动提供信息折页，并负责依申请公开政府信息的接待、受理；为方便居民及时了解各类信息，街道还在为民服务中心设立了政务信息查询触摸屏；进一步梳理权责清单，优化审批流程，规范行政服务大厅管理，制定并印发《望京街道为民服务大厅管理制度》和《望京街道为民服务大厅服务承诺》等规章制度，新装硬件设施涉及10个工作站，配置电子设备、便民设施15类，服务效能进一步提升；实行行政服务窗口首问责任制，得到了广大居民群众的好评。</w:t>
      </w:r>
    </w:p>
    <w:p>
      <w:pPr>
        <w:pStyle w:val="2"/>
        <w:keepNext w:val="0"/>
        <w:keepLines w:val="0"/>
        <w:widowControl/>
        <w:suppressLineNumbers w:val="0"/>
        <w:snapToGrid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此外，我们还充分运用现有的网络、宣传资料、公开栏、户外电子显示屏等所有可利用的途径，加强政务信息的公开传递，为公众提供快捷、方便的服务，保证政务公开和办事公开时效。</w:t>
      </w:r>
    </w:p>
    <w:p>
      <w:pPr>
        <w:pStyle w:val="2"/>
        <w:keepNext w:val="0"/>
        <w:keepLines w:val="0"/>
        <w:widowControl/>
        <w:suppressLineNumbers w:val="0"/>
        <w:spacing w:before="0" w:beforeAutospacing="0" w:after="0" w:afterAutospacing="0" w:line="560" w:lineRule="atLeast"/>
        <w:ind w:left="0" w:right="0" w:firstLine="192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1920"/>
        <w:jc w:val="both"/>
        <w:rPr>
          <w:rFonts w:hint="default" w:ascii="Times New Roman" w:hAnsi="Times New Roman" w:cs="Times New Roman"/>
          <w:sz w:val="21"/>
          <w:szCs w:val="21"/>
        </w:rPr>
      </w:pPr>
      <w:r>
        <w:rPr>
          <w:rFonts w:hint="eastAsia" w:ascii="黑体" w:hAnsi="宋体" w:eastAsia="黑体" w:cs="黑体"/>
          <w:sz w:val="32"/>
          <w:szCs w:val="32"/>
        </w:rPr>
        <w:t>三、依申请政府信息公开情况</w:t>
      </w:r>
    </w:p>
    <w:p>
      <w:pPr>
        <w:pStyle w:val="2"/>
        <w:keepNext w:val="0"/>
        <w:keepLines w:val="0"/>
        <w:widowControl/>
        <w:suppressLineNumbers w:val="0"/>
        <w:spacing w:before="0" w:beforeAutospacing="0" w:after="0" w:afterAutospacing="0" w:line="560" w:lineRule="atLeast"/>
        <w:ind w:left="0" w:right="0" w:firstLine="192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望京街道办事处为辖区居民开通了信函、传真、电子邮件等多种政府信息申请渠道，确定了受理机构，公布了联系方式。2017年收到居民单位的信息公开申请6件。其中3件属同一小区（望京东园一区）的3位业主，就业主大会相关事宜的信息申请，其中1件属已公开，1件属咨询，1件不属于政府信息公开申请范围。年内另外3件申请，1件为已公开，另外2件不属于本机关公开，并向申请者提出建议。</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2560"/>
        <w:jc w:val="both"/>
        <w:rPr>
          <w:rFonts w:hint="default" w:ascii="Times New Roman" w:hAnsi="Times New Roman" w:cs="Times New Roman"/>
          <w:sz w:val="21"/>
          <w:szCs w:val="21"/>
        </w:rPr>
      </w:pPr>
      <w:r>
        <w:rPr>
          <w:rFonts w:hint="eastAsia" w:ascii="黑体" w:hAnsi="宋体" w:eastAsia="黑体" w:cs="黑体"/>
          <w:sz w:val="32"/>
          <w:szCs w:val="32"/>
        </w:rPr>
        <w:t>四、政府信息公开咨询情况</w:t>
      </w:r>
    </w:p>
    <w:p>
      <w:pPr>
        <w:pStyle w:val="2"/>
        <w:keepNext w:val="0"/>
        <w:keepLines w:val="0"/>
        <w:widowControl/>
        <w:suppressLineNumbers w:val="0"/>
        <w:spacing w:before="0" w:beforeAutospacing="0" w:after="0" w:afterAutospacing="0" w:line="560" w:lineRule="atLeast"/>
        <w:ind w:left="0" w:right="0" w:firstLine="256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2017年，街道共接到公民信息公开方面的咨询47人次。内容涉及业委会、高校入学申领助学金以及高校学生社会调研等。</w:t>
      </w:r>
    </w:p>
    <w:p>
      <w:pPr>
        <w:pStyle w:val="2"/>
        <w:keepNext w:val="0"/>
        <w:keepLines w:val="0"/>
        <w:widowControl/>
        <w:suppressLineNumbers w:val="0"/>
        <w:spacing w:before="0" w:beforeAutospacing="0" w:after="0" w:afterAutospacing="0" w:line="560" w:lineRule="atLeast"/>
        <w:ind w:left="0" w:right="0" w:firstLine="272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2720"/>
        <w:jc w:val="both"/>
        <w:rPr>
          <w:rFonts w:hint="default" w:ascii="Times New Roman" w:hAnsi="Times New Roman" w:cs="Times New Roman"/>
          <w:sz w:val="21"/>
          <w:szCs w:val="21"/>
        </w:rPr>
      </w:pPr>
      <w:r>
        <w:rPr>
          <w:rFonts w:hint="eastAsia" w:ascii="黑体" w:hAnsi="宋体" w:eastAsia="黑体" w:cs="黑体"/>
          <w:sz w:val="32"/>
          <w:szCs w:val="32"/>
        </w:rPr>
        <w:t>五、复议和诉讼情况</w:t>
      </w:r>
    </w:p>
    <w:p>
      <w:pPr>
        <w:pStyle w:val="2"/>
        <w:keepNext w:val="0"/>
        <w:keepLines w:val="0"/>
        <w:widowControl/>
        <w:suppressLineNumbers w:val="0"/>
        <w:spacing w:before="0" w:beforeAutospacing="0" w:after="0" w:afterAutospacing="0" w:line="560" w:lineRule="atLeast"/>
        <w:ind w:left="0" w:right="0" w:firstLine="272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2017年，望京街道未收到行政复议和诉讼。</w:t>
      </w:r>
    </w:p>
    <w:p>
      <w:pPr>
        <w:pStyle w:val="2"/>
        <w:keepNext w:val="0"/>
        <w:keepLines w:val="0"/>
        <w:widowControl/>
        <w:suppressLineNumbers w:val="0"/>
        <w:spacing w:before="0" w:beforeAutospacing="0" w:after="0" w:afterAutospacing="0" w:line="560" w:lineRule="atLeast"/>
        <w:ind w:left="0" w:right="0" w:firstLine="272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2720"/>
        <w:jc w:val="both"/>
        <w:rPr>
          <w:rFonts w:hint="default" w:ascii="Times New Roman" w:hAnsi="Times New Roman" w:cs="Times New Roman"/>
          <w:sz w:val="21"/>
          <w:szCs w:val="21"/>
        </w:rPr>
      </w:pPr>
      <w:r>
        <w:rPr>
          <w:rFonts w:hint="eastAsia" w:ascii="黑体" w:hAnsi="宋体" w:eastAsia="黑体" w:cs="黑体"/>
          <w:sz w:val="32"/>
          <w:szCs w:val="32"/>
        </w:rPr>
        <w:t>六、主要问题及改进措施</w:t>
      </w:r>
    </w:p>
    <w:p>
      <w:pPr>
        <w:pStyle w:val="2"/>
        <w:keepNext w:val="0"/>
        <w:keepLines w:val="0"/>
        <w:widowControl/>
        <w:suppressLineNumbers w:val="0"/>
        <w:spacing w:before="0" w:beforeAutospacing="0" w:after="0" w:afterAutospacing="0" w:line="560" w:lineRule="atLeast"/>
        <w:ind w:left="0" w:right="0" w:firstLine="2720"/>
        <w:jc w:val="both"/>
        <w:rPr>
          <w:rFonts w:hint="default" w:ascii="Times New Roman" w:hAnsi="Times New Roman" w:cs="Times New Roman"/>
          <w:sz w:val="21"/>
          <w:szCs w:val="21"/>
        </w:rPr>
      </w:pPr>
      <w:r>
        <w:rPr>
          <w:rFonts w:hint="eastAsia" w:ascii="黑体" w:hAnsi="宋体" w:eastAsia="黑体" w:cs="黑体"/>
          <w:sz w:val="32"/>
          <w:szCs w:val="32"/>
        </w:rPr>
        <w:t> </w:t>
      </w:r>
    </w:p>
    <w:p>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楷体" w:hAnsi="楷体" w:eastAsia="楷体" w:cs="楷体"/>
          <w:b/>
          <w:sz w:val="32"/>
          <w:szCs w:val="32"/>
        </w:rPr>
        <w:t>（一）主要问题</w:t>
      </w:r>
    </w:p>
    <w:p>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sz w:val="32"/>
          <w:szCs w:val="32"/>
        </w:rPr>
        <w:t>目前，在街道政府信息公开工作中，主要存在以下三个问题。一是宣传不够广泛，居民知晓率、社会面的参与率偏低。二是利用率不高。三是在所公开的政府信息中，业务动态信息所占比重大，信息公开内容比较单一。</w:t>
      </w:r>
    </w:p>
    <w:p>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楷体" w:hAnsi="楷体" w:eastAsia="楷体" w:cs="楷体"/>
          <w:b/>
          <w:sz w:val="32"/>
          <w:szCs w:val="32"/>
        </w:rPr>
        <w:t>（二）改进措施</w:t>
      </w:r>
    </w:p>
    <w:p>
      <w:pPr>
        <w:pStyle w:val="2"/>
        <w:keepNext w:val="0"/>
        <w:keepLines w:val="0"/>
        <w:widowControl/>
        <w:suppressLineNumbers w:val="0"/>
        <w:spacing w:before="0" w:beforeAutospacing="0" w:after="0" w:afterAutospacing="0" w:line="560" w:lineRule="atLeast"/>
        <w:ind w:left="0" w:right="0" w:firstLine="640"/>
        <w:jc w:val="left"/>
        <w:rPr>
          <w:rFonts w:hint="default" w:ascii="Times New Roman" w:hAnsi="Times New Roman" w:cs="Times New Roman"/>
          <w:sz w:val="21"/>
          <w:szCs w:val="21"/>
        </w:rPr>
      </w:pPr>
      <w:r>
        <w:rPr>
          <w:rFonts w:hint="eastAsia" w:ascii="仿宋" w:hAnsi="仿宋" w:eastAsia="仿宋" w:cs="仿宋"/>
          <w:sz w:val="32"/>
          <w:szCs w:val="32"/>
        </w:rPr>
        <w:t>为引导地区居民正确行使知情权和监督权，做好望京街道2018年度政务信息公开工作，进一步提升望京地区政府信息公开工作水平，街道将从四个方面加以改进。</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b/>
          <w:sz w:val="32"/>
          <w:szCs w:val="32"/>
        </w:rPr>
        <w:t>加强政府信息公开工作的专题研究。</w:t>
      </w:r>
      <w:r>
        <w:rPr>
          <w:rFonts w:hint="eastAsia" w:ascii="仿宋" w:hAnsi="仿宋" w:eastAsia="仿宋" w:cs="仿宋"/>
          <w:sz w:val="32"/>
          <w:szCs w:val="32"/>
        </w:rPr>
        <w:t>首先，在思想上高度重视，要加强对新时期政府信息公开工作的专题研究和探讨。同时，进一步提高日常管理的规范性和信息化水平，提高机关人员对政府信息公开的认识，使政府信息公开成为各职能科室自觉行动。</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b/>
          <w:sz w:val="32"/>
          <w:szCs w:val="32"/>
        </w:rPr>
        <w:t>加强与其他部门的业务交流。</w:t>
      </w:r>
      <w:r>
        <w:rPr>
          <w:rFonts w:hint="eastAsia" w:ascii="仿宋" w:hAnsi="仿宋" w:eastAsia="仿宋" w:cs="仿宋"/>
          <w:sz w:val="32"/>
          <w:szCs w:val="32"/>
        </w:rPr>
        <w:t>为提升街道政务信息公开工作水平，2018年街道将采取请进来，走出去的方式，不断加强政府政务信息工作的交流，拓展工作内容，提升工作水平。</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b/>
          <w:sz w:val="32"/>
          <w:szCs w:val="32"/>
        </w:rPr>
        <w:t>加强政府信息宣传培训。</w:t>
      </w:r>
      <w:r>
        <w:rPr>
          <w:rFonts w:hint="eastAsia" w:ascii="仿宋" w:hAnsi="仿宋" w:eastAsia="仿宋" w:cs="仿宋"/>
          <w:sz w:val="32"/>
          <w:szCs w:val="32"/>
        </w:rPr>
        <w:t>加强对政府信息公开相关领导和业务人员的培训，提升公开意识，提高业务水平，使望京街道的政府信息公开工作水平再上新台阶。</w:t>
      </w:r>
    </w:p>
    <w:p>
      <w:pPr>
        <w:pStyle w:val="2"/>
        <w:keepNext w:val="0"/>
        <w:keepLines w:val="0"/>
        <w:widowControl/>
        <w:suppressLineNumbers w:val="0"/>
        <w:snapToGrid w:val="0"/>
        <w:spacing w:before="0" w:beforeAutospacing="0" w:after="0" w:afterAutospacing="0" w:line="560" w:lineRule="atLeast"/>
        <w:ind w:left="0" w:right="0" w:firstLine="643"/>
        <w:jc w:val="both"/>
        <w:rPr>
          <w:rFonts w:hint="default" w:ascii="Times New Roman" w:hAnsi="Times New Roman" w:cs="Times New Roman"/>
          <w:sz w:val="21"/>
          <w:szCs w:val="21"/>
        </w:rPr>
      </w:pPr>
      <w:r>
        <w:rPr>
          <w:rFonts w:hint="eastAsia" w:ascii="仿宋" w:hAnsi="仿宋" w:eastAsia="仿宋" w:cs="仿宋"/>
          <w:b/>
          <w:sz w:val="32"/>
          <w:szCs w:val="32"/>
        </w:rPr>
        <w:t>进一步丰富政府信息公开内容，细化分类。</w:t>
      </w:r>
      <w:r>
        <w:rPr>
          <w:rFonts w:hint="eastAsia" w:ascii="仿宋" w:hAnsi="仿宋" w:eastAsia="仿宋" w:cs="仿宋"/>
          <w:sz w:val="32"/>
          <w:szCs w:val="32"/>
        </w:rPr>
        <w:t>进一步规范信息公开分类，加强公文类信息、“三重一大”信息的公开力度，对触及公众切身利益的重要事项坚持实行决策前公开、实施过程公开、实施结果及时公开，加强对街道各部门的便民措施、工作制度、违纪、违建等情况及“四种形态”查处结果的公开。</w:t>
      </w:r>
    </w:p>
    <w:p>
      <w:pPr>
        <w:pStyle w:val="2"/>
        <w:keepNext w:val="0"/>
        <w:keepLines w:val="0"/>
        <w:widowControl/>
        <w:suppressLineNumbers w:val="0"/>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40" w:lineRule="atLeast"/>
        <w:ind w:left="0" w:right="0"/>
        <w:jc w:val="both"/>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312" w:beforeAutospacing="0" w:after="0" w:afterAutospacing="0" w:line="540" w:lineRule="atLeast"/>
        <w:ind w:left="0" w:right="0" w:firstLine="641"/>
        <w:jc w:val="right"/>
        <w:rPr>
          <w:rFonts w:hint="default" w:ascii="Times New Roman" w:hAnsi="Times New Roman" w:cs="Times New Roman"/>
          <w:sz w:val="21"/>
          <w:szCs w:val="21"/>
        </w:rPr>
      </w:pPr>
      <w:r>
        <w:rPr>
          <w:rFonts w:hint="eastAsia" w:ascii="仿宋" w:hAnsi="仿宋" w:eastAsia="仿宋" w:cs="仿宋"/>
          <w:sz w:val="32"/>
          <w:szCs w:val="32"/>
        </w:rPr>
        <w:t>北京市朝阳区人民政府望京街道办事处</w:t>
      </w: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r>
        <w:rPr>
          <w:rFonts w:hint="eastAsia" w:ascii="仿宋" w:hAnsi="仿宋" w:eastAsia="仿宋" w:cs="仿宋"/>
          <w:sz w:val="32"/>
          <w:szCs w:val="32"/>
        </w:rPr>
        <w:t>2018年3月</w:t>
      </w: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540" w:lineRule="atLeast"/>
        <w:ind w:left="0" w:right="1700" w:firstLine="602"/>
        <w:jc w:val="right"/>
        <w:rPr>
          <w:rFonts w:hint="default" w:ascii="仿宋" w:hAnsi="仿宋" w:eastAsia="仿宋" w:cs="仿宋"/>
          <w:sz w:val="32"/>
          <w:szCs w:val="32"/>
        </w:rPr>
      </w:pPr>
      <w:bookmarkStart w:id="0" w:name="_GoBack"/>
      <w:bookmarkEnd w:id="0"/>
    </w:p>
    <w:p>
      <w:pPr>
        <w:pStyle w:val="2"/>
        <w:keepNext w:val="0"/>
        <w:keepLines w:val="0"/>
        <w:widowControl/>
        <w:suppressLineNumbers w:val="0"/>
        <w:spacing w:before="0" w:beforeAutospacing="0" w:after="0" w:afterAutospacing="0" w:line="540" w:lineRule="atLeast"/>
        <w:ind w:left="0" w:right="1700" w:firstLine="602"/>
        <w:jc w:val="right"/>
        <w:rPr>
          <w:rFonts w:hint="default" w:ascii="Times New Roman" w:hAnsi="Times New Roman" w:cs="Times New Roman"/>
          <w:sz w:val="21"/>
          <w:szCs w:val="21"/>
        </w:rPr>
      </w:pPr>
      <w:r>
        <w:rPr>
          <w:rFonts w:hint="default" w:ascii="Times New Roman" w:hAnsi="Times New Roman" w:cs="Times New Roman"/>
          <w:sz w:val="21"/>
          <w:szCs w:val="21"/>
        </w:rPr>
        <w:t> </w:t>
      </w:r>
    </w:p>
    <w:tbl>
      <w:tblPr>
        <w:tblW w:w="920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48"/>
        <w:gridCol w:w="870"/>
        <w:gridCol w:w="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839" w:hRule="atLeast"/>
          <w:jc w:val="center"/>
        </w:trPr>
        <w:tc>
          <w:tcPr>
            <w:tcW w:w="9200" w:type="dxa"/>
            <w:gridSpan w:val="3"/>
            <w:shd w:val="clear"/>
            <w:vAlign w:val="bottom"/>
          </w:tcPr>
          <w:p>
            <w:pPr>
              <w:keepNext w:val="0"/>
              <w:keepLines w:val="0"/>
              <w:widowControl/>
              <w:suppressLineNumbers w:val="0"/>
              <w:spacing w:before="0" w:beforeAutospacing="1" w:after="0" w:afterAutospacing="1"/>
              <w:ind w:left="0" w:right="0"/>
              <w:jc w:val="center"/>
            </w:pPr>
            <w:r>
              <w:rPr>
                <w:rFonts w:hint="eastAsia" w:ascii="Calibri" w:hAnsi="Calibri" w:eastAsia="宋体" w:cs="Times New Roman"/>
                <w:color w:val="000000"/>
                <w:kern w:val="2"/>
                <w:sz w:val="21"/>
                <w:szCs w:val="21"/>
                <w:bdr w:val="none" w:color="auto" w:sz="0" w:space="0"/>
                <w:lang w:val="en-US" w:eastAsia="zh-CN" w:bidi="ar"/>
              </w:rPr>
              <w:t>望京街道</w:t>
            </w:r>
            <w:r>
              <w:rPr>
                <w:rFonts w:hint="default" w:ascii="Calibri" w:hAnsi="Calibri" w:eastAsia="宋体" w:cs="Times New Roman"/>
                <w:color w:val="000000"/>
                <w:kern w:val="2"/>
                <w:sz w:val="21"/>
                <w:szCs w:val="21"/>
                <w:bdr w:val="none" w:color="auto" w:sz="0" w:space="0"/>
                <w:lang w:val="en-US" w:eastAsia="zh-CN" w:bidi="ar"/>
              </w:rPr>
              <w:t xml:space="preserve">政府信息公开情况统计表 </w:t>
            </w:r>
            <w:r>
              <w:rPr>
                <w:rFonts w:hint="default" w:ascii="Calibri" w:hAnsi="Calibri" w:eastAsia="宋体" w:cs="Times New Roman"/>
                <w:color w:val="000000"/>
                <w:kern w:val="2"/>
                <w:sz w:val="21"/>
                <w:szCs w:val="21"/>
                <w:bdr w:val="none" w:color="auto" w:sz="0" w:space="0"/>
                <w:lang w:val="en-US" w:eastAsia="zh-CN" w:bidi="ar"/>
              </w:rPr>
              <w:br w:type="textWrapping"/>
            </w:r>
            <w:r>
              <w:rPr>
                <w:rFonts w:hint="default" w:ascii="Calibri" w:hAnsi="Calibri" w:eastAsia="宋体" w:cs="Times New Roman"/>
                <w:color w:val="000000"/>
                <w:kern w:val="2"/>
                <w:sz w:val="21"/>
                <w:szCs w:val="21"/>
                <w:bdr w:val="none" w:color="auto" w:sz="0" w:space="0"/>
                <w:lang w:val="en-US" w:eastAsia="zh-CN" w:bidi="ar"/>
              </w:rPr>
              <w:t>（</w:t>
            </w:r>
            <w:r>
              <w:rPr>
                <w:rFonts w:hint="default" w:ascii="Calibri" w:hAnsi="Calibri" w:eastAsia="宋体" w:cs="Calibri"/>
                <w:color w:val="000000"/>
                <w:kern w:val="2"/>
                <w:sz w:val="21"/>
                <w:szCs w:val="21"/>
                <w:bdr w:val="none" w:color="auto" w:sz="0" w:space="0"/>
                <w:lang w:val="en-US" w:eastAsia="zh-CN" w:bidi="ar"/>
              </w:rPr>
              <w:t>2017</w:t>
            </w:r>
            <w:r>
              <w:rPr>
                <w:rFonts w:hint="eastAsia" w:ascii="宋体" w:hAnsi="宋体" w:eastAsia="宋体" w:cs="宋体"/>
                <w:color w:val="000000"/>
                <w:kern w:val="2"/>
                <w:sz w:val="21"/>
                <w:szCs w:val="21"/>
                <w:bdr w:val="none" w:color="auto" w:sz="0" w:space="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6" w:hRule="atLeast"/>
          <w:jc w:val="center"/>
        </w:trPr>
        <w:tc>
          <w:tcPr>
            <w:tcW w:w="7348" w:type="dxa"/>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填报单位（盖章）：</w:t>
            </w:r>
          </w:p>
        </w:tc>
        <w:tc>
          <w:tcPr>
            <w:tcW w:w="870" w:type="dxa"/>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统 计 指 标</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单位</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一、主动公开情况</w:t>
            </w:r>
          </w:p>
        </w:tc>
        <w:tc>
          <w:tcPr>
            <w:tcW w:w="870" w:type="dxa"/>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（一）主动公开政府信息数（不同渠道和方式公开相同信息计</w:t>
            </w:r>
            <w:r>
              <w:rPr>
                <w:rFonts w:hint="default" w:ascii="Calibri" w:hAnsi="Calibri" w:eastAsia="宋体" w:cs="Calibri"/>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条）</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其中：主动公开规范性文件数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制发规范性文件总数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（二）重点领域公开政府信息数（不同渠道和方式公开相同信息计</w:t>
            </w:r>
            <w:r>
              <w:rPr>
                <w:rFonts w:hint="default" w:ascii="Calibri" w:hAnsi="Calibri" w:eastAsia="宋体" w:cs="Calibri"/>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条）</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其中：主动公开财政预算决算、</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三公经费</w:t>
            </w:r>
            <w:r>
              <w:rPr>
                <w:rFonts w:hint="default" w:ascii="Calibri" w:hAnsi="Calibri" w:eastAsia="宋体" w:cs="Calibri"/>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和行政经费信息数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主动公开保障性安居工程建设计划、项目开工和竣工情况，保障性住房的分配和退出等信息数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主动公开食品安全标准，食品生产经营许可、专项检查整治等信息数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主动公开环境核查审批、环境状况公报和重特大突发环境事件等信息数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主动公开招投标违法违规行为及处理情况、国有资金占控股或者主导地位依法应当招标的项目等信息数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主动公开生产安全事故的政府举措、处置进展、风险预警、防范措施等信息数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7"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主动公开农用地转为建设用地批准、征收集体土地批准、征地公告征地补偿安置公示、集体土地征收结案等信息数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主动公开政府指导价、政府定价和收费标准调整的项目、价格、依据、执行时间和范围等信息数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主动公开本市企业信用信息系统中的警示信息和良好信息等信息数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主动公开政府部门预算执行审计结果等信息数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主动公开行政机关对与人民群众利益密切相关的公共企事业单位进行监督管理的信息数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主动公开市人民政府决定主动公开的其他信息数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（三）通过不同渠道和方式公开政府信息的情况</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1.</w:t>
            </w:r>
            <w:r>
              <w:rPr>
                <w:rFonts w:hint="eastAsia" w:ascii="宋体" w:hAnsi="宋体" w:eastAsia="宋体" w:cs="宋体"/>
                <w:kern w:val="2"/>
                <w:sz w:val="21"/>
                <w:szCs w:val="21"/>
                <w:bdr w:val="none" w:color="auto" w:sz="0" w:space="0"/>
                <w:lang w:val="en-US" w:eastAsia="zh-CN" w:bidi="ar"/>
              </w:rPr>
              <w:t>政府公报公开政府信息数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2.</w:t>
            </w:r>
            <w:r>
              <w:rPr>
                <w:rFonts w:hint="eastAsia" w:ascii="宋体" w:hAnsi="宋体" w:eastAsia="宋体" w:cs="宋体"/>
                <w:kern w:val="2"/>
                <w:sz w:val="21"/>
                <w:szCs w:val="21"/>
                <w:bdr w:val="none" w:color="auto" w:sz="0" w:space="0"/>
                <w:lang w:val="en-US" w:eastAsia="zh-CN" w:bidi="ar"/>
              </w:rPr>
              <w:t>政府网站公开政府信息数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3.</w:t>
            </w:r>
            <w:r>
              <w:rPr>
                <w:rFonts w:hint="eastAsia" w:ascii="宋体" w:hAnsi="宋体" w:eastAsia="宋体" w:cs="宋体"/>
                <w:kern w:val="2"/>
                <w:sz w:val="21"/>
                <w:szCs w:val="21"/>
                <w:bdr w:val="none" w:color="auto" w:sz="0" w:space="0"/>
                <w:lang w:val="en-US" w:eastAsia="zh-CN" w:bidi="ar"/>
              </w:rPr>
              <w:t>政务微博公开政府信息数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4.</w:t>
            </w:r>
            <w:r>
              <w:rPr>
                <w:rFonts w:hint="eastAsia" w:ascii="宋体" w:hAnsi="宋体" w:eastAsia="宋体" w:cs="宋体"/>
                <w:kern w:val="2"/>
                <w:sz w:val="21"/>
                <w:szCs w:val="21"/>
                <w:bdr w:val="none" w:color="auto" w:sz="0" w:space="0"/>
                <w:lang w:val="en-US" w:eastAsia="zh-CN" w:bidi="ar"/>
              </w:rPr>
              <w:t>政务微信公开政府信息数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5.</w:t>
            </w:r>
            <w:r>
              <w:rPr>
                <w:rFonts w:hint="eastAsia" w:ascii="宋体" w:hAnsi="宋体" w:eastAsia="宋体" w:cs="宋体"/>
                <w:kern w:val="2"/>
                <w:sz w:val="21"/>
                <w:szCs w:val="21"/>
                <w:bdr w:val="none" w:color="auto" w:sz="0" w:space="0"/>
                <w:lang w:val="en-US" w:eastAsia="zh-CN" w:bidi="ar"/>
              </w:rPr>
              <w:t>其他方式公开政府信息数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二、回应解读情况</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（一）回应公众关注热点或重大舆情数（不同方式回应同一热点或舆情计</w:t>
            </w:r>
            <w:r>
              <w:rPr>
                <w:rFonts w:hint="default" w:ascii="Calibri" w:hAnsi="Calibri" w:eastAsia="宋体" w:cs="Calibri"/>
                <w:kern w:val="2"/>
                <w:sz w:val="21"/>
                <w:szCs w:val="21"/>
                <w:bdr w:val="none" w:color="auto" w:sz="0" w:space="0"/>
                <w:lang w:val="en-US" w:eastAsia="zh-CN" w:bidi="ar"/>
              </w:rPr>
              <w:t>1</w:t>
            </w:r>
            <w:r>
              <w:rPr>
                <w:rFonts w:hint="eastAsia" w:ascii="宋体" w:hAnsi="宋体" w:eastAsia="宋体" w:cs="宋体"/>
                <w:kern w:val="2"/>
                <w:sz w:val="21"/>
                <w:szCs w:val="21"/>
                <w:bdr w:val="none" w:color="auto" w:sz="0" w:space="0"/>
                <w:lang w:val="en-US" w:eastAsia="zh-CN" w:bidi="ar"/>
              </w:rPr>
              <w:t>次）</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（二）通过不同渠道和方式回应解读的情况</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1.</w:t>
            </w:r>
            <w:r>
              <w:rPr>
                <w:rFonts w:hint="eastAsia" w:ascii="宋体" w:hAnsi="宋体" w:eastAsia="宋体" w:cs="宋体"/>
                <w:kern w:val="2"/>
                <w:sz w:val="21"/>
                <w:szCs w:val="21"/>
                <w:bdr w:val="none" w:color="auto" w:sz="0" w:space="0"/>
                <w:lang w:val="en-US" w:eastAsia="zh-CN" w:bidi="ar"/>
              </w:rPr>
              <w:t>参加或举办新闻发布会总次数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其中：主要负责同志参加新闻发布会次数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2.</w:t>
            </w:r>
            <w:r>
              <w:rPr>
                <w:rFonts w:hint="eastAsia" w:ascii="宋体" w:hAnsi="宋体" w:eastAsia="宋体" w:cs="宋体"/>
                <w:kern w:val="2"/>
                <w:sz w:val="21"/>
                <w:szCs w:val="21"/>
                <w:bdr w:val="none" w:color="auto" w:sz="0" w:space="0"/>
                <w:lang w:val="en-US" w:eastAsia="zh-CN" w:bidi="ar"/>
              </w:rPr>
              <w:t>政府网站在线访谈次数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其中：主要负责同志参加政府网站在线访谈次数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3.</w:t>
            </w:r>
            <w:r>
              <w:rPr>
                <w:rFonts w:hint="eastAsia" w:ascii="宋体" w:hAnsi="宋体" w:eastAsia="宋体" w:cs="宋体"/>
                <w:kern w:val="2"/>
                <w:sz w:val="21"/>
                <w:szCs w:val="21"/>
                <w:bdr w:val="none" w:color="auto" w:sz="0" w:space="0"/>
                <w:lang w:val="en-US" w:eastAsia="zh-CN" w:bidi="ar"/>
              </w:rPr>
              <w:t>政策解读稿件发布数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篇</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4.</w:t>
            </w:r>
            <w:r>
              <w:rPr>
                <w:rFonts w:hint="eastAsia" w:ascii="宋体" w:hAnsi="宋体" w:eastAsia="宋体" w:cs="宋体"/>
                <w:kern w:val="2"/>
                <w:sz w:val="21"/>
                <w:szCs w:val="21"/>
                <w:bdr w:val="none" w:color="auto" w:sz="0" w:space="0"/>
                <w:lang w:val="en-US" w:eastAsia="zh-CN" w:bidi="ar"/>
              </w:rPr>
              <w:t>微博微信回应事件数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5.</w:t>
            </w:r>
            <w:r>
              <w:rPr>
                <w:rFonts w:hint="eastAsia" w:ascii="宋体" w:hAnsi="宋体" w:eastAsia="宋体" w:cs="宋体"/>
                <w:kern w:val="2"/>
                <w:sz w:val="21"/>
                <w:szCs w:val="21"/>
                <w:bdr w:val="none" w:color="auto" w:sz="0" w:space="0"/>
                <w:lang w:val="en-US" w:eastAsia="zh-CN" w:bidi="ar"/>
              </w:rPr>
              <w:t>其他方式回应事件数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三、依申请公开情况</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（一）收到申请数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1.</w:t>
            </w:r>
            <w:r>
              <w:rPr>
                <w:rFonts w:hint="eastAsia" w:ascii="宋体" w:hAnsi="宋体" w:eastAsia="宋体" w:cs="宋体"/>
                <w:kern w:val="2"/>
                <w:sz w:val="21"/>
                <w:szCs w:val="21"/>
                <w:bdr w:val="none" w:color="auto" w:sz="0" w:space="0"/>
                <w:lang w:val="en-US" w:eastAsia="zh-CN" w:bidi="ar"/>
              </w:rPr>
              <w:t>当面申请数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2.</w:t>
            </w:r>
            <w:r>
              <w:rPr>
                <w:rFonts w:hint="eastAsia" w:ascii="宋体" w:hAnsi="宋体" w:eastAsia="宋体" w:cs="宋体"/>
                <w:kern w:val="2"/>
                <w:sz w:val="21"/>
                <w:szCs w:val="21"/>
                <w:bdr w:val="none" w:color="auto" w:sz="0" w:space="0"/>
                <w:lang w:val="en-US" w:eastAsia="zh-CN" w:bidi="ar"/>
              </w:rPr>
              <w:t>传真申请数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3.</w:t>
            </w:r>
            <w:r>
              <w:rPr>
                <w:rFonts w:hint="eastAsia" w:ascii="宋体" w:hAnsi="宋体" w:eastAsia="宋体" w:cs="宋体"/>
                <w:kern w:val="2"/>
                <w:sz w:val="21"/>
                <w:szCs w:val="21"/>
                <w:bdr w:val="none" w:color="auto" w:sz="0" w:space="0"/>
                <w:lang w:val="en-US" w:eastAsia="zh-CN" w:bidi="ar"/>
              </w:rPr>
              <w:t>网络申请数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4.</w:t>
            </w:r>
            <w:r>
              <w:rPr>
                <w:rFonts w:hint="eastAsia" w:ascii="宋体" w:hAnsi="宋体" w:eastAsia="宋体" w:cs="宋体"/>
                <w:kern w:val="2"/>
                <w:sz w:val="21"/>
                <w:szCs w:val="21"/>
                <w:bdr w:val="none" w:color="auto" w:sz="0" w:space="0"/>
                <w:lang w:val="en-US" w:eastAsia="zh-CN" w:bidi="ar"/>
              </w:rPr>
              <w:t>信函申请数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（二）申请办结数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1.</w:t>
            </w:r>
            <w:r>
              <w:rPr>
                <w:rFonts w:hint="eastAsia" w:ascii="宋体" w:hAnsi="宋体" w:eastAsia="宋体" w:cs="宋体"/>
                <w:kern w:val="2"/>
                <w:sz w:val="21"/>
                <w:szCs w:val="21"/>
                <w:bdr w:val="none" w:color="auto" w:sz="0" w:space="0"/>
                <w:lang w:val="en-US" w:eastAsia="zh-CN" w:bidi="ar"/>
              </w:rPr>
              <w:t>按时办结数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2.</w:t>
            </w:r>
            <w:r>
              <w:rPr>
                <w:rFonts w:hint="eastAsia" w:ascii="宋体" w:hAnsi="宋体" w:eastAsia="宋体" w:cs="宋体"/>
                <w:kern w:val="2"/>
                <w:sz w:val="21"/>
                <w:szCs w:val="21"/>
                <w:bdr w:val="none" w:color="auto" w:sz="0" w:space="0"/>
                <w:lang w:val="en-US" w:eastAsia="zh-CN" w:bidi="ar"/>
              </w:rPr>
              <w:t>延期办结数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（三）申请答复数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1.</w:t>
            </w:r>
            <w:r>
              <w:rPr>
                <w:rFonts w:hint="eastAsia" w:ascii="宋体" w:hAnsi="宋体" w:eastAsia="宋体" w:cs="宋体"/>
                <w:kern w:val="2"/>
                <w:sz w:val="21"/>
                <w:szCs w:val="21"/>
                <w:bdr w:val="none" w:color="auto" w:sz="0" w:space="0"/>
                <w:lang w:val="en-US" w:eastAsia="zh-CN" w:bidi="ar"/>
              </w:rPr>
              <w:t>属于已主动公开范围数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2.</w:t>
            </w:r>
            <w:r>
              <w:rPr>
                <w:rFonts w:hint="eastAsia" w:ascii="宋体" w:hAnsi="宋体" w:eastAsia="宋体" w:cs="宋体"/>
                <w:kern w:val="2"/>
                <w:sz w:val="21"/>
                <w:szCs w:val="21"/>
                <w:bdr w:val="none" w:color="auto" w:sz="0" w:space="0"/>
                <w:lang w:val="en-US" w:eastAsia="zh-CN" w:bidi="ar"/>
              </w:rPr>
              <w:t>同意公开答复数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3.</w:t>
            </w:r>
            <w:r>
              <w:rPr>
                <w:rFonts w:hint="eastAsia" w:ascii="宋体" w:hAnsi="宋体" w:eastAsia="宋体" w:cs="宋体"/>
                <w:kern w:val="2"/>
                <w:sz w:val="21"/>
                <w:szCs w:val="21"/>
                <w:bdr w:val="none" w:color="auto" w:sz="0" w:space="0"/>
                <w:lang w:val="en-US" w:eastAsia="zh-CN" w:bidi="ar"/>
              </w:rPr>
              <w:t>同意部分公开答复数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4.</w:t>
            </w:r>
            <w:r>
              <w:rPr>
                <w:rFonts w:hint="eastAsia" w:ascii="宋体" w:hAnsi="宋体" w:eastAsia="宋体" w:cs="宋体"/>
                <w:kern w:val="2"/>
                <w:sz w:val="21"/>
                <w:szCs w:val="21"/>
                <w:bdr w:val="none" w:color="auto" w:sz="0" w:space="0"/>
                <w:lang w:val="en-US" w:eastAsia="zh-CN" w:bidi="ar"/>
              </w:rPr>
              <w:t>不同意公开答复数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其中：涉及国家秘密</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涉及商业秘密</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涉及个人隐私</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危及国家安全、公共安全、经济安全和社会稳定</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不是《条例》所指政府信息</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法律法规规定的其他情形</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5.</w:t>
            </w:r>
            <w:r>
              <w:rPr>
                <w:rFonts w:hint="eastAsia" w:ascii="宋体" w:hAnsi="宋体" w:eastAsia="宋体" w:cs="宋体"/>
                <w:kern w:val="2"/>
                <w:sz w:val="21"/>
                <w:szCs w:val="21"/>
                <w:bdr w:val="none" w:color="auto" w:sz="0" w:space="0"/>
                <w:lang w:val="en-US" w:eastAsia="zh-CN" w:bidi="ar"/>
              </w:rPr>
              <w:t>不属于本行政机关公开数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6.</w:t>
            </w:r>
            <w:r>
              <w:rPr>
                <w:rFonts w:hint="eastAsia" w:ascii="宋体" w:hAnsi="宋体" w:eastAsia="宋体" w:cs="宋体"/>
                <w:kern w:val="2"/>
                <w:sz w:val="21"/>
                <w:szCs w:val="21"/>
                <w:bdr w:val="none" w:color="auto" w:sz="0" w:space="0"/>
                <w:lang w:val="en-US" w:eastAsia="zh-CN" w:bidi="ar"/>
              </w:rPr>
              <w:t>申请信息不存在数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7.</w:t>
            </w:r>
            <w:r>
              <w:rPr>
                <w:rFonts w:hint="eastAsia" w:ascii="宋体" w:hAnsi="宋体" w:eastAsia="宋体" w:cs="宋体"/>
                <w:kern w:val="2"/>
                <w:sz w:val="21"/>
                <w:szCs w:val="21"/>
                <w:bdr w:val="none" w:color="auto" w:sz="0" w:space="0"/>
                <w:lang w:val="en-US" w:eastAsia="zh-CN" w:bidi="ar"/>
              </w:rPr>
              <w:t>告知作出更改补充数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8.</w:t>
            </w:r>
            <w:r>
              <w:rPr>
                <w:rFonts w:hint="eastAsia" w:ascii="宋体" w:hAnsi="宋体" w:eastAsia="宋体" w:cs="宋体"/>
                <w:kern w:val="2"/>
                <w:sz w:val="21"/>
                <w:szCs w:val="21"/>
                <w:bdr w:val="none" w:color="auto" w:sz="0" w:space="0"/>
                <w:lang w:val="en-US" w:eastAsia="zh-CN" w:bidi="ar"/>
              </w:rPr>
              <w:t>告知通过其他途径办理数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四、行政复议数量</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（一）维持具体行政行为数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（二）被依法纠错数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（三）其他情形数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五、行政诉讼数量</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（一）维持具体行政行为或者驳回原告诉讼请求数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（二）被依法纠错数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（三）其他情形数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六、举报投诉数量</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件</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七、依申请公开信息收取的费用</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Calibri" w:hAnsi="Calibri" w:eastAsia="宋体" w:cs="Times New Roman"/>
                <w:kern w:val="2"/>
                <w:sz w:val="21"/>
                <w:szCs w:val="21"/>
                <w:bdr w:val="none" w:color="auto" w:sz="0" w:space="0"/>
                <w:lang w:val="en-US" w:eastAsia="zh-CN" w:bidi="ar"/>
              </w:rPr>
              <w:t>元</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八、机构建设和保障经费情况</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（一）政府信息公开工作专门机构数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个</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（二）设置政府信息公开查阅点数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个</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（三）从事政府信息公开工作人员数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Calibri" w:hAnsi="Calibri" w:eastAsia="宋体" w:cs="Times New Roman"/>
                <w:kern w:val="2"/>
                <w:sz w:val="21"/>
                <w:szCs w:val="21"/>
                <w:bdr w:val="none" w:color="auto" w:sz="0" w:space="0"/>
                <w:lang w:val="en-US" w:eastAsia="zh-CN" w:bidi="ar"/>
              </w:rPr>
              <w:t>人</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1.</w:t>
            </w:r>
            <w:r>
              <w:rPr>
                <w:rFonts w:hint="eastAsia" w:ascii="宋体" w:hAnsi="宋体" w:eastAsia="宋体" w:cs="宋体"/>
                <w:kern w:val="2"/>
                <w:sz w:val="21"/>
                <w:szCs w:val="21"/>
                <w:bdr w:val="none" w:color="auto" w:sz="0" w:space="0"/>
                <w:lang w:val="en-US" w:eastAsia="zh-CN" w:bidi="ar"/>
              </w:rPr>
              <w:t>专职人员数（不包括政府公报及政府网站工作人员数）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Calibri" w:hAnsi="Calibri" w:eastAsia="宋体" w:cs="Times New Roman"/>
                <w:kern w:val="2"/>
                <w:sz w:val="21"/>
                <w:szCs w:val="21"/>
                <w:bdr w:val="none" w:color="auto" w:sz="0" w:space="0"/>
                <w:lang w:val="en-US" w:eastAsia="zh-CN" w:bidi="ar"/>
              </w:rPr>
              <w:t>人</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2.</w:t>
            </w:r>
            <w:r>
              <w:rPr>
                <w:rFonts w:hint="eastAsia" w:ascii="宋体" w:hAnsi="宋体" w:eastAsia="宋体" w:cs="宋体"/>
                <w:kern w:val="2"/>
                <w:sz w:val="21"/>
                <w:szCs w:val="21"/>
                <w:bdr w:val="none" w:color="auto" w:sz="0" w:space="0"/>
                <w:lang w:val="en-US" w:eastAsia="zh-CN" w:bidi="ar"/>
              </w:rPr>
              <w:t>兼职人员数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Calibri" w:hAnsi="Calibri" w:eastAsia="宋体" w:cs="Times New Roman"/>
                <w:kern w:val="2"/>
                <w:sz w:val="21"/>
                <w:szCs w:val="21"/>
                <w:bdr w:val="none" w:color="auto" w:sz="0" w:space="0"/>
                <w:lang w:val="en-US" w:eastAsia="zh-CN" w:bidi="ar"/>
              </w:rPr>
              <w:t>人</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（四）政府信息公开专项经费（不包括用于政府公报编辑管理及政府网站建设维护等方面的经费）</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Calibri" w:hAnsi="Calibri" w:eastAsia="宋体" w:cs="Times New Roman"/>
                <w:kern w:val="2"/>
                <w:sz w:val="21"/>
                <w:szCs w:val="21"/>
                <w:bdr w:val="none" w:color="auto" w:sz="0" w:space="0"/>
                <w:lang w:val="en-US" w:eastAsia="zh-CN" w:bidi="ar"/>
              </w:rPr>
              <w:t>元</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九、政府信息公开会议和培训情况</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（一）召开政府信息公开工作会议或专题会议数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（二）举办各类培训班数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Calibri" w:hAnsi="Calibri" w:eastAsia="宋体" w:cs="Times New Roman"/>
                <w:kern w:val="2"/>
                <w:sz w:val="21"/>
                <w:szCs w:val="21"/>
                <w:bdr w:val="none" w:color="auto" w:sz="0" w:space="0"/>
                <w:lang w:val="en-US" w:eastAsia="zh-CN" w:bidi="ar"/>
              </w:rPr>
              <w:t>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jc w:val="center"/>
        </w:trPr>
        <w:tc>
          <w:tcPr>
            <w:tcW w:w="73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 xml:space="preserve">   （三）接受培训人员数</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人次</w:t>
            </w:r>
          </w:p>
        </w:tc>
        <w:tc>
          <w:tcPr>
            <w:tcW w:w="982" w:type="dxa"/>
            <w:tcBorders>
              <w:top w:val="single" w:color="000000" w:sz="4" w:space="0"/>
              <w:left w:val="nil"/>
              <w:bottom w:val="single" w:color="000000" w:sz="4" w:space="0"/>
              <w:right w:val="single" w:color="000000" w:sz="4"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bdr w:val="none" w:color="auto" w:sz="0" w:space="0"/>
                <w:lang w:val="en-US" w:eastAsia="zh-CN" w:bidi="ar"/>
              </w:rPr>
              <w:t>89</w:t>
            </w:r>
          </w:p>
        </w:tc>
      </w:tr>
    </w:tbl>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C26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2023-08-11T08:38:50Z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