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atLeast"/>
        <w:ind w:firstLine="0" w:firstLineChars="0"/>
        <w:jc w:val="center"/>
        <w:rPr>
          <w:rFonts w:cs="宋体"/>
          <w:b/>
          <w:iCs w:val="0"/>
          <w:spacing w:val="15"/>
          <w:kern w:val="0"/>
          <w:sz w:val="44"/>
          <w:szCs w:val="24"/>
        </w:rPr>
      </w:pPr>
      <w:r>
        <w:rPr>
          <w:rFonts w:hint="eastAsia" w:cs="宋体"/>
          <w:b/>
          <w:iCs w:val="0"/>
          <w:kern w:val="0"/>
          <w:sz w:val="44"/>
          <w:szCs w:val="24"/>
        </w:rPr>
        <w:t>20</w:t>
      </w:r>
      <w:r>
        <w:rPr>
          <w:rFonts w:cs="宋体"/>
          <w:b/>
          <w:iCs w:val="0"/>
          <w:kern w:val="0"/>
          <w:sz w:val="44"/>
          <w:szCs w:val="24"/>
        </w:rPr>
        <w:t>2</w:t>
      </w:r>
      <w:r>
        <w:rPr>
          <w:rFonts w:hint="eastAsia" w:cs="宋体"/>
          <w:b/>
          <w:iCs w:val="0"/>
          <w:kern w:val="0"/>
          <w:sz w:val="44"/>
          <w:szCs w:val="24"/>
          <w:lang w:val="en-US" w:eastAsia="zh-CN"/>
        </w:rPr>
        <w:t>4</w:t>
      </w:r>
      <w:r>
        <w:rPr>
          <w:rFonts w:hint="eastAsia" w:cs="宋体"/>
          <w:b/>
          <w:iCs w:val="0"/>
          <w:kern w:val="0"/>
          <w:sz w:val="44"/>
          <w:szCs w:val="24"/>
        </w:rPr>
        <w:t>年</w:t>
      </w:r>
      <w:r>
        <w:rPr>
          <w:rFonts w:hint="eastAsia" w:cs="宋体"/>
          <w:b/>
          <w:iCs w:val="0"/>
          <w:kern w:val="0"/>
          <w:sz w:val="44"/>
          <w:szCs w:val="24"/>
          <w:lang w:val="en-US" w:eastAsia="zh-CN"/>
        </w:rPr>
        <w:t>1-11月</w:t>
      </w:r>
      <w:r>
        <w:rPr>
          <w:rFonts w:hint="eastAsia" w:cs="宋体"/>
          <w:b/>
          <w:iCs w:val="0"/>
          <w:kern w:val="0"/>
          <w:sz w:val="44"/>
          <w:szCs w:val="24"/>
        </w:rPr>
        <w:t>朝阳区</w:t>
      </w:r>
      <w:r>
        <w:rPr>
          <w:rFonts w:cs="宋体"/>
          <w:b/>
          <w:iCs w:val="0"/>
          <w:kern w:val="0"/>
          <w:sz w:val="44"/>
          <w:szCs w:val="24"/>
        </w:rPr>
        <w:t>社会消费品零售</w:t>
      </w:r>
      <w:r>
        <w:rPr>
          <w:rFonts w:hint="eastAsia" w:cs="宋体"/>
          <w:b/>
          <w:iCs w:val="0"/>
          <w:kern w:val="0"/>
          <w:sz w:val="44"/>
          <w:szCs w:val="24"/>
        </w:rPr>
        <w:t>总</w:t>
      </w:r>
      <w:r>
        <w:rPr>
          <w:rFonts w:cs="宋体"/>
          <w:b/>
          <w:iCs w:val="0"/>
          <w:spacing w:val="15"/>
          <w:kern w:val="0"/>
          <w:sz w:val="44"/>
          <w:szCs w:val="24"/>
        </w:rPr>
        <w:t>额</w:t>
      </w:r>
      <w:r>
        <w:rPr>
          <w:rFonts w:hint="eastAsia" w:cs="宋体"/>
          <w:b/>
          <w:iCs w:val="0"/>
          <w:spacing w:val="15"/>
          <w:kern w:val="0"/>
          <w:sz w:val="44"/>
          <w:szCs w:val="24"/>
        </w:rPr>
        <w:t>同比</w:t>
      </w:r>
      <w:r>
        <w:rPr>
          <w:rFonts w:hint="eastAsia" w:cs="宋体"/>
          <w:b/>
          <w:iCs w:val="0"/>
          <w:spacing w:val="15"/>
          <w:kern w:val="0"/>
          <w:sz w:val="44"/>
          <w:szCs w:val="24"/>
          <w:lang w:eastAsia="zh-CN"/>
        </w:rPr>
        <w:t>下降</w:t>
      </w:r>
      <w:r>
        <w:rPr>
          <w:rFonts w:hint="eastAsia" w:cs="宋体"/>
          <w:b/>
          <w:iCs w:val="0"/>
          <w:spacing w:val="15"/>
          <w:kern w:val="0"/>
          <w:sz w:val="44"/>
          <w:szCs w:val="24"/>
          <w:lang w:val="en-US" w:eastAsia="zh-CN"/>
        </w:rPr>
        <w:t>4.0</w:t>
      </w:r>
      <w:r>
        <w:rPr>
          <w:rFonts w:cs="宋体"/>
          <w:b/>
          <w:iCs w:val="0"/>
          <w:spacing w:val="15"/>
          <w:kern w:val="0"/>
          <w:sz w:val="44"/>
          <w:szCs w:val="24"/>
        </w:rPr>
        <w:t>%</w:t>
      </w:r>
    </w:p>
    <w:p>
      <w:pPr>
        <w:widowControl/>
        <w:spacing w:line="300" w:lineRule="atLeast"/>
        <w:ind w:firstLine="0" w:firstLineChars="0"/>
        <w:jc w:val="center"/>
        <w:rPr>
          <w:rFonts w:cs="宋体"/>
          <w:bCs w:val="0"/>
          <w:iCs w:val="0"/>
          <w:color w:val="000000"/>
          <w:kern w:val="0"/>
          <w:sz w:val="44"/>
          <w:szCs w:val="44"/>
        </w:rPr>
      </w:pPr>
    </w:p>
    <w:p>
      <w:pPr>
        <w:widowControl/>
        <w:spacing w:line="300" w:lineRule="atLeast"/>
        <w:ind w:firstLine="560"/>
        <w:jc w:val="left"/>
        <w:rPr>
          <w:rFonts w:cs="宋体"/>
          <w:bCs w:val="0"/>
          <w:iCs w:val="0"/>
          <w:color w:val="000000"/>
          <w:kern w:val="0"/>
          <w:szCs w:val="21"/>
        </w:rPr>
      </w:pPr>
      <w:r>
        <w:rPr>
          <w:rFonts w:hint="eastAsia" w:cs="宋体"/>
          <w:bCs w:val="0"/>
          <w:iCs w:val="0"/>
          <w:color w:val="000000"/>
          <w:kern w:val="0"/>
          <w:szCs w:val="21"/>
        </w:rPr>
        <w:t>20</w:t>
      </w:r>
      <w:r>
        <w:rPr>
          <w:rFonts w:cs="宋体"/>
          <w:bCs w:val="0"/>
          <w:iCs w:val="0"/>
          <w:color w:val="000000"/>
          <w:kern w:val="0"/>
          <w:szCs w:val="21"/>
        </w:rPr>
        <w:t>2</w:t>
      </w:r>
      <w:r>
        <w:rPr>
          <w:rFonts w:hint="eastAsia" w:cs="宋体"/>
          <w:bCs w:val="0"/>
          <w:iCs w:val="0"/>
          <w:color w:val="000000"/>
          <w:kern w:val="0"/>
          <w:szCs w:val="21"/>
          <w:lang w:val="en-US" w:eastAsia="zh-CN"/>
        </w:rPr>
        <w:t>4</w:t>
      </w:r>
      <w:r>
        <w:rPr>
          <w:rFonts w:hint="eastAsia" w:cs="宋体"/>
          <w:bCs w:val="0"/>
          <w:iCs w:val="0"/>
          <w:color w:val="000000"/>
          <w:kern w:val="0"/>
          <w:szCs w:val="21"/>
        </w:rPr>
        <w:t>年</w:t>
      </w:r>
      <w:r>
        <w:rPr>
          <w:rFonts w:hint="eastAsia" w:cs="宋体"/>
          <w:bCs w:val="0"/>
          <w:iCs w:val="0"/>
          <w:color w:val="000000"/>
          <w:kern w:val="0"/>
          <w:szCs w:val="21"/>
          <w:lang w:val="en-US" w:eastAsia="zh-CN"/>
        </w:rPr>
        <w:t>1-11月</w:t>
      </w:r>
      <w:r>
        <w:rPr>
          <w:rFonts w:cs="宋体"/>
          <w:bCs w:val="0"/>
          <w:iCs w:val="0"/>
          <w:color w:val="000000"/>
          <w:kern w:val="0"/>
          <w:szCs w:val="21"/>
        </w:rPr>
        <w:t>，</w:t>
      </w:r>
      <w:r>
        <w:rPr>
          <w:rFonts w:hint="eastAsia" w:cs="宋体"/>
          <w:bCs w:val="0"/>
          <w:iCs w:val="0"/>
          <w:color w:val="000000"/>
          <w:kern w:val="0"/>
          <w:szCs w:val="21"/>
        </w:rPr>
        <w:t>朝阳区</w:t>
      </w:r>
      <w:r>
        <w:rPr>
          <w:rFonts w:cs="宋体"/>
          <w:bCs w:val="0"/>
          <w:iCs w:val="0"/>
          <w:color w:val="000000"/>
          <w:kern w:val="0"/>
          <w:szCs w:val="21"/>
        </w:rPr>
        <w:t>实现社会消费品零售</w:t>
      </w:r>
      <w:r>
        <w:rPr>
          <w:rFonts w:hint="eastAsia" w:cs="宋体"/>
          <w:bCs w:val="0"/>
          <w:iCs w:val="0"/>
          <w:color w:val="000000"/>
          <w:kern w:val="0"/>
          <w:szCs w:val="21"/>
        </w:rPr>
        <w:t>总</w:t>
      </w:r>
      <w:r>
        <w:rPr>
          <w:rFonts w:cs="宋体"/>
          <w:bCs w:val="0"/>
          <w:iCs w:val="0"/>
          <w:color w:val="000000"/>
          <w:kern w:val="0"/>
          <w:szCs w:val="21"/>
        </w:rPr>
        <w:t>额</w:t>
      </w:r>
      <w:r>
        <w:rPr>
          <w:rFonts w:hint="eastAsia" w:cs="宋体"/>
          <w:bCs w:val="0"/>
          <w:iCs w:val="0"/>
          <w:color w:val="000000"/>
          <w:kern w:val="0"/>
          <w:szCs w:val="21"/>
          <w:lang w:val="en-US" w:eastAsia="zh-CN"/>
        </w:rPr>
        <w:t>2964.0</w:t>
      </w:r>
      <w:r>
        <w:rPr>
          <w:rFonts w:cs="宋体"/>
          <w:bCs w:val="0"/>
          <w:iCs w:val="0"/>
          <w:color w:val="000000"/>
          <w:kern w:val="0"/>
          <w:szCs w:val="21"/>
        </w:rPr>
        <w:t>亿元，同比</w:t>
      </w:r>
      <w:r>
        <w:rPr>
          <w:rFonts w:hint="eastAsia" w:cs="宋体"/>
          <w:bCs w:val="0"/>
          <w:iCs w:val="0"/>
          <w:color w:val="000000"/>
          <w:kern w:val="0"/>
          <w:szCs w:val="21"/>
          <w:lang w:eastAsia="zh-CN"/>
        </w:rPr>
        <w:t>下降</w:t>
      </w:r>
      <w:r>
        <w:rPr>
          <w:rFonts w:hint="eastAsia" w:cs="宋体"/>
          <w:bCs w:val="0"/>
          <w:iCs w:val="0"/>
          <w:color w:val="000000"/>
          <w:kern w:val="0"/>
          <w:szCs w:val="21"/>
          <w:lang w:val="en-US" w:eastAsia="zh-CN"/>
        </w:rPr>
        <w:t>4.0</w:t>
      </w:r>
      <w:r>
        <w:rPr>
          <w:rFonts w:cs="宋体"/>
          <w:bCs w:val="0"/>
          <w:iCs w:val="0"/>
          <w:color w:val="000000"/>
          <w:kern w:val="0"/>
          <w:szCs w:val="21"/>
        </w:rPr>
        <w:t>%。</w:t>
      </w:r>
    </w:p>
    <w:p>
      <w:pPr>
        <w:pStyle w:val="12"/>
        <w:widowControl/>
        <w:spacing w:line="300" w:lineRule="atLeast"/>
        <w:ind w:firstLineChars="0"/>
        <w:jc w:val="center"/>
        <w:rPr>
          <w:rFonts w:cs="宋体"/>
          <w:bCs w:val="0"/>
          <w:iCs w:val="0"/>
          <w:color w:val="000000"/>
          <w:kern w:val="0"/>
          <w:szCs w:val="21"/>
        </w:rPr>
      </w:pPr>
      <w:r>
        <w:rPr>
          <w:rFonts w:hint="eastAsia" w:cs="宋体"/>
          <w:b/>
          <w:iCs w:val="0"/>
          <w:color w:val="000000"/>
          <w:kern w:val="0"/>
        </w:rPr>
        <w:t>图　</w:t>
      </w:r>
      <w:r>
        <w:rPr>
          <w:rFonts w:hint="eastAsia" w:cs="宋体"/>
          <w:b/>
          <w:iCs w:val="0"/>
          <w:color w:val="000000"/>
          <w:kern w:val="0"/>
          <w:lang w:val="en-US" w:eastAsia="zh-CN"/>
        </w:rPr>
        <w:t>2023年1-2月至2024年1-11月</w:t>
      </w:r>
      <w:r>
        <w:rPr>
          <w:rFonts w:hint="eastAsia" w:cs="宋体"/>
          <w:b/>
          <w:iCs w:val="0"/>
          <w:color w:val="000000"/>
          <w:kern w:val="0"/>
        </w:rPr>
        <w:t>朝阳区</w:t>
      </w:r>
      <w:r>
        <w:rPr>
          <w:rFonts w:cs="宋体"/>
          <w:b/>
          <w:iCs w:val="0"/>
          <w:color w:val="000000"/>
          <w:kern w:val="0"/>
        </w:rPr>
        <w:t>社会消费品零售</w:t>
      </w:r>
      <w:r>
        <w:rPr>
          <w:rFonts w:hint="eastAsia" w:cs="宋体"/>
          <w:b/>
          <w:iCs w:val="0"/>
          <w:color w:val="000000"/>
          <w:kern w:val="0"/>
        </w:rPr>
        <w:t>总</w:t>
      </w:r>
      <w:r>
        <w:rPr>
          <w:rFonts w:cs="宋体"/>
          <w:b/>
          <w:iCs w:val="0"/>
          <w:color w:val="000000"/>
          <w:kern w:val="0"/>
        </w:rPr>
        <w:t>额增速</w:t>
      </w:r>
      <w:r>
        <w:rPr>
          <w:rFonts w:hint="eastAsia" w:cs="宋体"/>
          <w:b/>
          <w:iCs w:val="0"/>
          <w:color w:val="000000"/>
          <w:kern w:val="0"/>
          <w:lang w:eastAsia="zh-CN"/>
        </w:rPr>
        <w:t>情况</w:t>
      </w:r>
    </w:p>
    <w:p>
      <w:pPr>
        <w:widowControl/>
        <w:spacing w:line="300" w:lineRule="atLeast"/>
        <w:ind w:firstLine="0" w:firstLineChars="0"/>
        <w:jc w:val="right"/>
        <w:rPr>
          <w:rFonts w:cs="宋体"/>
          <w:bCs w:val="0"/>
          <w:iCs w:val="0"/>
          <w:color w:val="000000"/>
          <w:kern w:val="0"/>
          <w:sz w:val="21"/>
          <w:szCs w:val="21"/>
        </w:rPr>
      </w:pPr>
      <w:r>
        <w:rPr>
          <w:rFonts w:cs="宋体"/>
          <w:bCs w:val="0"/>
          <w:iCs w:val="0"/>
          <w:color w:val="000000"/>
          <w:kern w:val="0"/>
          <w:sz w:val="21"/>
          <w:szCs w:val="21"/>
        </w:rPr>
        <w:t>单位：%</w:t>
      </w:r>
    </w:p>
    <w:p>
      <w:pPr>
        <w:widowControl/>
        <w:spacing w:line="240" w:lineRule="auto"/>
        <w:ind w:firstLine="198" w:firstLineChars="71"/>
        <w:jc w:val="center"/>
        <w:rPr>
          <w:rFonts w:cs="宋体"/>
          <w:b/>
          <w:color w:val="000000"/>
          <w:kern w:val="0"/>
        </w:rPr>
      </w:pPr>
      <w:r>
        <w:drawing>
          <wp:anchor distT="0" distB="0" distL="114300" distR="114300" simplePos="0" relativeHeight="251658240" behindDoc="0" locked="0" layoutInCell="1" allowOverlap="1">
            <wp:simplePos x="0" y="0"/>
            <wp:positionH relativeFrom="column">
              <wp:posOffset>-240665</wp:posOffset>
            </wp:positionH>
            <wp:positionV relativeFrom="paragraph">
              <wp:posOffset>91440</wp:posOffset>
            </wp:positionV>
            <wp:extent cx="5632450" cy="3138805"/>
            <wp:effectExtent l="0" t="0" r="6350" b="635"/>
            <wp:wrapTopAndBottom/>
            <wp:docPr id="111627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bookmarkStart w:id="0" w:name="_GoBack"/>
      <w:bookmarkEnd w:id="0"/>
    </w:p>
    <w:p>
      <w:pPr>
        <w:widowControl/>
        <w:ind w:left="0" w:leftChars="0" w:firstLine="562" w:firstLineChars="200"/>
        <w:rPr>
          <w:rFonts w:cs="宋体"/>
          <w:b/>
          <w:iCs w:val="0"/>
          <w:color w:val="000000"/>
          <w:kern w:val="0"/>
        </w:rPr>
      </w:pPr>
      <w:r>
        <w:rPr>
          <w:rFonts w:cs="宋体"/>
          <w:b/>
          <w:iCs w:val="0"/>
          <w:color w:val="000000"/>
          <w:kern w:val="0"/>
        </w:rPr>
        <w:t>注：</w:t>
      </w:r>
    </w:p>
    <w:p>
      <w:pPr>
        <w:ind w:firstLine="562"/>
        <w:rPr>
          <w:b/>
          <w:bCs w:val="0"/>
          <w:color w:val="000000"/>
        </w:rPr>
      </w:pPr>
      <w:r>
        <w:rPr>
          <w:rFonts w:hint="eastAsia"/>
          <w:b/>
          <w:bCs w:val="0"/>
          <w:color w:val="000000"/>
        </w:rPr>
        <w:t>一、统计范围</w:t>
      </w:r>
    </w:p>
    <w:p>
      <w:pPr>
        <w:ind w:firstLine="560"/>
        <w:rPr>
          <w:color w:val="000000"/>
        </w:rPr>
      </w:pPr>
      <w:r>
        <w:rPr>
          <w:rFonts w:hint="eastAsia"/>
          <w:color w:val="000000"/>
        </w:rPr>
        <w:t>朝阳区地域内有消费品零售业务活动以及提供餐饮服务活动的法人单位、产业活动单位和个体经营户。</w:t>
      </w:r>
    </w:p>
    <w:p>
      <w:pPr>
        <w:ind w:firstLine="562"/>
        <w:rPr>
          <w:color w:val="000000"/>
        </w:rPr>
      </w:pPr>
      <w:r>
        <w:rPr>
          <w:rFonts w:hint="eastAsia"/>
          <w:b/>
          <w:bCs w:val="0"/>
          <w:color w:val="000000"/>
        </w:rPr>
        <w:t>二、采集渠道</w:t>
      </w:r>
    </w:p>
    <w:p>
      <w:pPr>
        <w:ind w:firstLine="560"/>
        <w:rPr>
          <w:color w:val="000000"/>
        </w:rPr>
      </w:pPr>
      <w:r>
        <w:rPr>
          <w:rFonts w:hint="eastAsia"/>
          <w:color w:val="000000"/>
        </w:rPr>
        <w:t>按照《批发和零售业统计报表制度》《住宿和餐饮业统计报表制度》要求</w:t>
      </w:r>
      <w:r>
        <w:rPr>
          <w:color w:val="000000"/>
        </w:rPr>
        <w:t>:①限额以上批发和零售业、住宿和餐饮业法人单位和个体经营户，非批发和零售业、住宿和餐饮业法人单位附营的限额以上批发和零售业、住宿和餐饮业产业活动单位通过联网直报系统上报统计数据；②限额以下批发和零售业、住宿和餐饮业法人单位和个体经营户，非批发和零售业、住宿和餐饮业法人单位附营的限额以下批发和零售业、住宿和餐饮业产业活动单位通过抽样调查获取数据，进而推算总体。</w:t>
      </w:r>
    </w:p>
    <w:p>
      <w:pPr>
        <w:ind w:firstLine="562"/>
        <w:rPr>
          <w:b/>
          <w:bCs w:val="0"/>
          <w:color w:val="000000"/>
        </w:rPr>
      </w:pPr>
      <w:r>
        <w:rPr>
          <w:rFonts w:hint="eastAsia"/>
          <w:b/>
          <w:bCs w:val="0"/>
          <w:color w:val="000000"/>
        </w:rPr>
        <w:t>三、统计指标解释</w:t>
      </w:r>
    </w:p>
    <w:p>
      <w:pPr>
        <w:widowControl/>
        <w:ind w:firstLine="560"/>
        <w:rPr>
          <w:rFonts w:cs="宋体"/>
          <w:bCs w:val="0"/>
          <w:iCs w:val="0"/>
          <w:color w:val="000000"/>
          <w:szCs w:val="21"/>
        </w:rPr>
      </w:pPr>
      <w:r>
        <w:rPr>
          <w:rFonts w:hint="eastAsia" w:cs="宋体"/>
          <w:bCs w:val="0"/>
          <w:iCs w:val="0"/>
          <w:color w:val="000000"/>
          <w:szCs w:val="21"/>
        </w:rPr>
        <w:t>社会消费品零售总额：指企业（单位、个体户）通过交易直接售给个人、社会集团用于非生产、非经营用的实物商品金额，以及提供餐饮服务所取得的收入金额。</w:t>
      </w:r>
    </w:p>
    <w:p>
      <w:pPr>
        <w:widowControl/>
        <w:ind w:firstLine="560"/>
        <w:rPr>
          <w:sz w:val="40"/>
        </w:rPr>
      </w:pPr>
      <w:r>
        <w:rPr>
          <w:rFonts w:hint="eastAsia" w:cs="宋体"/>
          <w:bCs w:val="0"/>
          <w:iCs w:val="0"/>
          <w:color w:val="000000"/>
          <w:szCs w:val="21"/>
        </w:rPr>
        <w:t>批发和零售业、住宿和餐饮业统计限额标准：①批发业：年主营业务收入</w:t>
      </w:r>
      <w:r>
        <w:rPr>
          <w:rFonts w:cs="宋体"/>
          <w:bCs w:val="0"/>
          <w:iCs w:val="0"/>
          <w:color w:val="000000"/>
          <w:szCs w:val="21"/>
        </w:rPr>
        <w:t>2000万元及以上；②零售业：年主营业务收入500万元及以上；③住宿业：年主营业务收入200万元及以上；④餐饮业：年主营业务收入200万元及以上。</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书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ESI仿宋-GB18030">
    <w:panose1 w:val="02000500000000000000"/>
    <w:charset w:val="86"/>
    <w:family w:val="auto"/>
    <w:pitch w:val="default"/>
    <w:sig w:usb0="A00002BF" w:usb1="38C77CFA" w:usb2="00000016" w:usb3="00000000" w:csb0="0004000F" w:csb1="00000000"/>
  </w:font>
  <w:font w:name="CESI黑体-GB18030">
    <w:panose1 w:val="02000500000000000000"/>
    <w:charset w:val="86"/>
    <w:family w:val="auto"/>
    <w:pitch w:val="default"/>
    <w:sig w:usb0="A00002BF" w:usb1="38C77CFA" w:usb2="00000016" w:usb3="00000000" w:csb0="0004000F" w:csb1="00000000"/>
  </w:font>
  <w:font w:name="CESI楷体-GB18030">
    <w:panose1 w:val="02000500000000000000"/>
    <w:charset w:val="86"/>
    <w:family w:val="auto"/>
    <w:pitch w:val="default"/>
    <w:sig w:usb0="A00002BF" w:usb1="38CF7CFA" w:usb2="00000016" w:usb3="00000000" w:csb0="0004000F" w:csb1="00000000"/>
  </w:font>
  <w:font w:name="CESI小标宋-GB18030">
    <w:panose1 w:val="02000500000000000000"/>
    <w:charset w:val="86"/>
    <w:family w:val="auto"/>
    <w:pitch w:val="default"/>
    <w:sig w:usb0="A00002BF" w:usb1="38CF7CFA" w:usb2="00000016" w:usb3="00000000" w:csb0="0004000F" w:csb1="00000000"/>
  </w:font>
  <w:font w:name="CESI宋体-GB18030">
    <w:panose1 w:val="02000500000000000000"/>
    <w:charset w:val="86"/>
    <w:family w:val="auto"/>
    <w:pitch w:val="default"/>
    <w:sig w:usb0="A00002BF" w:usb1="38C77CFA" w:usb2="00000016" w:usb3="00000000" w:csb0="0004000F" w:csb1="00000000"/>
  </w:font>
  <w:font w:name="隶书">
    <w:panose1 w:val="0201050906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Vijaya">
    <w:panose1 w:val="020B0604020202020204"/>
    <w:charset w:val="00"/>
    <w:family w:val="auto"/>
    <w:pitch w:val="default"/>
    <w:sig w:usb0="001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3" w:usb2="00000000" w:usb3="00000000" w:csb0="2000009F"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5640350"/>
    </w:sdtPr>
    <w:sdtContent>
      <w:p>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5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95A"/>
    <w:rsid w:val="00026542"/>
    <w:rsid w:val="0003674A"/>
    <w:rsid w:val="0005137F"/>
    <w:rsid w:val="0005503C"/>
    <w:rsid w:val="00062E00"/>
    <w:rsid w:val="00081150"/>
    <w:rsid w:val="000B7849"/>
    <w:rsid w:val="000C422A"/>
    <w:rsid w:val="000D2E51"/>
    <w:rsid w:val="000D734E"/>
    <w:rsid w:val="000E370B"/>
    <w:rsid w:val="000F419F"/>
    <w:rsid w:val="00100B34"/>
    <w:rsid w:val="00107A71"/>
    <w:rsid w:val="00114AB0"/>
    <w:rsid w:val="00117062"/>
    <w:rsid w:val="00122365"/>
    <w:rsid w:val="00135FCA"/>
    <w:rsid w:val="001C2CB8"/>
    <w:rsid w:val="001F63C1"/>
    <w:rsid w:val="00207E82"/>
    <w:rsid w:val="00224762"/>
    <w:rsid w:val="00233CAD"/>
    <w:rsid w:val="00237075"/>
    <w:rsid w:val="0024535B"/>
    <w:rsid w:val="00254E23"/>
    <w:rsid w:val="002A4F08"/>
    <w:rsid w:val="002A6772"/>
    <w:rsid w:val="002B556A"/>
    <w:rsid w:val="002F212A"/>
    <w:rsid w:val="002F6562"/>
    <w:rsid w:val="00313829"/>
    <w:rsid w:val="00394964"/>
    <w:rsid w:val="003B6A3A"/>
    <w:rsid w:val="003C02B3"/>
    <w:rsid w:val="003E7CE7"/>
    <w:rsid w:val="0041216D"/>
    <w:rsid w:val="00445A54"/>
    <w:rsid w:val="00481312"/>
    <w:rsid w:val="004A407A"/>
    <w:rsid w:val="004A56C2"/>
    <w:rsid w:val="004B009A"/>
    <w:rsid w:val="004E3A0F"/>
    <w:rsid w:val="00500C33"/>
    <w:rsid w:val="00510C46"/>
    <w:rsid w:val="00526867"/>
    <w:rsid w:val="00570DF2"/>
    <w:rsid w:val="0059791C"/>
    <w:rsid w:val="005A6DD8"/>
    <w:rsid w:val="005C51C6"/>
    <w:rsid w:val="005E5F17"/>
    <w:rsid w:val="005F14B9"/>
    <w:rsid w:val="0062626C"/>
    <w:rsid w:val="00634858"/>
    <w:rsid w:val="00646C3D"/>
    <w:rsid w:val="00653350"/>
    <w:rsid w:val="0067572B"/>
    <w:rsid w:val="00682509"/>
    <w:rsid w:val="00685447"/>
    <w:rsid w:val="00686066"/>
    <w:rsid w:val="00693124"/>
    <w:rsid w:val="006B2819"/>
    <w:rsid w:val="006C5F44"/>
    <w:rsid w:val="006F520C"/>
    <w:rsid w:val="007045F5"/>
    <w:rsid w:val="00704C60"/>
    <w:rsid w:val="00710CD4"/>
    <w:rsid w:val="007162ED"/>
    <w:rsid w:val="00773B94"/>
    <w:rsid w:val="0078271A"/>
    <w:rsid w:val="007944B5"/>
    <w:rsid w:val="007E609B"/>
    <w:rsid w:val="007F16D8"/>
    <w:rsid w:val="007F250A"/>
    <w:rsid w:val="00812048"/>
    <w:rsid w:val="0081410B"/>
    <w:rsid w:val="00814927"/>
    <w:rsid w:val="00817B4C"/>
    <w:rsid w:val="008217C2"/>
    <w:rsid w:val="0083398F"/>
    <w:rsid w:val="00862431"/>
    <w:rsid w:val="008645DC"/>
    <w:rsid w:val="008651C8"/>
    <w:rsid w:val="00874FC5"/>
    <w:rsid w:val="00883355"/>
    <w:rsid w:val="00884985"/>
    <w:rsid w:val="008A3C46"/>
    <w:rsid w:val="008B6D2B"/>
    <w:rsid w:val="008C1CF6"/>
    <w:rsid w:val="008D3BED"/>
    <w:rsid w:val="008D638A"/>
    <w:rsid w:val="008F3710"/>
    <w:rsid w:val="00903D89"/>
    <w:rsid w:val="00923B31"/>
    <w:rsid w:val="009273FC"/>
    <w:rsid w:val="0093105E"/>
    <w:rsid w:val="009414C7"/>
    <w:rsid w:val="00941622"/>
    <w:rsid w:val="0095044F"/>
    <w:rsid w:val="009704CA"/>
    <w:rsid w:val="009727FB"/>
    <w:rsid w:val="009826E3"/>
    <w:rsid w:val="00992C23"/>
    <w:rsid w:val="00A0287E"/>
    <w:rsid w:val="00A05A62"/>
    <w:rsid w:val="00A17238"/>
    <w:rsid w:val="00A22967"/>
    <w:rsid w:val="00A2341B"/>
    <w:rsid w:val="00A27D23"/>
    <w:rsid w:val="00A37B1B"/>
    <w:rsid w:val="00A60258"/>
    <w:rsid w:val="00A76531"/>
    <w:rsid w:val="00A767E6"/>
    <w:rsid w:val="00A82ABB"/>
    <w:rsid w:val="00A82C4B"/>
    <w:rsid w:val="00A8418E"/>
    <w:rsid w:val="00A9070C"/>
    <w:rsid w:val="00AA2BB4"/>
    <w:rsid w:val="00AA6E8D"/>
    <w:rsid w:val="00AD636D"/>
    <w:rsid w:val="00AD694A"/>
    <w:rsid w:val="00AE16B7"/>
    <w:rsid w:val="00AF0CFF"/>
    <w:rsid w:val="00B32BB1"/>
    <w:rsid w:val="00B36213"/>
    <w:rsid w:val="00B63D6F"/>
    <w:rsid w:val="00B652B9"/>
    <w:rsid w:val="00B84B9D"/>
    <w:rsid w:val="00B90273"/>
    <w:rsid w:val="00BA011B"/>
    <w:rsid w:val="00BA26B2"/>
    <w:rsid w:val="00BA29BE"/>
    <w:rsid w:val="00BB023A"/>
    <w:rsid w:val="00BC395A"/>
    <w:rsid w:val="00BC7C7B"/>
    <w:rsid w:val="00BD1DE8"/>
    <w:rsid w:val="00BD2A35"/>
    <w:rsid w:val="00BE4223"/>
    <w:rsid w:val="00BF42AA"/>
    <w:rsid w:val="00C43DC9"/>
    <w:rsid w:val="00C46118"/>
    <w:rsid w:val="00C53C4D"/>
    <w:rsid w:val="00C66624"/>
    <w:rsid w:val="00C84578"/>
    <w:rsid w:val="00C9526D"/>
    <w:rsid w:val="00CC56F4"/>
    <w:rsid w:val="00CF00EF"/>
    <w:rsid w:val="00D02911"/>
    <w:rsid w:val="00D20CE6"/>
    <w:rsid w:val="00D46511"/>
    <w:rsid w:val="00D511E4"/>
    <w:rsid w:val="00D61B87"/>
    <w:rsid w:val="00D970ED"/>
    <w:rsid w:val="00DA087D"/>
    <w:rsid w:val="00DD5C0F"/>
    <w:rsid w:val="00DD5D63"/>
    <w:rsid w:val="00E1102C"/>
    <w:rsid w:val="00E15484"/>
    <w:rsid w:val="00E17D1E"/>
    <w:rsid w:val="00E22758"/>
    <w:rsid w:val="00E42BEC"/>
    <w:rsid w:val="00E47C68"/>
    <w:rsid w:val="00E54F49"/>
    <w:rsid w:val="00E5579D"/>
    <w:rsid w:val="00E75B2F"/>
    <w:rsid w:val="00E7646C"/>
    <w:rsid w:val="00EB1A6A"/>
    <w:rsid w:val="00EB7DEE"/>
    <w:rsid w:val="00ED6809"/>
    <w:rsid w:val="00EF03B0"/>
    <w:rsid w:val="00F0675E"/>
    <w:rsid w:val="00F266C6"/>
    <w:rsid w:val="00F34ADE"/>
    <w:rsid w:val="00F7372D"/>
    <w:rsid w:val="00FD09DB"/>
    <w:rsid w:val="00FD5CA3"/>
    <w:rsid w:val="01031B1E"/>
    <w:rsid w:val="017329C9"/>
    <w:rsid w:val="03943A19"/>
    <w:rsid w:val="04740298"/>
    <w:rsid w:val="08EE4380"/>
    <w:rsid w:val="0BEE2EAF"/>
    <w:rsid w:val="0E700F99"/>
    <w:rsid w:val="0E8F1571"/>
    <w:rsid w:val="10D01FFF"/>
    <w:rsid w:val="1141038C"/>
    <w:rsid w:val="12EA0419"/>
    <w:rsid w:val="14BD5016"/>
    <w:rsid w:val="14E35B0E"/>
    <w:rsid w:val="15A84D42"/>
    <w:rsid w:val="164B3563"/>
    <w:rsid w:val="16A94FA9"/>
    <w:rsid w:val="178D0A09"/>
    <w:rsid w:val="187B15AD"/>
    <w:rsid w:val="1DB35025"/>
    <w:rsid w:val="1EB66D8C"/>
    <w:rsid w:val="1F631E38"/>
    <w:rsid w:val="21B6022A"/>
    <w:rsid w:val="21DB0EE4"/>
    <w:rsid w:val="21ED44F5"/>
    <w:rsid w:val="22D926B5"/>
    <w:rsid w:val="24E02044"/>
    <w:rsid w:val="26325CF0"/>
    <w:rsid w:val="289B18DE"/>
    <w:rsid w:val="289D19DA"/>
    <w:rsid w:val="299A3316"/>
    <w:rsid w:val="29B8755A"/>
    <w:rsid w:val="2A9E4194"/>
    <w:rsid w:val="2B6B38F0"/>
    <w:rsid w:val="2CA76595"/>
    <w:rsid w:val="2CEE41BC"/>
    <w:rsid w:val="303E2B9F"/>
    <w:rsid w:val="30D30E5D"/>
    <w:rsid w:val="37F97CC3"/>
    <w:rsid w:val="3AEB4AE9"/>
    <w:rsid w:val="3D815243"/>
    <w:rsid w:val="3DD57E49"/>
    <w:rsid w:val="3F7E37AF"/>
    <w:rsid w:val="40CF26C0"/>
    <w:rsid w:val="41B24674"/>
    <w:rsid w:val="43D820FF"/>
    <w:rsid w:val="46A24CA9"/>
    <w:rsid w:val="46BC7E96"/>
    <w:rsid w:val="46E35350"/>
    <w:rsid w:val="47A53D2A"/>
    <w:rsid w:val="48047C4F"/>
    <w:rsid w:val="48527606"/>
    <w:rsid w:val="4A5B15FC"/>
    <w:rsid w:val="4A750FFF"/>
    <w:rsid w:val="4DE834F4"/>
    <w:rsid w:val="52BD5A47"/>
    <w:rsid w:val="52C05DBB"/>
    <w:rsid w:val="52D5704F"/>
    <w:rsid w:val="533A3D5A"/>
    <w:rsid w:val="54BA4F6B"/>
    <w:rsid w:val="5874389A"/>
    <w:rsid w:val="5AB43429"/>
    <w:rsid w:val="5B7846DC"/>
    <w:rsid w:val="5BF10418"/>
    <w:rsid w:val="5C8D749D"/>
    <w:rsid w:val="63321B1D"/>
    <w:rsid w:val="63B37EC4"/>
    <w:rsid w:val="66414D12"/>
    <w:rsid w:val="66512074"/>
    <w:rsid w:val="67392EF0"/>
    <w:rsid w:val="67E1053B"/>
    <w:rsid w:val="69DD0B5B"/>
    <w:rsid w:val="6B0529D6"/>
    <w:rsid w:val="6B2869AA"/>
    <w:rsid w:val="6B7214B6"/>
    <w:rsid w:val="6C68760D"/>
    <w:rsid w:val="6FD27249"/>
    <w:rsid w:val="73DF54B3"/>
    <w:rsid w:val="774211B4"/>
    <w:rsid w:val="77E61B8C"/>
    <w:rsid w:val="7AA40352"/>
    <w:rsid w:val="7B241064"/>
    <w:rsid w:val="7B9A2E1A"/>
    <w:rsid w:val="7F3803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200" w:firstLineChars="200"/>
      <w:jc w:val="both"/>
    </w:pPr>
    <w:rPr>
      <w:rFonts w:ascii="宋体" w:hAnsi="宋体" w:eastAsia="宋体" w:cs="Times New Roman"/>
      <w:bCs/>
      <w:iCs/>
      <w:kern w:val="2"/>
      <w:sz w:val="28"/>
      <w:szCs w:val="28"/>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99"/>
    <w:pPr>
      <w:spacing w:line="240" w:lineRule="auto"/>
    </w:pPr>
    <w:rPr>
      <w:sz w:val="18"/>
      <w:szCs w:val="18"/>
    </w:rPr>
  </w:style>
  <w:style w:type="paragraph" w:styleId="3">
    <w:name w:val="footer"/>
    <w:basedOn w:val="1"/>
    <w:link w:val="11"/>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ind w:firstLine="0" w:firstLineChars="0"/>
      <w:jc w:val="left"/>
    </w:pPr>
    <w:rPr>
      <w:rFonts w:cs="宋体"/>
      <w:bCs w:val="0"/>
      <w:iCs w:val="0"/>
      <w:kern w:val="0"/>
      <w:sz w:val="24"/>
      <w:szCs w:val="24"/>
    </w:rPr>
  </w:style>
  <w:style w:type="character" w:styleId="7">
    <w:name w:val="Strong"/>
    <w:basedOn w:val="6"/>
    <w:qFormat/>
    <w:uiPriority w:val="22"/>
    <w:rPr>
      <w:b/>
      <w:bCs/>
    </w:rPr>
  </w:style>
  <w:style w:type="character" w:customStyle="1" w:styleId="9">
    <w:name w:val="批注框文本 Char"/>
    <w:basedOn w:val="6"/>
    <w:link w:val="2"/>
    <w:semiHidden/>
    <w:qFormat/>
    <w:uiPriority w:val="99"/>
    <w:rPr>
      <w:sz w:val="18"/>
      <w:szCs w:val="18"/>
    </w:rPr>
  </w:style>
  <w:style w:type="character" w:customStyle="1" w:styleId="10">
    <w:name w:val="页眉 Char"/>
    <w:basedOn w:val="6"/>
    <w:link w:val="4"/>
    <w:qFormat/>
    <w:uiPriority w:val="99"/>
    <w:rPr>
      <w:bCs/>
      <w:iCs/>
      <w:kern w:val="2"/>
      <w:sz w:val="18"/>
      <w:szCs w:val="18"/>
    </w:rPr>
  </w:style>
  <w:style w:type="character" w:customStyle="1" w:styleId="11">
    <w:name w:val="页脚 Char"/>
    <w:basedOn w:val="6"/>
    <w:link w:val="3"/>
    <w:qFormat/>
    <w:uiPriority w:val="99"/>
    <w:rPr>
      <w:bCs/>
      <w:iCs/>
      <w:kern w:val="2"/>
      <w:sz w:val="18"/>
      <w:szCs w:val="18"/>
    </w:rPr>
  </w:style>
  <w:style w:type="paragraph" w:customStyle="1" w:styleId="12">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027;&#33829;&#34920;&#23450;&#25253;&#21450;&#37325;&#28857;&#24037;&#20316;\5.&#26448;&#26009;&#25776;&#20889;\&#20316;&#22270;&#21450;&#20844;&#24335;&#27169;&#26495;\&#65288;&#22806;&#32593;&#21457;&#24067;&#35745;&#31639;&#34920;&#26684;&#65289;&#31038;&#20250;&#28040;&#36153;&#21697;&#38646;&#21806;&#24635;&#39069;&#22686;&#36895;.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cmpd="sng" algn="ctr">
              <a:solidFill>
                <a:schemeClr val="accent1"/>
              </a:solidFill>
              <a:prstDash val="solid"/>
              <a:round/>
            </a:ln>
            <a:effectLst/>
          </c:spPr>
          <c:marker>
            <c:symbol val="none"/>
          </c:marker>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multiLvlStrRef>
              <c:f>'[（外网发布计算表格）社会消费品零售总额增速.xls]信息发布'!$AI$1:$BC$2</c:f>
              <c:multiLvlStrCache>
                <c:ptCount val="21"/>
                <c:lvl>
                  <c:pt idx="0">
                    <c:v>1-2月</c:v>
                  </c:pt>
                  <c:pt idx="1">
                    <c:v>1-3月</c:v>
                  </c:pt>
                  <c:pt idx="2">
                    <c:v>1-4月</c:v>
                  </c:pt>
                  <c:pt idx="3">
                    <c:v>1-5月</c:v>
                  </c:pt>
                  <c:pt idx="4">
                    <c:v>1-6月</c:v>
                  </c:pt>
                  <c:pt idx="5">
                    <c:v>1-7月</c:v>
                  </c:pt>
                  <c:pt idx="6">
                    <c:v>1-8月</c:v>
                  </c:pt>
                  <c:pt idx="7">
                    <c:v>1-9月</c:v>
                  </c:pt>
                  <c:pt idx="8">
                    <c:v>1-10月</c:v>
                  </c:pt>
                  <c:pt idx="9">
                    <c:v>1-11月</c:v>
                  </c:pt>
                  <c:pt idx="10">
                    <c:v>1-12月</c:v>
                  </c:pt>
                  <c:pt idx="11">
                    <c:v>1-2月</c:v>
                  </c:pt>
                  <c:pt idx="12">
                    <c:v>1-3月</c:v>
                  </c:pt>
                  <c:pt idx="13">
                    <c:v>1-4月</c:v>
                  </c:pt>
                  <c:pt idx="14">
                    <c:v>1-5月</c:v>
                  </c:pt>
                  <c:pt idx="15">
                    <c:v>1-6月</c:v>
                  </c:pt>
                  <c:pt idx="16">
                    <c:v>1-7月</c:v>
                  </c:pt>
                  <c:pt idx="17">
                    <c:v>1-8月</c:v>
                  </c:pt>
                  <c:pt idx="18">
                    <c:v>1-9月</c:v>
                  </c:pt>
                  <c:pt idx="19">
                    <c:v>1-10月</c:v>
                  </c:pt>
                  <c:pt idx="20">
                    <c:v>1-11月</c:v>
                  </c:pt>
                </c:lvl>
                <c:lvl>
                  <c:pt idx="0">
                    <c:v>2023年</c:v>
                  </c:pt>
                  <c:pt idx="11">
                    <c:v>2024年</c:v>
                  </c:pt>
                </c:lvl>
              </c:multiLvlStrCache>
            </c:multiLvlStrRef>
          </c:cat>
          <c:val>
            <c:numRef>
              <c:f>'[（外网发布计算表格）社会消费品零售总额增速.xls]信息发布'!$AI$3:$BC$3</c:f>
              <c:numCache>
                <c:formatCode>0.0_ </c:formatCode>
                <c:ptCount val="21"/>
                <c:pt idx="0">
                  <c:v>-5.6</c:v>
                </c:pt>
                <c:pt idx="1">
                  <c:v>-2.6</c:v>
                </c:pt>
                <c:pt idx="2">
                  <c:v>1</c:v>
                </c:pt>
                <c:pt idx="3">
                  <c:v>6.9</c:v>
                </c:pt>
                <c:pt idx="4">
                  <c:v>5.3</c:v>
                </c:pt>
                <c:pt idx="5">
                  <c:v>4.2</c:v>
                </c:pt>
                <c:pt idx="6">
                  <c:v>3.7</c:v>
                </c:pt>
                <c:pt idx="7">
                  <c:v>2.7</c:v>
                </c:pt>
                <c:pt idx="8">
                  <c:v>3.4</c:v>
                </c:pt>
                <c:pt idx="9">
                  <c:v>4.6</c:v>
                </c:pt>
                <c:pt idx="10">
                  <c:v>5.5</c:v>
                </c:pt>
                <c:pt idx="11">
                  <c:v>0.4</c:v>
                </c:pt>
                <c:pt idx="12">
                  <c:v>-1.3</c:v>
                </c:pt>
                <c:pt idx="13">
                  <c:v>-2.1</c:v>
                </c:pt>
                <c:pt idx="14">
                  <c:v>-0.7</c:v>
                </c:pt>
                <c:pt idx="15">
                  <c:v>-2.1</c:v>
                </c:pt>
                <c:pt idx="16">
                  <c:v>-2.4</c:v>
                </c:pt>
                <c:pt idx="17">
                  <c:v>-2.3</c:v>
                </c:pt>
                <c:pt idx="18">
                  <c:v>-3</c:v>
                </c:pt>
                <c:pt idx="19">
                  <c:v>-3.1</c:v>
                </c:pt>
                <c:pt idx="20">
                  <c:v>-4</c:v>
                </c:pt>
              </c:numCache>
            </c:numRef>
          </c:val>
          <c:smooth val="0"/>
        </c:ser>
        <c:dLbls>
          <c:showLegendKey val="0"/>
          <c:showVal val="0"/>
          <c:showCatName val="0"/>
          <c:showSerName val="0"/>
          <c:showPercent val="0"/>
          <c:showBubbleSize val="0"/>
        </c:dLbls>
        <c:marker val="0"/>
        <c:smooth val="0"/>
        <c:axId val="701225999"/>
        <c:axId val="985156845"/>
      </c:lineChart>
      <c:catAx>
        <c:axId val="701225999"/>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5156845"/>
        <c:crossesAt val="-14"/>
        <c:auto val="1"/>
        <c:lblAlgn val="ctr"/>
        <c:lblOffset val="100"/>
        <c:noMultiLvlLbl val="0"/>
      </c:catAx>
      <c:valAx>
        <c:axId val="98515684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_ "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1225999"/>
        <c:crosses val="autoZero"/>
        <c:crossBetween val="between"/>
      </c:valAx>
      <c:spPr>
        <a:noFill/>
        <a:ln>
          <a:noFill/>
        </a:ln>
        <a:effectLst/>
      </c:spPr>
    </c:plotArea>
    <c:plotVisOnly val="1"/>
    <c:dispBlanksAs val="gap"/>
    <c:showDLblsOverMax val="0"/>
  </c:chart>
  <c:spPr>
    <a:solidFill>
      <a:schemeClr val="bg1"/>
    </a:solidFill>
    <a:ln w="9525" cap="flat" cmpd="sng" algn="ctr">
      <a:no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526</Words>
  <Characters>566</Characters>
  <Lines>4</Lines>
  <Paragraphs>1</Paragraphs>
  <ScaleCrop>false</ScaleCrop>
  <LinksUpToDate>false</LinksUpToDate>
  <CharactersWithSpaces>567</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2016-12-16T09:02:00Z</dcterms:created>
  <dc:creator>黄伟</dc:creator>
  <cp:lastModifiedBy>Administrator</cp:lastModifiedBy>
  <cp:lastPrinted>2024-04-18T08:46:00Z</cp:lastPrinted>
  <dcterms:modified xsi:type="dcterms:W3CDTF">2024-12-18T05:41:42Z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62E758FB75414637B190DF75795289C0</vt:lpwstr>
  </property>
</Properties>
</file>