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小标宋简体" w:eastAsia="方正小标宋简体"/>
          <w:sz w:val="36"/>
          <w:szCs w:val="36"/>
        </w:rPr>
      </w:pPr>
      <w:r>
        <w:rPr>
          <w:rFonts w:hint="eastAsia" w:ascii="黑体" w:hAnsi="黑体" w:eastAsia="黑体"/>
          <w:sz w:val="32"/>
          <w:szCs w:val="32"/>
        </w:rPr>
        <w:t>附件3</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中共北京市朝阳区委党校是在区委直接领导下培训轮训全区党员领导干部、理论干部的学校和主渠道，是区委的重要部门。区委党校的主要任务是：按照中央、市委和区委要求，不断加大干部培训轮训力度，认真落实全区干部教育培训规划。统筹抓好区委党校、区行政学院、区社会主义学院各级各类培训，主要设置副处级干部进修班、新任副处级干部培训班、中青年干部培训班、军转干部培训班、科级公务员任职培训班、青年干部政治理论读书班等主体班次。开设妇女干部培训班、新闻发言人培训班、文化创意产业培训班、非公经济界代表人士培训班、民主党派和非党干部培训班以及入党积极分子培训班等专题班次。举办以人文国学、领导力提升、政治经济热点问题、城市精细化管理等为主题的周末大讲堂。</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w:t>
      </w:r>
    </w:p>
    <w:p>
      <w:pPr>
        <w:spacing w:line="600" w:lineRule="exact"/>
        <w:ind w:firstLine="640" w:firstLineChars="200"/>
        <w:rPr>
          <w:rFonts w:hint="eastAsia" w:ascii="楷体_GB2312" w:eastAsia="楷体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部门整体绩效目标的设立依据，主要包括区财政局关于绩效管理的相关要求，围绕部门职责，以及当年的主要工作任务，以预算资金为主线，统筹考虑业务活动和年度预算安排等情况，通过设置一系列反映工作职责的关键性指标，衡量部门整体及核心业务实施效果。部门整体绩效目标设置与部门职能定位相符，部门整体绩效目标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年度计划重点工作内容体现较为准确、全面。</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年全年预算数</w:t>
      </w:r>
      <w:r>
        <w:rPr>
          <w:rFonts w:hint="eastAsia" w:ascii="仿宋_GB2312" w:hAnsi="仿宋_GB2312" w:eastAsia="仿宋_GB2312" w:cs="仿宋_GB2312"/>
          <w:sz w:val="32"/>
          <w:szCs w:val="32"/>
          <w:lang w:val="en-US" w:eastAsia="zh-CN"/>
        </w:rPr>
        <w:t>6332.09</w:t>
      </w:r>
      <w:r>
        <w:rPr>
          <w:rFonts w:hint="eastAsia" w:ascii="仿宋_GB2312" w:hAnsi="仿宋_GB2312" w:eastAsia="仿宋_GB2312" w:cs="仿宋_GB2312"/>
          <w:sz w:val="32"/>
          <w:szCs w:val="32"/>
        </w:rPr>
        <w:t>万元，其中，基本支出预算数</w:t>
      </w:r>
      <w:r>
        <w:rPr>
          <w:rFonts w:hint="eastAsia" w:ascii="仿宋_GB2312" w:hAnsi="仿宋_GB2312" w:eastAsia="仿宋_GB2312" w:cs="仿宋_GB2312"/>
          <w:sz w:val="32"/>
          <w:szCs w:val="32"/>
          <w:lang w:val="en-US" w:eastAsia="zh-CN"/>
        </w:rPr>
        <w:t>2649.13</w:t>
      </w:r>
      <w:r>
        <w:rPr>
          <w:rFonts w:hint="eastAsia" w:ascii="仿宋_GB2312" w:hAnsi="仿宋_GB2312" w:eastAsia="仿宋_GB2312" w:cs="仿宋_GB2312"/>
          <w:sz w:val="32"/>
          <w:szCs w:val="32"/>
        </w:rPr>
        <w:t>万元，项目支出预算数</w:t>
      </w:r>
      <w:r>
        <w:rPr>
          <w:rFonts w:hint="eastAsia" w:ascii="仿宋_GB2312" w:hAnsi="仿宋_GB2312" w:eastAsia="仿宋_GB2312" w:cs="仿宋_GB2312"/>
          <w:sz w:val="32"/>
          <w:szCs w:val="32"/>
          <w:lang w:val="en-US" w:eastAsia="zh-CN"/>
        </w:rPr>
        <w:t>3682.96</w:t>
      </w:r>
      <w:r>
        <w:rPr>
          <w:rFonts w:hint="eastAsia" w:ascii="仿宋_GB2312" w:hAnsi="仿宋_GB2312" w:eastAsia="仿宋_GB2312" w:cs="仿宋_GB2312"/>
          <w:sz w:val="32"/>
          <w:szCs w:val="32"/>
        </w:rPr>
        <w:t>万元。资金总体支出</w:t>
      </w:r>
      <w:r>
        <w:rPr>
          <w:rFonts w:hint="eastAsia" w:ascii="仿宋_GB2312" w:hAnsi="仿宋_GB2312" w:eastAsia="仿宋_GB2312" w:cs="仿宋_GB2312"/>
          <w:sz w:val="32"/>
          <w:szCs w:val="32"/>
          <w:lang w:val="en-US" w:eastAsia="zh-CN"/>
        </w:rPr>
        <w:t>6332.09</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2649.13</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3682.96</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各项项目的工作任务均基本完成，产出数量总体上符合整体绩效目标要求。</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我单位是全额财政拨款实行预算单位管理体制，有支出必有预算，没有预算不予支出。通过预算绩效管理这一有效的手段，全校从上至下的规范意识进一步增强，产出质量符合整体绩效目标要求。</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个项目按照进度计划开展工作任务，并且能够及时根据工作变化，做出经费预算调整，支出进度与工作进度相匹配，此外，区委党校制定了预算执行进度监督相关细则，按季度汇总各部门的预算进度情况并通报。</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执行相关财务管理制度，各项支出有明确支出标准的严格按照支出标准执行，避免超预算支出。保证对资金的有效管理，提前做好用款计划、按时申请、支出等各个环节，并坚持灵活运用原则，确保在规范的前提下，合理使用项目资金，有效降低产出成本，充分发挥提质增效作用。</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.社会效益</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围绕我区经济社会发展中的重点、难点和热点问题，举办专题研讨班，为领导科学决策提供信息参考。围绕新情况新问题，开展科学研究，坚持问题导向，紧贴决策需求，强化统筹指导。积极学习和宣讲二十大精神，推动二十大精神落到实处。</w:t>
      </w:r>
    </w:p>
    <w:p>
      <w:pPr>
        <w:spacing w:line="600" w:lineRule="exact"/>
        <w:ind w:left="105" w:leftChars="50" w:firstLine="480" w:firstLineChars="150"/>
        <w:rPr>
          <w:rFonts w:ascii="仿宋_GB2312" w:hAnsi="宋体" w:eastAsia="仿宋_GB2312" w:cs="宋体"/>
          <w:color w:val="000000"/>
          <w:kern w:val="0"/>
          <w:sz w:val="32"/>
          <w:szCs w:val="32"/>
        </w:rPr>
      </w:pPr>
      <w:bookmarkStart w:id="0" w:name="_GoBack"/>
      <w:bookmarkEnd w:id="0"/>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积极开展各类培训，通过各培训班次，带领学员深入学习贯彻习近平新时代中国特色社会主义思想，学习贯彻党的十九大、二十大精神以及习近平总书记最新讲话精神和重要指示等相关内容，从学员反馈结果来看，满意度较高。</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度我们按照北京市财政局对内控的六大指标体系对党校工作组织、机制建设、制度完善、关键岗位、财务信息编报、信息系统建设、预算、收支、政府采购、资产管理、合同等业务的流程、内部监督等方面进行梳理，完善了内控手册。对内控手册中规定的内容进行逐项培训，严格执行各项制度。</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预算经批准后，区委党校对按照区财政局批复的项目预算在单位内部进行指标分解、审批下达，认真遵守政府采购、资产管理、合同管理、绩效管理等财政财务管理相关规定。区委党校制定了《中共北京市朝阳区委党校内部控制手册》，在资金使用和管理上，严格遵守财经纪律和各项财务管理制度规定。加强对资金使用的监管，重视财政资金使用的绩效评价。项目资金严格实行专款专用、单独核算，严禁截留、挪用和超批复内容使用资金，确保预算执行更加顺畅、监督体系更加完善，使各项开支合规、合法。</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区委党校严格执行政府会计准则和政府会计制度规定，规范使用会计科目，进行日常会计核算，编制财务会计报表和部门决算报表，会计基础信息规范性较强。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加强区委党校固定资产管理，合理配备、规范固定资产的使用，根据朝阳区《行政事业单位国有资产管理等相关制度的通知》精神和要求,制定《中共北京市朝阳区委党校固定资产管理办法》，对固定资产应当定期或不定期进行清查盘点，年度终了前应当进行全面清查盘点，做到账、卡、物相符。对固定资产的盘盈、盘亏应当按规定程序及时处理。</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按照《北京市朝阳区全面实施预算绩效管理实施方案》，进一步加强我校预算绩效管理，提高财政资金使用效益，结合我校实际，制定《朝阳区委党校全面实施预算绩效管理实施方案》，建立健全工作机制，突出预算绩效管理，提高资金使用效益。</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我单位</w:t>
      </w:r>
      <w:r>
        <w:rPr>
          <w:rFonts w:hint="eastAsia" w:ascii="仿宋_GB2312" w:hAnsi="宋体" w:eastAsia="仿宋_GB2312" w:cs="宋体"/>
          <w:color w:val="000000"/>
          <w:kern w:val="0"/>
          <w:sz w:val="32"/>
          <w:szCs w:val="32"/>
        </w:rPr>
        <w:t>成立财政支出绩效管理工作领导小组，常务副校长担任组长，班子成员为副组长，各部门负责人为领导小组成员，领导小组下设办公室，办公室设在财务办公室，分管财务的校领导兼任办公室主任，负责组织协调全校的财政支出，对绩效进行监督跟踪。</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明确职责分工，将预算的项目支出按照各部门的岗位职责分配具体工作，列出全年的项目进度。责任到具体负责人，按照工作进展追踪实施情况。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年决算收入</w:t>
      </w:r>
      <w:r>
        <w:rPr>
          <w:rFonts w:hint="eastAsia" w:ascii="仿宋_GB2312" w:hAnsi="宋体" w:eastAsia="仿宋_GB2312" w:cs="宋体"/>
          <w:color w:val="000000"/>
          <w:kern w:val="0"/>
          <w:sz w:val="32"/>
          <w:szCs w:val="32"/>
          <w:lang w:val="en-US" w:eastAsia="zh-CN"/>
        </w:rPr>
        <w:t>6332.09</w:t>
      </w:r>
      <w:r>
        <w:rPr>
          <w:rFonts w:hint="eastAsia" w:ascii="仿宋_GB2312" w:hAnsi="宋体" w:eastAsia="仿宋_GB2312" w:cs="宋体"/>
          <w:color w:val="000000"/>
          <w:kern w:val="0"/>
          <w:sz w:val="32"/>
          <w:szCs w:val="32"/>
        </w:rPr>
        <w:t>万元，实际支出</w:t>
      </w:r>
      <w:r>
        <w:rPr>
          <w:rFonts w:hint="eastAsia" w:ascii="仿宋_GB2312" w:hAnsi="宋体" w:eastAsia="仿宋_GB2312" w:cs="宋体"/>
          <w:color w:val="000000"/>
          <w:kern w:val="0"/>
          <w:sz w:val="32"/>
          <w:szCs w:val="32"/>
          <w:lang w:val="en-US" w:eastAsia="zh-CN"/>
        </w:rPr>
        <w:t>6332.09</w:t>
      </w:r>
      <w:r>
        <w:rPr>
          <w:rFonts w:hint="eastAsia" w:ascii="仿宋_GB2312" w:hAnsi="宋体" w:eastAsia="仿宋_GB2312" w:cs="宋体"/>
          <w:color w:val="000000"/>
          <w:kern w:val="0"/>
          <w:sz w:val="32"/>
          <w:szCs w:val="32"/>
        </w:rPr>
        <w:t>万元，结转结余0万元，结转结余率0%。</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区委党校202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年初预算数</w:t>
      </w:r>
      <w:r>
        <w:rPr>
          <w:rFonts w:hint="eastAsia" w:ascii="仿宋_GB2312" w:hAnsi="宋体" w:eastAsia="仿宋_GB2312" w:cs="宋体"/>
          <w:color w:val="000000"/>
          <w:kern w:val="0"/>
          <w:sz w:val="32"/>
          <w:szCs w:val="32"/>
          <w:lang w:val="en-US" w:eastAsia="zh-CN"/>
        </w:rPr>
        <w:t>3109.46</w:t>
      </w:r>
      <w:r>
        <w:rPr>
          <w:rFonts w:hint="eastAsia"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val="en-US" w:eastAsia="zh-CN"/>
        </w:rPr>
        <w:t>2023年全年预算数6332.09万元，</w:t>
      </w: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年度支出决算数</w:t>
      </w:r>
      <w:r>
        <w:rPr>
          <w:rFonts w:hint="eastAsia" w:ascii="仿宋_GB2312" w:hAnsi="宋体" w:eastAsia="仿宋_GB2312" w:cs="宋体"/>
          <w:color w:val="000000"/>
          <w:kern w:val="0"/>
          <w:sz w:val="32"/>
          <w:szCs w:val="32"/>
          <w:lang w:val="en-US" w:eastAsia="zh-CN"/>
        </w:rPr>
        <w:t>6332.09</w:t>
      </w:r>
      <w:r>
        <w:rPr>
          <w:rFonts w:hint="eastAsia" w:ascii="仿宋_GB2312" w:hAnsi="宋体" w:eastAsia="仿宋_GB2312" w:cs="宋体"/>
          <w:color w:val="000000"/>
          <w:kern w:val="0"/>
          <w:sz w:val="32"/>
          <w:szCs w:val="32"/>
        </w:rPr>
        <w:t>万元，预决算差异额</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color w:val="000000"/>
          <w:kern w:val="0"/>
          <w:sz w:val="32"/>
          <w:szCs w:val="32"/>
        </w:rPr>
        <w:t>万元，预决算差异率</w:t>
      </w:r>
      <w:r>
        <w:rPr>
          <w:rFonts w:hint="eastAsia" w:ascii="仿宋_GB2312" w:hAnsi="宋体" w:eastAsia="仿宋_GB2312" w:cs="宋体"/>
          <w:color w:val="000000"/>
          <w:kern w:val="0"/>
          <w:sz w:val="32"/>
          <w:szCs w:val="32"/>
          <w:lang w:val="en-US" w:eastAsia="zh-CN"/>
        </w:rPr>
        <w:t>0</w:t>
      </w:r>
      <w:r>
        <w:rPr>
          <w:rFonts w:hint="eastAsia" w:ascii="仿宋_GB2312" w:hAnsi="宋体" w:eastAsia="仿宋_GB2312" w:cs="宋体"/>
          <w:color w:val="000000"/>
          <w:kern w:val="0"/>
          <w:sz w:val="32"/>
          <w:szCs w:val="32"/>
        </w:rPr>
        <w:t>%。</w:t>
      </w:r>
    </w:p>
    <w:p>
      <w:pPr>
        <w:spacing w:line="600" w:lineRule="exact"/>
        <w:ind w:left="105" w:leftChars="50" w:firstLine="480" w:firstLineChars="150"/>
        <w:rPr>
          <w:rFonts w:hint="eastAsia" w:ascii="黑体" w:hAnsi="黑体" w:eastAsia="黑体"/>
          <w:sz w:val="32"/>
          <w:szCs w:val="32"/>
        </w:rPr>
      </w:pP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rPr>
        <w:t>经评价，区委党校部门整体支出绩效评价综合得分</w:t>
      </w:r>
      <w:r>
        <w:rPr>
          <w:rFonts w:hint="eastAsia" w:ascii="仿宋_GB2312" w:hAnsi="宋体" w:eastAsia="仿宋_GB2312" w:cs="宋体"/>
          <w:color w:val="000000"/>
          <w:kern w:val="0"/>
          <w:sz w:val="32"/>
          <w:szCs w:val="32"/>
          <w:lang w:val="en-US" w:eastAsia="zh-CN"/>
        </w:rPr>
        <w:t>99.43</w:t>
      </w:r>
      <w:r>
        <w:rPr>
          <w:rFonts w:hint="eastAsia" w:ascii="仿宋_GB2312" w:hAnsi="宋体" w:eastAsia="仿宋_GB2312" w:cs="宋体"/>
          <w:color w:val="000000"/>
          <w:kern w:val="0"/>
          <w:sz w:val="32"/>
          <w:szCs w:val="32"/>
          <w:highlight w:val="none"/>
        </w:rPr>
        <w:t>分，绩效评定结论为“优秀”</w:t>
      </w:r>
      <w:r>
        <w:rPr>
          <w:rFonts w:hint="eastAsia" w:ascii="仿宋_GB2312" w:hAnsi="宋体" w:eastAsia="仿宋_GB2312" w:cs="宋体"/>
          <w:color w:val="000000"/>
          <w:kern w:val="0"/>
          <w:sz w:val="32"/>
          <w:szCs w:val="32"/>
          <w:highlight w:val="none"/>
          <w:lang w:eastAsia="zh-CN"/>
        </w:rPr>
        <w:t>。</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部门整体绩效指标设定较为宽泛，多为定性描述，量化不充分，不便于部门整体绩效的量化考核。</w:t>
      </w:r>
    </w:p>
    <w:p>
      <w:pPr>
        <w:spacing w:line="60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2.个别项目年度指标值设置不合理，导致实际完成值与年度指标值不一致。</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进一步优化部门整体绩效目标。按照全面实施预算绩效管理相关要求，对本单位工作职责进行全面梳理，设定部门整体绩效目标，以定量指标为主，定性指标为辅，以科学合理的目标要求，推动工作有效落实，充分发挥部门整体绩效目标的引导作用。</w:t>
      </w:r>
    </w:p>
    <w:p>
      <w:pPr>
        <w:spacing w:line="60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加强绩效考核。围绕绩效考核目标任务，层层分解落实，明确责任领导和责任部门及责任人，强化责任意识，使每位教职工对自己的目标任务了然于胸，从而增强工作的主动性和积极性，使考核目标中涉及到的每一项任务都落到实处。</w:t>
      </w:r>
    </w:p>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 w:name="KSO_WPS_MARK_KEY" w:val="c076364c-2055-4331-9d2c-c50be8d2781f"/>
  </w:docVars>
  <w:rsids>
    <w:rsidRoot w:val="5B1D39DF"/>
    <w:rsid w:val="001C7834"/>
    <w:rsid w:val="0023434C"/>
    <w:rsid w:val="00465181"/>
    <w:rsid w:val="0057202C"/>
    <w:rsid w:val="005E3946"/>
    <w:rsid w:val="0060746B"/>
    <w:rsid w:val="00826643"/>
    <w:rsid w:val="00954F6E"/>
    <w:rsid w:val="00B03B70"/>
    <w:rsid w:val="00CF07EE"/>
    <w:rsid w:val="00E617B2"/>
    <w:rsid w:val="00F42C33"/>
    <w:rsid w:val="0A7D52CC"/>
    <w:rsid w:val="14371CCE"/>
    <w:rsid w:val="4E3C7099"/>
    <w:rsid w:val="5B1D39DF"/>
    <w:rsid w:val="5D887628"/>
    <w:rsid w:val="6E0E5CF7"/>
    <w:rsid w:val="76BA2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0"/>
    <w:rPr>
      <w:rFonts w:ascii="Times New Roman" w:hAnsi="Times New Roman" w:eastAsia="宋体" w:cs="Times New Roman"/>
      <w:kern w:val="2"/>
      <w:sz w:val="18"/>
      <w:szCs w:val="18"/>
    </w:rPr>
  </w:style>
  <w:style w:type="character" w:customStyle="1" w:styleId="8">
    <w:name w:val="批注框文本 字符"/>
    <w:basedOn w:val="5"/>
    <w:link w:val="2"/>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2690</Words>
  <Characters>2797</Characters>
  <Lines>3</Lines>
  <Paragraphs>1</Paragraphs>
  <ScaleCrop>false</ScaleCrop>
  <LinksUpToDate>false</LinksUpToDate>
  <CharactersWithSpaces>2797</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USER</cp:lastModifiedBy>
  <cp:lastPrinted>2024-02-27T01:50:00Z</cp:lastPrinted>
  <dcterms:modified xsi:type="dcterms:W3CDTF">2024-08-09T08:23:10Z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D0433422171240BB948B041F2C56B5A3_12</vt:lpwstr>
  </property>
</Properties>
</file>