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朝阳区清洁运输先行区建设2026年行动计划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征求意见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为加快移动源新能源化，推动结构减排，提升全区“含绿量”水平，</w:t>
      </w:r>
      <w:r>
        <w:rPr>
          <w:rFonts w:ascii="Times New Roman" w:hAnsi="Times New Roman" w:eastAsia="仿宋_GB2312" w:cs="Times New Roman"/>
          <w:sz w:val="32"/>
          <w:szCs w:val="32"/>
        </w:rPr>
        <w:t>加快构建绿色低碳交通运输体系，助力美丽朝阳建设提质增效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</w:t>
      </w:r>
      <w:r>
        <w:rPr>
          <w:rFonts w:ascii="Times New Roman" w:hAnsi="Times New Roman" w:eastAsia="仿宋_GB2312" w:cs="Times New Roman"/>
          <w:sz w:val="32"/>
          <w:szCs w:val="32"/>
        </w:rPr>
        <w:t>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“全链绿治</w:t>
      </w:r>
      <w:r>
        <w:rPr>
          <w:rFonts w:ascii="Times New Roman" w:hAnsi="Times New Roman" w:eastAsia="仿宋_GB2312" w:cs="Times New Roman"/>
          <w:sz w:val="32"/>
          <w:szCs w:val="32"/>
        </w:rPr>
        <w:t>、示范引领、政策驱动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总体要求</w:t>
      </w:r>
      <w:r>
        <w:rPr>
          <w:rFonts w:ascii="Times New Roman" w:hAnsi="Times New Roman" w:eastAsia="仿宋_GB2312" w:cs="Times New Roman"/>
          <w:sz w:val="32"/>
          <w:szCs w:val="32"/>
        </w:rPr>
        <w:t>，统筹车辆更新、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完善补能</w:t>
      </w:r>
      <w:r>
        <w:rPr>
          <w:rFonts w:ascii="Times New Roman" w:hAnsi="Times New Roman" w:eastAsia="仿宋_GB2312" w:cs="Times New Roman"/>
          <w:sz w:val="32"/>
          <w:szCs w:val="32"/>
        </w:rPr>
        <w:t>、维修回收、智慧监管、示范创建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环节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，通过</w:t>
      </w:r>
      <w:r>
        <w:rPr>
          <w:rFonts w:ascii="Times New Roman" w:hAnsi="Times New Roman" w:eastAsia="仿宋_GB2312" w:cs="Times New Roman"/>
          <w:sz w:val="32"/>
          <w:szCs w:val="32"/>
        </w:rPr>
        <w:t>整合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多方资源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凝聚工作合力，着力</w:t>
      </w:r>
      <w:r>
        <w:rPr>
          <w:rFonts w:ascii="Times New Roman" w:hAnsi="Times New Roman" w:eastAsia="仿宋_GB2312" w:cs="Times New Roman"/>
          <w:sz w:val="32"/>
          <w:szCs w:val="32"/>
        </w:rPr>
        <w:t>打造清洁运输先行标杆，为美丽朝阳建设提供有力支撑。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2026年，结合我区实际，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治理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一批、更新一批、示范一批”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的工作思路，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紧扣全链条绿色转型、全要素政策保障、多领域示范引领的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“两全多示范”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工作目标，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聚焦商超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生活服务、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建筑工地、城市运行保障、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旅游、工业等领域，持续提升新能源车渗透率，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基本建成绿色高效、智慧低</w:t>
      </w:r>
      <w:r>
        <w:rPr>
          <w:rFonts w:ascii="Times New Roman" w:hAnsi="Times New Roman" w:eastAsia="仿宋_GB2312" w:cs="Times New Roman"/>
          <w:sz w:val="32"/>
          <w:szCs w:val="32"/>
        </w:rPr>
        <w:t>碳的清洁运输体系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工作措施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（一）优化运输结构，提升公共服务领域新能源比例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源头</w:t>
      </w:r>
      <w:r>
        <w:rPr>
          <w:rFonts w:ascii="Times New Roman" w:hAnsi="Times New Roman" w:eastAsia="仿宋_GB2312" w:cs="Times New Roman"/>
          <w:sz w:val="32"/>
          <w:szCs w:val="32"/>
        </w:rPr>
        <w:t>精准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管控</w:t>
      </w:r>
      <w:r>
        <w:rPr>
          <w:rFonts w:ascii="Times New Roman" w:hAnsi="Times New Roman" w:eastAsia="仿宋_GB2312" w:cs="Times New Roman"/>
          <w:sz w:val="32"/>
          <w:szCs w:val="32"/>
        </w:rPr>
        <w:t>，聚焦高频运输场景，加快公共服务领域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货运</w:t>
      </w:r>
      <w:r>
        <w:rPr>
          <w:rFonts w:ascii="Times New Roman" w:hAnsi="Times New Roman" w:eastAsia="仿宋_GB2312" w:cs="Times New Roman"/>
          <w:sz w:val="32"/>
          <w:szCs w:val="32"/>
        </w:rPr>
        <w:t>车辆全面绿色转型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，持续优化区域运输结构。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推进公务用车新能源化。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严格落实新能源优先配置要求，全年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公务用车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辆，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力争年度新增公务用车新能源比率达到X%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持续加大新能源网约车投运。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前期通过走访调研、座谈交流等方式，了解企业需求和发展规划，通过政策支持、资金补贴等方式，强化对网约车平台企业的服务和保障，摸清运行规划，挖潜资源，力争实现新能源网约车比率累计达到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3.推动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混凝土搅拌车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清洁运输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分级推进搅拌站新能源化提升，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推动进出场站牵引车、混凝土搅拌车等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主要运输车辆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新能源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比率不低于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%，确保国六及新能源运输车辆占比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不低于X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4.推动沥青搅拌站车辆新能源化。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引导沥青混凝土搅拌站使用全密闭新能源运输车，年底前至少替代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5.推动建筑垃圾运输车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新能源化。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研究推动新能源建筑垃圾运输车备案许可工作。</w:t>
      </w:r>
      <w:r>
        <w:rPr>
          <w:rFonts w:ascii="Times New Roman" w:hAnsi="Times New Roman" w:eastAsia="仿宋_GB2312" w:cs="Times New Roman"/>
          <w:sz w:val="32"/>
          <w:szCs w:val="32"/>
        </w:rPr>
        <w:t>辖区内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ascii="Times New Roman" w:hAnsi="Times New Roman" w:eastAsia="仿宋_GB2312" w:cs="Times New Roman"/>
          <w:sz w:val="32"/>
          <w:szCs w:val="32"/>
        </w:rPr>
        <w:t>建筑垃圾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资源化场</w:t>
      </w:r>
      <w:r>
        <w:rPr>
          <w:rFonts w:ascii="Times New Roman" w:hAnsi="Times New Roman" w:eastAsia="仿宋_GB2312" w:cs="Times New Roman"/>
          <w:sz w:val="32"/>
          <w:szCs w:val="32"/>
        </w:rPr>
        <w:t>使用新能源运输车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比率不低于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推动商超配送车辆新能源化。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进一步加大新能源车辆使用比率，力争在年底前实现五环内相关门店新能源配送达到X%。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7.推动非道路移动机械新能源化。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按照“减油增电”的总体工作思路推进，减油械，强化与机械大户对接，国二及以下老旧机械“应减尽减”，以各行业工地广泛使用的升降平台为重点，通过宣贯政策、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提升服务等方式，进一步推动各类工地使用新能源机械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推动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全链条闭环转运管控。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聚焦源头环节，从建材领域入手，大力推广绿色铁路专线运输，配套新能源车辆接驳配送至搅拌站，构建源头低碳，中途清洁的一体化绿色货运新格局。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ascii="楷体_GB2312" w:hAnsi="楷体_GB2312" w:eastAsia="楷体_GB2312" w:cs="楷体_GB2312"/>
          <w:sz w:val="32"/>
          <w:szCs w:val="32"/>
        </w:rPr>
        <w:t>）完善补能设施，夯实新能源车运行基础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针对新能源车辆补能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需求</w:t>
      </w:r>
      <w:r>
        <w:rPr>
          <w:rFonts w:ascii="Times New Roman" w:hAnsi="Times New Roman" w:eastAsia="仿宋_GB2312" w:cs="Times New Roman"/>
          <w:sz w:val="32"/>
          <w:szCs w:val="32"/>
        </w:rPr>
        <w:t>，结合车辆运行场景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统筹规划补能设施布局，构建便捷、高效、全覆盖的补能网络。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9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.优化补能设施布局。</w:t>
      </w:r>
      <w:r>
        <w:rPr>
          <w:rFonts w:ascii="Times New Roman" w:hAnsi="Times New Roman" w:eastAsia="仿宋_GB2312" w:cs="Times New Roman"/>
          <w:sz w:val="32"/>
          <w:szCs w:val="32"/>
        </w:rPr>
        <w:t>统筹充换电等综合补能需求，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科学规划</w:t>
      </w:r>
      <w:r>
        <w:rPr>
          <w:rFonts w:ascii="Times New Roman" w:hAnsi="Times New Roman" w:eastAsia="仿宋_GB2312" w:cs="Times New Roman"/>
          <w:sz w:val="32"/>
          <w:szCs w:val="32"/>
        </w:rPr>
        <w:t>换电站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空间</w:t>
      </w:r>
      <w:r>
        <w:rPr>
          <w:rFonts w:ascii="Times New Roman" w:hAnsi="Times New Roman" w:eastAsia="仿宋_GB2312" w:cs="Times New Roman"/>
          <w:sz w:val="32"/>
          <w:szCs w:val="32"/>
        </w:rPr>
        <w:t>布局，破解新能源车补能环节短板。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完善加氢业务服务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加大氢燃料客运车辆投运力度，不断提升加氢站服务能力，引导鼓励旅游公司使用氢燃料旅游客车。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11.强化电力增容保障。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变压器增容和电网优化，确保电力供应稳定、大功率补能设施正常使用。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（三）健全绿色服务体系，强化维修回收闭环管理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围绕新能源车全生命周期管理，推动维修服务与资源回收协同发展，构建绿色、高效的维保与循环利用体系。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12.构建体系完善的客运车辆绿色维修体系。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优化汽修行业空间布局，推动行业“含绿量”提升至X%，全面提升行业绿色发展水平。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推动货运车辆维修绿色升级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推动专业化绿色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货运车辆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维修中心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探索建设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，重点服务于新能源车</w:t>
      </w:r>
      <w:r>
        <w:rPr>
          <w:rFonts w:ascii="Times New Roman" w:hAnsi="Times New Roman" w:eastAsia="仿宋_GB2312" w:cs="Times New Roman"/>
          <w:sz w:val="32"/>
          <w:szCs w:val="32"/>
        </w:rPr>
        <w:t>辆维修、保养，提升新能源车辆运维保障能力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，推动行业向标准化、绿色化、专业化方向转型升级。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14.推动道路救援绿色升级。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关注道路救援领域，摸排全区道路救援队伍现状，推动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新能源救援车队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，提升救援环节绿色化水平。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15.推动车辆电池拆解绿色升级。</w:t>
      </w:r>
      <w:r>
        <w:rPr>
          <w:rFonts w:ascii="Times New Roman" w:hAnsi="Times New Roman" w:eastAsia="仿宋_GB2312" w:cs="Times New Roman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ascii="Times New Roman" w:hAnsi="Times New Roman" w:eastAsia="仿宋_GB2312" w:cs="Times New Roman"/>
          <w:sz w:val="32"/>
          <w:szCs w:val="32"/>
        </w:rPr>
        <w:t>废旧电池拆解中心，规范废旧动力电池回收、拆解和再利用流程，构</w:t>
      </w:r>
      <w:r>
        <w:rPr>
          <w:rFonts w:hint="eastAsia" w:ascii="仿宋_GB2312" w:hAnsi="仿宋_GB2312" w:eastAsia="仿宋_GB2312" w:cs="仿宋_GB2312"/>
          <w:sz w:val="32"/>
          <w:szCs w:val="32"/>
        </w:rPr>
        <w:t>建“使用—维修—回收”闭环</w:t>
      </w:r>
      <w:r>
        <w:rPr>
          <w:rFonts w:ascii="Times New Roman" w:hAnsi="Times New Roman" w:eastAsia="仿宋_GB2312" w:cs="Times New Roman"/>
          <w:sz w:val="32"/>
          <w:szCs w:val="32"/>
        </w:rPr>
        <w:t>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深化</w:t>
      </w:r>
      <w:r>
        <w:rPr>
          <w:rFonts w:ascii="楷体_GB2312" w:hAnsi="楷体_GB2312" w:eastAsia="楷体_GB2312" w:cs="楷体_GB2312"/>
          <w:sz w:val="32"/>
          <w:szCs w:val="32"/>
        </w:rPr>
        <w:t>数智转型，提升</w:t>
      </w:r>
      <w:r>
        <w:rPr>
          <w:rFonts w:hint="eastAsia" w:ascii="楷体_GB2312" w:hAnsi="楷体_GB2312" w:eastAsia="楷体_GB2312" w:cs="楷体_GB2312"/>
          <w:sz w:val="32"/>
          <w:szCs w:val="32"/>
        </w:rPr>
        <w:t>精准</w:t>
      </w:r>
      <w:r>
        <w:rPr>
          <w:rFonts w:ascii="楷体_GB2312" w:hAnsi="楷体_GB2312" w:eastAsia="楷体_GB2312" w:cs="楷体_GB2312"/>
          <w:sz w:val="32"/>
          <w:szCs w:val="32"/>
        </w:rPr>
        <w:t>监管效能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依托科技手段，推进监管模式数智化转型，实现精准监管、高效执法。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移动源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智慧监管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体系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聚焦移动源监管关键环节，</w:t>
      </w:r>
      <w:r>
        <w:rPr>
          <w:rFonts w:ascii="Times New Roman" w:hAnsi="Times New Roman" w:eastAsia="仿宋_GB2312" w:cs="Times New Roman"/>
          <w:sz w:val="32"/>
          <w:szCs w:val="32"/>
        </w:rPr>
        <w:t>应用人工智能、大数据、云计算等技术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，搭建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智慧化监管平台提升执法监管效能。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17.推动重点行业企业门禁系统建设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对重点行业企业出入车辆实施电子门禁管理，推动建成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家安装门禁系统并联网。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五</w:t>
      </w:r>
      <w:r>
        <w:rPr>
          <w:rFonts w:ascii="楷体_GB2312" w:hAnsi="楷体_GB2312" w:eastAsia="楷体_GB2312" w:cs="楷体_GB2312"/>
          <w:sz w:val="32"/>
          <w:szCs w:val="32"/>
        </w:rPr>
        <w:t>）聚焦</w:t>
      </w:r>
      <w:r>
        <w:rPr>
          <w:rFonts w:hint="eastAsia" w:ascii="楷体_GB2312" w:hAnsi="楷体_GB2312" w:eastAsia="楷体_GB2312" w:cs="楷体_GB2312"/>
          <w:sz w:val="32"/>
          <w:szCs w:val="32"/>
        </w:rPr>
        <w:t>示范创建</w:t>
      </w:r>
      <w:r>
        <w:rPr>
          <w:rFonts w:ascii="楷体_GB2312" w:hAnsi="楷体_GB2312" w:eastAsia="楷体_GB2312" w:cs="楷体_GB2312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打造行业标杆样板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聚焦绿色运输全场景提质增效，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统筹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聚焦商超、生活服务、建筑工地、城市运行保障、旅游、工业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等重</w:t>
      </w:r>
      <w:r>
        <w:rPr>
          <w:rFonts w:ascii="Times New Roman" w:hAnsi="Times New Roman" w:eastAsia="仿宋_GB2312" w:cs="Times New Roman"/>
          <w:sz w:val="32"/>
          <w:szCs w:val="32"/>
        </w:rPr>
        <w:t>点领域，分类培育标杆企业、拓展覆盖范围、建设示范区域，系统推动车辆新能源化替代与运输模式绿色转型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持续建设零排放货运车队</w:t>
      </w:r>
      <w:r>
        <w:rPr>
          <w:rFonts w:ascii="Times New Roman" w:hAnsi="Times New Roman" w:eastAsia="仿宋_GB2312" w:cs="Times New Roman"/>
          <w:sz w:val="32"/>
          <w:szCs w:val="32"/>
        </w:rPr>
        <w:t>。持续壮大零排放运输车队规模。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2026年底前</w:t>
      </w:r>
      <w:r>
        <w:rPr>
          <w:rFonts w:ascii="Times New Roman" w:hAnsi="Times New Roman" w:eastAsia="仿宋_GB2312" w:cs="Times New Roman"/>
          <w:sz w:val="32"/>
          <w:szCs w:val="32"/>
        </w:rPr>
        <w:t>新增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</w:t>
      </w:r>
      <w:r>
        <w:rPr>
          <w:rFonts w:ascii="Times New Roman" w:hAnsi="Times New Roman" w:eastAsia="仿宋_GB2312" w:cs="Times New Roman"/>
          <w:sz w:val="32"/>
          <w:szCs w:val="32"/>
        </w:rPr>
        <w:t>加入零排放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货运</w:t>
      </w:r>
      <w:r>
        <w:rPr>
          <w:rFonts w:ascii="Times New Roman" w:hAnsi="Times New Roman" w:eastAsia="仿宋_GB2312" w:cs="Times New Roman"/>
          <w:sz w:val="32"/>
          <w:szCs w:val="32"/>
        </w:rPr>
        <w:t>车队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，形成示范带动效应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.加快全电工地建设。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在住建、园林、水务、市政等领域分别开展“全电工地”建设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探索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.推广温拌沥青使用。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社会投资及其他工程项目温拌沥青使用比例不低于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.打造零排放旅游观光示范场景。</w:t>
      </w:r>
      <w:r>
        <w:rPr>
          <w:rFonts w:ascii="Times New Roman" w:hAnsi="Times New Roman" w:eastAsia="仿宋_GB2312" w:cs="Times New Roman"/>
          <w:sz w:val="32"/>
          <w:szCs w:val="32"/>
        </w:rPr>
        <w:t>结合我区旅游资源分布，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推动建设</w:t>
      </w:r>
      <w:r>
        <w:rPr>
          <w:rFonts w:ascii="Times New Roman" w:hAnsi="Times New Roman" w:eastAsia="仿宋_GB2312" w:cs="Times New Roman"/>
          <w:sz w:val="32"/>
          <w:szCs w:val="32"/>
        </w:rPr>
        <w:t>零排放旅游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客</w:t>
      </w:r>
      <w:r>
        <w:rPr>
          <w:rFonts w:ascii="Times New Roman" w:hAnsi="Times New Roman" w:eastAsia="仿宋_GB2312" w:cs="Times New Roman"/>
          <w:sz w:val="32"/>
          <w:szCs w:val="32"/>
        </w:rPr>
        <w:t>车观光示范区，推动旅游客运车辆新能源化替代，提升旅游出行绿色低碳水平。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推进搅拌站零碳转型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示范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建设。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搅拌站领域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在生产生活环节优先使用绿电，逐步实现零碳园区建设。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扩大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“清洁运输绿色联盟”规模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加速普通货运、冷链配送等重点行业车辆新能源化，搭建清洁运输战略合作平台，</w:t>
      </w:r>
      <w:r>
        <w:rPr>
          <w:rFonts w:ascii="Times New Roman" w:hAnsi="Times New Roman" w:eastAsia="仿宋_GB2312" w:cs="Times New Roman"/>
          <w:sz w:val="32"/>
          <w:szCs w:val="32"/>
        </w:rPr>
        <w:t>以点带面，不断提升城市配送绿色化、标准化、智慧化水平，推动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清洁运输</w:t>
      </w:r>
      <w:r>
        <w:rPr>
          <w:rFonts w:ascii="Times New Roman" w:hAnsi="Times New Roman" w:eastAsia="仿宋_GB2312" w:cs="Times New Roman"/>
          <w:sz w:val="32"/>
          <w:szCs w:val="32"/>
        </w:rPr>
        <w:t>高质量发展。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六</w:t>
      </w:r>
      <w:r>
        <w:rPr>
          <w:rFonts w:ascii="楷体_GB2312" w:hAnsi="楷体_GB2312" w:eastAsia="楷体_GB2312" w:cs="楷体_GB2312"/>
          <w:sz w:val="32"/>
          <w:szCs w:val="32"/>
        </w:rPr>
        <w:t>）突出政策引导，形成长效</w:t>
      </w:r>
      <w:r>
        <w:rPr>
          <w:rFonts w:hint="eastAsia" w:ascii="楷体_GB2312" w:hAnsi="楷体_GB2312" w:eastAsia="楷体_GB2312" w:cs="楷体_GB2312"/>
          <w:sz w:val="32"/>
          <w:szCs w:val="32"/>
        </w:rPr>
        <w:t>发展</w:t>
      </w:r>
      <w:r>
        <w:rPr>
          <w:rFonts w:ascii="楷体_GB2312" w:hAnsi="楷体_GB2312" w:eastAsia="楷体_GB2312" w:cs="楷体_GB2312"/>
          <w:sz w:val="32"/>
          <w:szCs w:val="32"/>
        </w:rPr>
        <w:t>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强化政策集成与资源统筹，优化资金使用管理，完善服务保障措施，激发企业绿色转型内生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动力，推动清洁运输工作常态化、长效化开展。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仿宋_GB2312" w:cs="楷体_GB2312"/>
          <w:sz w:val="32"/>
          <w:szCs w:val="32"/>
          <w:highlight w:val="yellow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化资金支持政策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紧扣碳达峰、碳中和总体目标，修订完善</w:t>
      </w:r>
      <w:r>
        <w:rPr>
          <w:rFonts w:ascii="Times New Roman" w:hAnsi="Times New Roman" w:eastAsia="仿宋_GB2312" w:cs="Times New Roman"/>
          <w:sz w:val="32"/>
          <w:szCs w:val="32"/>
        </w:rPr>
        <w:t>减污降碳资金使用管理办法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25.探索路权开放试点。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配合市级部门</w:t>
      </w:r>
      <w:r>
        <w:rPr>
          <w:rFonts w:ascii="仿宋_GB2312" w:hAnsi="仿宋_GB2312" w:eastAsia="仿宋_GB2312" w:cs="仿宋_GB2312"/>
          <w:sz w:val="32"/>
          <w:szCs w:val="32"/>
        </w:rPr>
        <w:t>针对混凝土建材、建筑垃圾运输等重点行业，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探索开展相关</w:t>
      </w:r>
      <w:r>
        <w:rPr>
          <w:rFonts w:ascii="仿宋_GB2312" w:hAnsi="仿宋_GB2312" w:eastAsia="仿宋_GB2312" w:cs="仿宋_GB2312"/>
          <w:sz w:val="32"/>
          <w:szCs w:val="32"/>
        </w:rPr>
        <w:t>试点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26.研究推动绿色政采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对于公务用车的维修保养，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探索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鼓励优先使用绿色汽修企业。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27.强化汽车消费激励。</w:t>
      </w:r>
      <w:r>
        <w:rPr>
          <w:rFonts w:ascii="Times New Roman" w:hAnsi="Times New Roman" w:eastAsia="仿宋_GB2312" w:cs="Times New Roman"/>
          <w:sz w:val="32"/>
          <w:szCs w:val="32"/>
        </w:rPr>
        <w:t>用好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两新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政策，研究出台配套激励措施，引导企业用足用好报废更新和置换更新补贴，持续优化车辆结构。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四、保障机制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区生态环境局牵头负责朝阳区清洁运输先行区建设工作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，区</w:t>
      </w:r>
      <w:r>
        <w:rPr>
          <w:rFonts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住建委、朝阳运管分局等部门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协同配合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（二）强化协同联动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与周边区域建立移动源联防联控机制，打破行政壁垒、加强信息共享，开展常态化联合执法。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（三）加强宣传引导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宣传清洁运输政策、示范案例及减排成效，解读新能源车辆使用优势、补贴政策等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，提高社会公众对清洁运输的认知度和接受度。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1EFE3118"/>
    <w:rsid w:val="00144E3B"/>
    <w:rsid w:val="00233536"/>
    <w:rsid w:val="003929C1"/>
    <w:rsid w:val="007809EC"/>
    <w:rsid w:val="00A32A50"/>
    <w:rsid w:val="00A522EF"/>
    <w:rsid w:val="00AE19BE"/>
    <w:rsid w:val="00CC320E"/>
    <w:rsid w:val="00FA52AD"/>
    <w:rsid w:val="010A6691"/>
    <w:rsid w:val="01635C49"/>
    <w:rsid w:val="06792443"/>
    <w:rsid w:val="06EB4961"/>
    <w:rsid w:val="086E1683"/>
    <w:rsid w:val="089E6DF9"/>
    <w:rsid w:val="09A60DC8"/>
    <w:rsid w:val="0BFA5858"/>
    <w:rsid w:val="0C210BDA"/>
    <w:rsid w:val="0D5A3525"/>
    <w:rsid w:val="0D8426A9"/>
    <w:rsid w:val="0EA26C93"/>
    <w:rsid w:val="0ECC38A8"/>
    <w:rsid w:val="1187747C"/>
    <w:rsid w:val="12D564B7"/>
    <w:rsid w:val="165C118C"/>
    <w:rsid w:val="1948011A"/>
    <w:rsid w:val="1AFC44CF"/>
    <w:rsid w:val="1EB678A8"/>
    <w:rsid w:val="1EF81C6E"/>
    <w:rsid w:val="1EFE3118"/>
    <w:rsid w:val="20690F80"/>
    <w:rsid w:val="211E5AAE"/>
    <w:rsid w:val="21505049"/>
    <w:rsid w:val="246F66A4"/>
    <w:rsid w:val="26CF559C"/>
    <w:rsid w:val="274A2B22"/>
    <w:rsid w:val="27FF5E1C"/>
    <w:rsid w:val="28C11323"/>
    <w:rsid w:val="2AC85C96"/>
    <w:rsid w:val="2AEA0548"/>
    <w:rsid w:val="2B285BAC"/>
    <w:rsid w:val="2E903C71"/>
    <w:rsid w:val="35615A5B"/>
    <w:rsid w:val="38070BF9"/>
    <w:rsid w:val="3BCD23A5"/>
    <w:rsid w:val="3C1D297F"/>
    <w:rsid w:val="3F836EDA"/>
    <w:rsid w:val="3F972BC2"/>
    <w:rsid w:val="40F272F1"/>
    <w:rsid w:val="42515BF5"/>
    <w:rsid w:val="428611BC"/>
    <w:rsid w:val="44056110"/>
    <w:rsid w:val="44E32791"/>
    <w:rsid w:val="455235D7"/>
    <w:rsid w:val="482F581B"/>
    <w:rsid w:val="48357685"/>
    <w:rsid w:val="492971F8"/>
    <w:rsid w:val="4AF2693F"/>
    <w:rsid w:val="4AF764A2"/>
    <w:rsid w:val="4CA566E2"/>
    <w:rsid w:val="4D3B0DF4"/>
    <w:rsid w:val="4F747000"/>
    <w:rsid w:val="504A1C7C"/>
    <w:rsid w:val="52002B58"/>
    <w:rsid w:val="53AE0387"/>
    <w:rsid w:val="54F64E51"/>
    <w:rsid w:val="55504A5C"/>
    <w:rsid w:val="55867716"/>
    <w:rsid w:val="55ED1728"/>
    <w:rsid w:val="58EB1921"/>
    <w:rsid w:val="58F677B4"/>
    <w:rsid w:val="59DE3233"/>
    <w:rsid w:val="5A315A59"/>
    <w:rsid w:val="5AC83897"/>
    <w:rsid w:val="5BC26ED1"/>
    <w:rsid w:val="5E267791"/>
    <w:rsid w:val="620E5743"/>
    <w:rsid w:val="62381234"/>
    <w:rsid w:val="63690012"/>
    <w:rsid w:val="64351149"/>
    <w:rsid w:val="657B57A0"/>
    <w:rsid w:val="67423054"/>
    <w:rsid w:val="67A81519"/>
    <w:rsid w:val="69843711"/>
    <w:rsid w:val="6E000132"/>
    <w:rsid w:val="6EE449F0"/>
    <w:rsid w:val="6F173B21"/>
    <w:rsid w:val="6F9C351D"/>
    <w:rsid w:val="712104AC"/>
    <w:rsid w:val="71807088"/>
    <w:rsid w:val="72332713"/>
    <w:rsid w:val="72783DCD"/>
    <w:rsid w:val="74E2369F"/>
    <w:rsid w:val="756248C1"/>
    <w:rsid w:val="7796149F"/>
    <w:rsid w:val="77AA63DF"/>
    <w:rsid w:val="78F341AE"/>
    <w:rsid w:val="7A7A445B"/>
    <w:rsid w:val="7B337AE1"/>
    <w:rsid w:val="7BA75D8F"/>
    <w:rsid w:val="7D574C92"/>
    <w:rsid w:val="7DD00F61"/>
    <w:rsid w:val="7DF76D39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/>
      <w:jc w:val="left"/>
    </w:pPr>
    <w:rPr>
      <w:kern w:val="0"/>
      <w:sz w:val="24"/>
      <w:szCs w:val="20"/>
    </w:rPr>
  </w:style>
  <w:style w:type="paragraph" w:customStyle="1" w:styleId="3">
    <w:name w:val="toc 1_b958cacf-7e5f-454f-8c5b-6e15b77831f9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autoRedefine/>
    <w:qFormat/>
    <w:uiPriority w:val="0"/>
  </w:style>
  <w:style w:type="paragraph" w:customStyle="1" w:styleId="11">
    <w:name w:val="Body Text First Indent1"/>
    <w:basedOn w:val="2"/>
    <w:autoRedefine/>
    <w:qFormat/>
    <w:uiPriority w:val="0"/>
    <w:pPr>
      <w:spacing w:before="100" w:beforeAutospacing="1"/>
      <w:ind w:firstLine="420" w:firstLineChars="100"/>
    </w:pPr>
    <w:rPr>
      <w:rFonts w:ascii="Calibri" w:hAnsi="Calibri" w:eastAsia="宋体"/>
      <w:sz w:val="21"/>
      <w:szCs w:val="21"/>
    </w:rPr>
  </w:style>
  <w:style w:type="paragraph" w:customStyle="1" w:styleId="12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3">
    <w:name w:val="批注框文本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f1a27c1b-fe63-403b-ad7b-35b9014a4c63</errorID>
      <errorWord>全链条绿色转型</errorWord>
      <group>L1_Political</group>
      <groupName>政治性问题</groupName>
      <ability>L2_Keyword</ability>
      <abilityName>固定表述</abilityName>
      <candidateList>
        <item>全面绿色转型</item>
      </candidateList>
      <explain>词汇“全面绿色转型”在特定场景下为固定表述形式，请确认此处的“全链条绿色转型”是否存在不当。</explain>
      <paraID>2A003357</paraID>
      <start>39</start>
      <end>46</end>
      <status>ignored</status>
      <modifiedWord/>
      <trackRevisions>false</trackRevisions>
    </reviewItem>
    <reviewItem>
      <errorID>c855e95d-120d-4549-b978-8f5930da4836</errorID>
      <errorWord>全链条绿色转型</errorWord>
      <group>L1_Political</group>
      <groupName>政治性问题</groupName>
      <ability>L2_Keyword</ability>
      <abilityName>固定表述</abilityName>
      <candidateList>
        <item>全面绿色转型</item>
      </candidateList>
      <explain>词汇“全面绿色转型”在特定场景下为固定表述形式，请确认此处的“全链条绿色转型”是否存在不当。</explain>
      <paraID>6DD1E08B</paraID>
      <start>0</start>
      <end>7</end>
      <status>ignored</status>
      <modifiedWord/>
      <trackRevisions>false</trackRevisions>
    </reviewItem>
    <reviewItem>
      <errorID>4879e0e9-5e83-4fb7-9c22-42d55554d456</errorID>
      <errorWord>车</errorWord>
      <group>L1_Word</group>
      <groupName>字词问题</groupName>
      <ability>L2_Typo</ability>
      <abilityName>字词错误</abilityName>
      <candidateList>
        <item>车辆</item>
      </candidateList>
      <explain>〈名〉各种车的总称。</explain>
      <paraID>6AA63788</paraID>
      <start>49</start>
      <end>50</end>
      <status>ignored</status>
      <modifiedWord/>
      <trackRevisions>false</trackRevisions>
    </reviewItem>
    <reviewItem>
      <errorID>230c897c-f830-4070-b365-fa23d650cf55</errorID>
      <errorWord>比率</errorWord>
      <group>L1_Word</group>
      <groupName>字词问题</groupName>
      <ability>L2_Typo</ability>
      <abilityName>字词错误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24454DF0</paraID>
      <start>69</start>
      <end>71</end>
      <status>ignored</status>
      <modifiedWord/>
      <trackRevisions>false</trackRevisions>
    </reviewItem>
    <reviewItem>
      <errorID>c7f2d5fa-fb42-433a-ba56-c0734fba302b</errorID>
      <errorWord>源</errorWord>
      <group>L1_Word</group>
      <groupName>字词问题</groupName>
      <ability>L2_Typo</ability>
      <abilityName>字词错误</abilityName>
      <candidateList>
        <item>源汽</item>
      </candidateList>
      <explain/>
      <paraID>1E3DF603</paraID>
      <start>63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5d5c8-4862-4992-abe4-4f2d2d0f6c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2447</Words>
  <Characters>2508</Characters>
  <Lines>40</Lines>
  <Paragraphs>11</Paragraphs>
  <TotalTime>1</TotalTime>
  <ScaleCrop>false</ScaleCrop>
  <LinksUpToDate>false</LinksUpToDate>
  <CharactersWithSpaces>2508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2026-05-07T09:23:00Z</dcterms:created>
  <dc:creator>voctoria</dc:creator>
  <cp:lastModifiedBy>chang</cp:lastModifiedBy>
  <cp:lastPrinted>2026-04-07T04:58:00Z</cp:lastPrinted>
  <dcterms:modified xsi:type="dcterms:W3CDTF">2026-05-12T05:45:40Z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F94FECE1E8A44A21BF4F58B80C7C0BFD_13</vt:lpwstr>
  </property>
  <property fmtid="{D5CDD505-2E9C-101B-9397-08002B2CF9AE}" pid="4" name="KSOTemplateDocerSaveRecord">
    <vt:lpwstr>eyJoZGlkIjoiZDY3MmE0YWVmNjdmOGU5MmY0YjQ1ZGVhMjRhOTE4NWIiLCJ1c2VySWQiOiIzMTM4NTE5NjEifQ==</vt:lpwstr>
  </property>
</Properties>
</file>