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大屯街道202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rPr>
        <w:t>整体绩效评价报告</w:t>
      </w:r>
    </w:p>
    <w:p>
      <w:pPr>
        <w:spacing w:line="560" w:lineRule="exact"/>
        <w:jc w:val="center"/>
        <w:rPr>
          <w:rFonts w:ascii="方正小标宋简体" w:eastAsia="方正小标宋简体"/>
          <w:sz w:val="36"/>
          <w:szCs w:val="36"/>
        </w:rPr>
      </w:pP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中央、国务院批准的北京市人民政府机构改革方案和《北京市人民政府关于机构设置的通知》（京政发[2009]2号），设置下列内设机构：综合办公室、党群工作办公室、平安建设办公室（司法所）、城市管理办公室、社区建设办公室、民生保障办公室、综合行政执法队、纪工委监察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下设全额拨款事业单位3个,包括北京市朝阳区大屯街道便民服务中心、北京市朝阳区大屯街道市民活动中心、北京市朝阳区大屯街道市民诉求处置中心。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北京市朝阳区人民政府大屯街道办事处是区政府的派出机关，主要职责：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1.贯彻执行法律、法规、规章和市、区政府的决定、命令，依法管理基层公共事务。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2.承担辖区市容环境卫生、绿化美化的管理工作，推进街巷长、河长制工作，组织、协调城市管理综合执法和环境秩序综合治理工作，推进城市精细化管理。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3.协助依法履行安全生产、消防安全、食品安全、环境保护、劳动保障、流动人口及出租房屋监督管理工作，承担辖区应急、防汛和防灾减灾工作。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4.参与制定并组织实施社区建设规划和公共服务设施规划，组织辖区单位、居民和志愿者队伍为社区发展服务。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5.负责社区居民委员会建设，指导社区居民委员会工作，培育、发展社区社会组织，指导、监督社区业主委员会。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6.推进居民自治，及时处理并向上级政府反映居民的意见和要求。动员社会力量参与社区治理，推动形成社区共治合力。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7.组织开展群众性文化、体育、科普活动，开展法治宣传和社会公德教育，推动社区公益事业发展。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8.组织开展公共服务，落实人力社保、民政、卫生健康、教育、住房保障、便民服务等政策，维护老年人、妇女、未成年人、残疾人等合法权益。</w:t>
      </w:r>
    </w:p>
    <w:p>
      <w:pPr>
        <w:spacing w:line="600" w:lineRule="exact"/>
        <w:ind w:firstLine="640" w:firstLineChars="200"/>
        <w:rPr>
          <w:rFonts w:hint="eastAsia" w:ascii="楷体_GB2312" w:eastAsia="楷体_GB2312"/>
          <w:sz w:val="32"/>
          <w:szCs w:val="32"/>
        </w:rPr>
      </w:pPr>
      <w:r>
        <w:rPr>
          <w:rFonts w:hint="default" w:ascii="Times New Roman" w:hAnsi="Times New Roman" w:eastAsia="仿宋_GB2312" w:cs="Times New Roman"/>
          <w:sz w:val="32"/>
          <w:szCs w:val="32"/>
        </w:rPr>
        <w:t>9.承办区政府交办的其他事项。</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年大屯街道办事处部门整体预算绩效目标依据财政及行业相关规定设立，目标设定合理，预算执行整体按照绩效目标设定完成。</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2024年全年预算数35285.22万元，其中，基本支出预算数6097.01万元，项目支出预算数29179.66万元，其他支出预算数0万元。资金总体支出35285.22万元，其中，基本支出6097.01万元，项目支出29179.66万元，其他支出0万元。预算执行率为100%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firstLine="960" w:firstLineChars="300"/>
        <w:rPr>
          <w:rFonts w:hint="eastAsia"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全部项目完成绩效目标数量指标</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600" w:lineRule="exact"/>
        <w:ind w:firstLine="960" w:firstLineChars="300"/>
        <w:rPr>
          <w:rFonts w:hint="eastAsia"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全部项目达到行业或者有关部门的相关规定。</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pPr>
        <w:spacing w:line="600" w:lineRule="exact"/>
        <w:ind w:left="105" w:leftChars="50" w:firstLine="800" w:firstLineChars="250"/>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全部项目均按绩效目标设定进度执行。</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eastAsia" w:ascii="楷体_GB2312" w:eastAsia="楷体_GB2312"/>
          <w:sz w:val="32"/>
          <w:szCs w:val="32"/>
        </w:rPr>
      </w:pPr>
      <w:r>
        <w:rPr>
          <w:rFonts w:hint="default" w:ascii="Times New Roman" w:hAnsi="Times New Roman" w:eastAsia="仿宋_GB2312" w:cs="Times New Roman"/>
          <w:color w:val="000000"/>
          <w:kern w:val="0"/>
          <w:sz w:val="32"/>
          <w:szCs w:val="32"/>
        </w:rPr>
        <w:t>全部项目资金支出均控制在预算金额内。</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年全年大屯街道完成区级财政收入</w:t>
      </w:r>
      <w:r>
        <w:rPr>
          <w:rFonts w:hint="default" w:ascii="Times New Roman" w:hAnsi="Times New Roman" w:eastAsia="仿宋_GB2312" w:cs="Times New Roman"/>
          <w:sz w:val="32"/>
          <w:szCs w:val="32"/>
          <w:lang w:val="en-US" w:eastAsia="zh-CN"/>
        </w:rPr>
        <w:t>18.87</w:t>
      </w:r>
      <w:r>
        <w:rPr>
          <w:rFonts w:hint="default" w:ascii="Times New Roman" w:hAnsi="Times New Roman" w:eastAsia="仿宋_GB2312" w:cs="Times New Roman"/>
          <w:color w:val="000000"/>
          <w:kern w:val="0"/>
          <w:sz w:val="32"/>
          <w:szCs w:val="32"/>
        </w:rPr>
        <w:t>亿元，</w:t>
      </w:r>
      <w:r>
        <w:rPr>
          <w:rFonts w:hint="eastAsia" w:ascii="仿宋" w:hAnsi="仿宋" w:eastAsia="仿宋"/>
          <w:sz w:val="32"/>
          <w:szCs w:val="32"/>
        </w:rPr>
        <w:t>对注册企业管理的大屯房产，对应纳未纳的加大跟踪服务力度，核实企业情况，更新数据,</w:t>
      </w:r>
      <w:r>
        <w:rPr>
          <w:rFonts w:hint="eastAsia" w:ascii="仿宋" w:hAnsi="仿宋" w:eastAsia="仿宋"/>
          <w:sz w:val="32"/>
          <w:szCs w:val="32"/>
          <w:lang w:eastAsia="zh-CN"/>
        </w:rPr>
        <w:t>两批次</w:t>
      </w:r>
      <w:r>
        <w:rPr>
          <w:rFonts w:hint="eastAsia" w:ascii="仿宋" w:hAnsi="仿宋" w:eastAsia="仿宋"/>
          <w:sz w:val="32"/>
          <w:szCs w:val="32"/>
        </w:rPr>
        <w:t>催缴大房产税5万以上企业13</w:t>
      </w:r>
      <w:r>
        <w:rPr>
          <w:rFonts w:hint="eastAsia" w:ascii="仿宋" w:hAnsi="仿宋" w:eastAsia="仿宋"/>
          <w:sz w:val="32"/>
          <w:szCs w:val="32"/>
          <w:lang w:val="en-US" w:eastAsia="zh-CN"/>
        </w:rPr>
        <w:t>9</w:t>
      </w:r>
      <w:r>
        <w:rPr>
          <w:rFonts w:hint="eastAsia" w:ascii="仿宋" w:hAnsi="仿宋" w:eastAsia="仿宋"/>
          <w:sz w:val="32"/>
          <w:szCs w:val="32"/>
        </w:rPr>
        <w:t>家，房产税收</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亿元。</w:t>
      </w:r>
      <w:r>
        <w:rPr>
          <w:rFonts w:hint="eastAsia" w:ascii="仿宋" w:hAnsi="仿宋" w:eastAsia="仿宋"/>
          <w:sz w:val="32"/>
          <w:szCs w:val="32"/>
          <w:lang w:val="en-US" w:eastAsia="zh-CN"/>
        </w:rPr>
        <w:t>完成</w:t>
      </w:r>
      <w:r>
        <w:rPr>
          <w:rFonts w:hint="eastAsia" w:ascii="Times New Roman" w:hAnsi="Times New Roman" w:eastAsia="仿宋_GB2312" w:cs="Times New Roman"/>
          <w:kern w:val="0"/>
          <w:sz w:val="32"/>
          <w:szCs w:val="32"/>
        </w:rPr>
        <w:t>入库招商项目</w:t>
      </w:r>
      <w:r>
        <w:rPr>
          <w:rFonts w:ascii="Times New Roman" w:hAnsi="Times New Roman" w:eastAsia="仿宋_GB2312" w:cs="Times New Roman"/>
          <w:kern w:val="0"/>
          <w:sz w:val="32"/>
          <w:szCs w:val="32"/>
        </w:rPr>
        <w:t>21</w:t>
      </w:r>
      <w:r>
        <w:rPr>
          <w:rFonts w:hint="eastAsia" w:ascii="Times New Roman" w:hAnsi="Times New Roman" w:eastAsia="仿宋_GB2312" w:cs="Times New Roman"/>
          <w:kern w:val="0"/>
          <w:sz w:val="32"/>
          <w:szCs w:val="32"/>
        </w:rPr>
        <w:t>家、落地</w:t>
      </w:r>
      <w:r>
        <w:rPr>
          <w:rFonts w:ascii="Times New Roman" w:hAnsi="Times New Roman" w:eastAsia="仿宋_GB2312" w:cs="Times New Roman"/>
          <w:kern w:val="0"/>
          <w:sz w:val="32"/>
          <w:szCs w:val="32"/>
        </w:rPr>
        <w:t>17</w:t>
      </w:r>
      <w:r>
        <w:rPr>
          <w:rFonts w:hint="eastAsia" w:ascii="Times New Roman" w:hAnsi="Times New Roman" w:eastAsia="仿宋_GB2312" w:cs="Times New Roman"/>
          <w:kern w:val="0"/>
          <w:sz w:val="32"/>
          <w:szCs w:val="32"/>
        </w:rPr>
        <w:t>家，</w:t>
      </w:r>
      <w:r>
        <w:rPr>
          <w:rFonts w:hint="default" w:ascii="Times New Roman" w:hAnsi="Times New Roman" w:eastAsia="仿宋_GB2312" w:cs="Times New Roman"/>
          <w:b w:val="0"/>
          <w:bCs w:val="0"/>
          <w:color w:val="auto"/>
          <w:kern w:val="2"/>
          <w:sz w:val="32"/>
          <w:szCs w:val="32"/>
          <w:lang w:val="en-US" w:eastAsia="zh-CN" w:bidi="ar-SA"/>
        </w:rPr>
        <w:t>年推进异地纳税企业回迁</w:t>
      </w:r>
      <w:r>
        <w:rPr>
          <w:rFonts w:hint="eastAsia" w:ascii="Times New Roman" w:hAnsi="Times New Roman" w:eastAsia="仿宋_GB2312" w:cs="Times New Roman"/>
          <w:b w:val="0"/>
          <w:bCs w:val="0"/>
          <w:color w:val="auto"/>
          <w:kern w:val="2"/>
          <w:sz w:val="32"/>
          <w:szCs w:val="32"/>
          <w:lang w:val="en-US" w:eastAsia="zh-CN" w:bidi="ar-SA"/>
        </w:rPr>
        <w:t>26</w:t>
      </w:r>
      <w:r>
        <w:rPr>
          <w:rFonts w:hint="default" w:ascii="Times New Roman" w:hAnsi="Times New Roman" w:eastAsia="仿宋_GB2312" w:cs="Times New Roman"/>
          <w:b w:val="0"/>
          <w:bCs w:val="0"/>
          <w:color w:val="auto"/>
          <w:kern w:val="2"/>
          <w:sz w:val="32"/>
          <w:szCs w:val="32"/>
          <w:lang w:val="en-US" w:eastAsia="zh-CN" w:bidi="ar-SA"/>
        </w:rPr>
        <w:t>家，</w:t>
      </w:r>
      <w:r>
        <w:rPr>
          <w:rFonts w:ascii="Times New Roman" w:hAnsi="Times New Roman" w:eastAsia="仿宋_GB2312" w:cs="Times New Roman"/>
          <w:kern w:val="0"/>
          <w:sz w:val="32"/>
          <w:szCs w:val="32"/>
        </w:rPr>
        <w:t>16</w:t>
      </w:r>
      <w:r>
        <w:rPr>
          <w:rFonts w:hint="eastAsia" w:ascii="Times New Roman" w:hAnsi="Times New Roman" w:eastAsia="仿宋_GB2312" w:cs="Times New Roman"/>
          <w:kern w:val="0"/>
          <w:sz w:val="32"/>
          <w:szCs w:val="32"/>
        </w:rPr>
        <w:t>家科技企业获政策支持超千万元</w:t>
      </w:r>
      <w:r>
        <w:rPr>
          <w:rFonts w:hint="eastAsia" w:ascii="Times New Roman" w:hAnsi="Times New Roman" w:eastAsia="仿宋_GB2312" w:cs="Times New Roman"/>
          <w:kern w:val="0"/>
          <w:sz w:val="32"/>
          <w:szCs w:val="32"/>
          <w:lang w:eastAsia="zh-CN"/>
        </w:rPr>
        <w:t>。</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color w:val="000000"/>
          <w:kern w:val="0"/>
          <w:sz w:val="32"/>
          <w:szCs w:val="32"/>
        </w:rPr>
        <w:t>28栋居民楼老旧改造推动社区焕新，10栋楼7300.33平方米楼顶防水项目顺利施工，</w:t>
      </w:r>
      <w:r>
        <w:rPr>
          <w:rFonts w:hint="eastAsia" w:ascii="仿宋_GB2312" w:hAnsi="仿宋_GB2312" w:eastAsia="仿宋_GB2312" w:cs="仿宋_GB2312"/>
          <w:sz w:val="32"/>
          <w:szCs w:val="32"/>
        </w:rPr>
        <w:t>224个实事项目推进社区路面围墙维修、交通设施规范改造、文化休闲设施翻新、安装充电柜等惠民工程，用“微改造”带给群众更多获得感、幸福感、安全感。</w:t>
      </w:r>
      <w:r>
        <w:rPr>
          <w:rFonts w:hint="eastAsia" w:ascii="仿宋_GB2312" w:hAnsi="仿宋_GB2312" w:eastAsia="仿宋_GB2312" w:cs="仿宋_GB2312"/>
          <w:kern w:val="0"/>
          <w:sz w:val="32"/>
          <w:szCs w:val="32"/>
          <w:lang w:bidi="ar"/>
        </w:rPr>
        <w:t>做好垃圾分类工作，</w:t>
      </w:r>
      <w:r>
        <w:rPr>
          <w:rFonts w:hint="eastAsia" w:ascii="仿宋_GB2312" w:hAnsi="仿宋_GB2312" w:eastAsia="仿宋_GB2312" w:cs="仿宋_GB2312"/>
          <w:color w:val="000000"/>
          <w:kern w:val="0"/>
          <w:sz w:val="32"/>
          <w:szCs w:val="32"/>
        </w:rPr>
        <w:t>“无废空间·绿色行动”志愿服务项目被评为“首都最佳志愿服务项目”，创建北京市垃圾分类示范楼宇6个、示范小区19个。</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keepNext w:val="0"/>
        <w:keepLines w:val="0"/>
        <w:pageBreakBefore w:val="0"/>
        <w:kinsoku/>
        <w:wordWrap/>
        <w:overflowPunct/>
        <w:topLinePunct w:val="0"/>
        <w:autoSpaceDE/>
        <w:autoSpaceDN/>
        <w:bidi w:val="0"/>
        <w:adjustRightInd/>
        <w:snapToGrid/>
        <w:spacing w:after="0" w:line="560" w:lineRule="exact"/>
        <w:ind w:right="0" w:rightChars="0" w:firstLine="640"/>
        <w:jc w:val="left"/>
        <w:textAlignment w:val="auto"/>
        <w:outlineLvl w:val="9"/>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rPr>
        <w:t>全面推进114万平方米中关村</w:t>
      </w:r>
      <w:r>
        <w:rPr>
          <w:rFonts w:hint="eastAsia" w:ascii="仿宋_GB2312" w:hAnsi="仿宋_GB2312" w:eastAsia="仿宋_GB2312" w:cs="仿宋_GB2312"/>
          <w:color w:val="000000"/>
          <w:sz w:val="32"/>
          <w:szCs w:val="32"/>
        </w:rPr>
        <w:t>社区数字经济产业园环境整治提升项目，</w:t>
      </w:r>
      <w:r>
        <w:rPr>
          <w:rFonts w:hint="eastAsia" w:ascii="仿宋_GB2312" w:hAnsi="仿宋_GB2312" w:eastAsia="仿宋_GB2312" w:cs="仿宋_GB2312"/>
          <w:sz w:val="32"/>
          <w:szCs w:val="32"/>
        </w:rPr>
        <w:t>资金投入达1.5亿，精准针对地区基础建设短板弱项改造提升，</w:t>
      </w:r>
      <w:r>
        <w:rPr>
          <w:rFonts w:hint="eastAsia" w:eastAsia="仿宋_GB2312"/>
          <w:sz w:val="32"/>
          <w:szCs w:val="32"/>
        </w:rPr>
        <w:t>推进</w:t>
      </w:r>
      <w:r>
        <w:rPr>
          <w:rFonts w:eastAsia="仿宋_GB2312"/>
          <w:sz w:val="32"/>
          <w:szCs w:val="32"/>
        </w:rPr>
        <w:t>北小河花园式街区改造</w:t>
      </w:r>
      <w:r>
        <w:rPr>
          <w:rFonts w:hint="eastAsia" w:eastAsia="仿宋_GB2312"/>
          <w:sz w:val="32"/>
          <w:szCs w:val="32"/>
          <w:lang w:eastAsia="zh-CN"/>
        </w:rPr>
        <w:t>。</w:t>
      </w:r>
      <w:r>
        <w:rPr>
          <w:rFonts w:hint="eastAsia" w:ascii="仿宋_GB2312" w:hAnsi="仿宋_GB2312" w:eastAsia="仿宋_GB2312" w:cs="仿宋_GB2312"/>
          <w:color w:val="000000"/>
          <w:kern w:val="0"/>
          <w:sz w:val="32"/>
          <w:szCs w:val="32"/>
        </w:rPr>
        <w:t>持续巩固“首都绿化美化花园式街道”创建成果，推进“增绿护绿行动计划”，完成富成花园社区首都绿化美化花园式社区创建工作，完成黄草湾公园环境改造提升及无界公园建设，进一步拓展居民活动休闲空间，全力打造四季有景、生态宜居的辖区环境。</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default" w:ascii="Times New Roman" w:hAnsi="Times New Roman" w:eastAsia="仿宋_GB2312" w:cs="Times New Roman"/>
          <w:b w:val="0"/>
          <w:bCs w:val="0"/>
          <w:color w:val="auto"/>
          <w:kern w:val="2"/>
          <w:sz w:val="32"/>
          <w:szCs w:val="32"/>
          <w:lang w:val="en-US" w:eastAsia="zh-CN" w:bidi="ar-SA"/>
        </w:rPr>
        <w:t>聚力高质量发展，推进高品质商圈、科技园区建设，</w:t>
      </w:r>
      <w:r>
        <w:rPr>
          <w:rFonts w:hint="default" w:ascii="Times New Roman" w:hAnsi="Times New Roman" w:eastAsia="仿宋_GB2312" w:cs="Times New Roman"/>
          <w:color w:val="auto"/>
          <w:kern w:val="0"/>
          <w:sz w:val="32"/>
          <w:szCs w:val="32"/>
        </w:rPr>
        <w:t>以绣花功夫推进城市管理，以群众利益为核心，以群众需求为驱动，赋能强劲治理能力、推进创新治理模式，提高城市环境质量、升级居民居住质量</w:t>
      </w:r>
      <w:r>
        <w:rPr>
          <w:rFonts w:hint="default" w:ascii="Times New Roman" w:hAnsi="Times New Roman" w:eastAsia="仿宋_GB2312" w:cs="Times New Roman"/>
          <w:color w:val="000000"/>
          <w:kern w:val="0"/>
          <w:sz w:val="32"/>
          <w:szCs w:val="32"/>
        </w:rPr>
        <w:t>，地区环境优化展现新面貌。</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spacing w:line="600" w:lineRule="exact"/>
        <w:ind w:left="105" w:leftChars="50" w:firstLine="480" w:firstLineChars="150"/>
        <w:rPr>
          <w:rFonts w:hint="eastAsia" w:ascii="黑体" w:hAnsi="黑体" w:eastAsia="黑体" w:cs="宋体"/>
          <w:color w:val="000000"/>
          <w:kern w:val="0"/>
          <w:sz w:val="32"/>
          <w:szCs w:val="32"/>
        </w:rPr>
      </w:pPr>
      <w:r>
        <w:rPr>
          <w:rFonts w:hint="default" w:ascii="Times New Roman" w:hAnsi="Times New Roman" w:eastAsia="仿宋_GB2312" w:cs="Times New Roman"/>
          <w:color w:val="000000"/>
          <w:kern w:val="0"/>
          <w:sz w:val="32"/>
          <w:szCs w:val="32"/>
        </w:rPr>
        <w:t>支出项目效益指标通过服务对象满意度调查，均达到或高于绩效目标设定比率。</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加强制度建设，完善内部管理。认真贯彻中央八项规定精神，严格落实《党政机关厉行节约反对浪费条例》，领导干部主动率先垂范，工作机制不断建立健全，建立单位内部控制体系，编制《内部控制规范手册》。</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ascii="仿宋_GB2312" w:hAnsi="宋体" w:eastAsia="仿宋_GB2312" w:cs="宋体"/>
          <w:color w:val="000000"/>
          <w:kern w:val="0"/>
          <w:sz w:val="32"/>
          <w:szCs w:val="32"/>
        </w:rPr>
      </w:pPr>
      <w:r>
        <w:rPr>
          <w:rFonts w:hint="default" w:ascii="Times New Roman" w:hAnsi="Times New Roman" w:eastAsia="仿宋_GB2312" w:cs="Times New Roman"/>
          <w:color w:val="000000"/>
          <w:kern w:val="0"/>
          <w:sz w:val="32"/>
          <w:szCs w:val="32"/>
        </w:rPr>
        <w:t>严格落实党中央国务院关于政府过“紧日子”的要求，从严控制“三公”经费预算，加强相关经费执行管理。深化“零基预算”理念, 编实编细部门预算，把预算管理作为过紧日子的重要抓手，做到从严从紧、有保有压。在预算编制执行、政府采购、资产配置等日常工作中，挖掘节支潜力，建立厉行节约长效机制。</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hint="eastAsia" w:ascii="楷体_GB2312" w:eastAsia="楷体_GB2312"/>
          <w:sz w:val="32"/>
          <w:szCs w:val="32"/>
        </w:rPr>
      </w:pPr>
      <w:r>
        <w:rPr>
          <w:rFonts w:hint="default" w:ascii="Times New Roman" w:hAnsi="Times New Roman" w:eastAsia="仿宋_GB2312" w:cs="Times New Roman"/>
          <w:color w:val="000000"/>
          <w:kern w:val="0"/>
          <w:sz w:val="32"/>
          <w:szCs w:val="32"/>
        </w:rPr>
        <w:t>财会管理制度健全，加强会计机构建设，提高会计人员业务水平，强化会计人员岗位责任制，规范会计基础工作。</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eastAsia" w:ascii="楷体_GB2312" w:eastAsia="楷体_GB2312"/>
          <w:sz w:val="32"/>
          <w:szCs w:val="32"/>
        </w:rPr>
      </w:pPr>
      <w:r>
        <w:rPr>
          <w:rFonts w:hint="default" w:ascii="Times New Roman" w:hAnsi="Times New Roman" w:eastAsia="仿宋_GB2312" w:cs="Times New Roman"/>
          <w:color w:val="000000"/>
          <w:kern w:val="0"/>
          <w:sz w:val="32"/>
          <w:szCs w:val="32"/>
        </w:rPr>
        <w:t>从严控制办公设备配置。建立健全资产管理机制，对固定资产定期进行全面清查盘点，检查固定资产的保管、使用、维护情况，核对固定资产实有数量与账面数量，确保资产保存完整、配置合理、账实相符。</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firstLine="640" w:firstLineChars="200"/>
        <w:rPr>
          <w:rFonts w:hint="eastAsia" w:ascii="楷体_GB2312" w:eastAsia="楷体_GB2312"/>
          <w:sz w:val="32"/>
          <w:szCs w:val="32"/>
        </w:rPr>
      </w:pPr>
      <w:r>
        <w:rPr>
          <w:rFonts w:hint="default" w:ascii="Times New Roman" w:hAnsi="Times New Roman" w:eastAsia="仿宋_GB2312" w:cs="Times New Roman"/>
          <w:color w:val="000000"/>
          <w:kern w:val="0"/>
          <w:sz w:val="32"/>
          <w:szCs w:val="32"/>
        </w:rPr>
        <w:t>进一步加强财政预算绩效管理，部门预算绩效目标设定全覆盖，对预算项目实行全流程绩效管理。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eastAsia" w:ascii="楷体_GB2312" w:eastAsia="楷体_GB2312"/>
          <w:sz w:val="32"/>
          <w:szCs w:val="32"/>
        </w:rPr>
        <w:t>（四）结转结余率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eastAsia" w:ascii="楷体_GB2312" w:eastAsia="楷体_GB2312"/>
          <w:sz w:val="32"/>
          <w:szCs w:val="32"/>
        </w:rPr>
      </w:pP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年度部门年末结转结余率为0%。</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2024年部门年初预算数17767.14万元，2024年决算支出数35285.22万元，2024年部门预决算差异率198.60%</w:t>
      </w:r>
      <w:r>
        <w:rPr>
          <w:rFonts w:hint="eastAsia" w:ascii="Times New Roman" w:hAnsi="Times New Roman" w:eastAsia="仿宋_GB2312" w:cs="Times New Roman"/>
          <w:color w:val="000000"/>
          <w:kern w:val="0"/>
          <w:sz w:val="32"/>
          <w:szCs w:val="32"/>
          <w:lang w:eastAsia="zh-CN"/>
        </w:rPr>
        <w:t>。</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楷体_GB2312" w:eastAsia="楷体_GB2312"/>
          <w:sz w:val="32"/>
          <w:szCs w:val="32"/>
        </w:rPr>
      </w:pPr>
      <w:r>
        <w:rPr>
          <w:rFonts w:hint="default" w:ascii="Times New Roman" w:hAnsi="Times New Roman" w:eastAsia="楷体_GB2312" w:cs="Times New Roman"/>
          <w:sz w:val="32"/>
          <w:szCs w:val="32"/>
        </w:rPr>
        <w:t>整体评价良好。</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pPr>
        <w:spacing w:line="600" w:lineRule="exact"/>
        <w:ind w:firstLine="640" w:firstLineChars="200"/>
        <w:rPr>
          <w:rFonts w:hint="eastAsia" w:ascii="黑体" w:hAnsi="黑体" w:eastAsia="黑体" w:cs="宋体"/>
          <w:color w:val="000000"/>
          <w:kern w:val="0"/>
          <w:sz w:val="32"/>
          <w:szCs w:val="32"/>
        </w:rPr>
      </w:pPr>
      <w:r>
        <w:rPr>
          <w:rFonts w:hint="default" w:ascii="Times New Roman" w:hAnsi="Times New Roman" w:eastAsia="仿宋_GB2312" w:cs="Times New Roman"/>
          <w:sz w:val="32"/>
          <w:szCs w:val="32"/>
        </w:rPr>
        <w:t>各项经费支出工作有序开展，预算编制工作有待进一步细化，应当根据当年财政状况、上年收支、单位自身的实际和业务进行编制，细化到具体支出项目。将对各项工作进行梳理，对相关经费需求进行全面预算，力争做到各项经费支出有预算不超支，无预算不开支。</w:t>
      </w:r>
    </w:p>
    <w:p>
      <w:pPr>
        <w:spacing w:line="600" w:lineRule="exact"/>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今后，大屯街道办事处将加强项目绩效目标表的审核工作，充分做好项目的可行性研究报告，使绩效目标更加准确有效，真正体现项目实施的价值，绩效目标更加清晰，可量化易评价。</w:t>
      </w:r>
    </w:p>
    <w:p>
      <w:pPr>
        <w:pStyle w:val="2"/>
        <w:rPr>
          <w:rFonts w:hint="default" w:ascii="Times New Roman" w:hAnsi="Times New Roman" w:eastAsia="仿宋_GB2312" w:cs="Times New Roman"/>
          <w:sz w:val="32"/>
          <w:szCs w:val="32"/>
        </w:rPr>
      </w:pPr>
    </w:p>
    <w:p>
      <w:pPr>
        <w:jc w:val="right"/>
        <w:rPr>
          <w:rFonts w:hint="eastAsia" w:eastAsia="仿宋_GB2312" w:cs="Times New Roman"/>
          <w:sz w:val="32"/>
          <w:szCs w:val="32"/>
          <w:lang w:val="en-US" w:eastAsia="zh-CN"/>
        </w:rPr>
      </w:pPr>
      <w:bookmarkStart w:id="0" w:name="_GoBack"/>
      <w:r>
        <w:rPr>
          <w:rFonts w:hint="eastAsia" w:eastAsia="仿宋_GB2312" w:cs="Times New Roman"/>
          <w:sz w:val="32"/>
          <w:szCs w:val="32"/>
          <w:lang w:val="en-US" w:eastAsia="zh-CN"/>
        </w:rPr>
        <w:t>北京市朝阳区人民政府大屯街道办事处</w:t>
      </w:r>
    </w:p>
    <w:p>
      <w:pPr>
        <w:pStyle w:val="2"/>
        <w:jc w:val="center"/>
        <w:rPr>
          <w:rFonts w:hint="eastAsia"/>
          <w:lang w:val="en-US" w:eastAsia="zh-CN"/>
        </w:rPr>
      </w:pPr>
      <w:r>
        <w:rPr>
          <w:rFonts w:hint="eastAsia" w:eastAsia="仿宋_GB2312" w:cs="Times New Roman"/>
          <w:sz w:val="32"/>
          <w:szCs w:val="32"/>
          <w:lang w:val="en-US" w:eastAsia="zh-CN"/>
        </w:rPr>
        <w:t xml:space="preserve">                2025年2月17日</w:t>
      </w:r>
    </w:p>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0"/>
    <w:family w:val="swiss"/>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___WRD_EMBED_SUB_40">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仿宋_GB2312">
    <w:altName w:val="仿宋"/>
    <w:panose1 w:val="020B0604020202020204"/>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1A3A7BAD"/>
    <w:rsid w:val="1CFA34F8"/>
    <w:rsid w:val="255D778F"/>
    <w:rsid w:val="2F321339"/>
    <w:rsid w:val="32ED535F"/>
    <w:rsid w:val="3DFA317F"/>
    <w:rsid w:val="5B1D39DF"/>
    <w:rsid w:val="5E423AFE"/>
    <w:rsid w:val="69C91FDD"/>
    <w:rsid w:val="7E447385"/>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20"/>
    </w:rPr>
  </w:style>
  <w:style w:type="paragraph" w:styleId="3">
    <w:name w:val="Body Text"/>
    <w:basedOn w:val="1"/>
    <w:next w:val="1"/>
    <w:unhideWhenUsed/>
    <w:uiPriority w:val="0"/>
    <w:pPr>
      <w:ind w:firstLine="480"/>
      <w:jc w:val="right"/>
    </w:p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SHELOCK-X</cp:lastModifiedBy>
  <cp:lastPrinted>2025-01-16T06:24:00Z</cp:lastPrinted>
  <dcterms:modified xsi:type="dcterms:W3CDTF">2025-02-17T07:39:00Z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