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ascii="方正小标宋简体" w:hAnsi="等线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</w:t>
      </w:r>
      <w:r>
        <w:rPr>
          <w:rFonts w:hint="eastAsia" w:ascii="等线" w:hAnsi="等线" w:eastAsia="方正小标宋简体" w:cs="方正小标宋简体"/>
          <w:sz w:val="44"/>
          <w:szCs w:val="44"/>
        </w:rPr>
        <w:t>朝阳区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实体书店扶持资金项目</w:t>
      </w:r>
    </w:p>
    <w:p>
      <w:pPr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融合发展奖励专项申报材料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spacing w:line="500" w:lineRule="exact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融合发展书店环境前后对比照片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sz w:val="32"/>
          <w:szCs w:val="32"/>
        </w:rPr>
        <w:t>门店环境进行升级改造、创新经营发展模式、实现多业态融合发展、与区图书馆合作建设“朝阳城市书屋”相关证明资料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  <w:bookmarkStart w:id="0" w:name="_GoBack"/>
      <w:bookmarkEnd w:id="0"/>
    </w:p>
    <w:p>
      <w:pPr>
        <w:widowControl/>
        <w:jc w:val="left"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其它融合发展情况相关资料（如图片、文字、网页截图等）</w:t>
      </w: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65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2021-11-25T08:37:39Z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