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43" w:rsidRPr="008E7F2B" w:rsidRDefault="00016143" w:rsidP="008E7F2B">
      <w:pPr>
        <w:spacing w:line="560" w:lineRule="exact"/>
        <w:jc w:val="center"/>
        <w:rPr>
          <w:rFonts w:ascii="方正小标宋简体" w:eastAsia="方正小标宋简体" w:hAnsi="方正小标宋简体"/>
          <w:sz w:val="44"/>
          <w:szCs w:val="44"/>
        </w:rPr>
      </w:pPr>
      <w:r w:rsidRPr="008E7F2B">
        <w:rPr>
          <w:rFonts w:ascii="方正小标宋简体" w:eastAsia="方正小标宋简体" w:hAnsi="方正小标宋简体" w:hint="eastAsia"/>
          <w:sz w:val="44"/>
          <w:szCs w:val="44"/>
        </w:rPr>
        <w:t>朝阳区政府办</w:t>
      </w:r>
    </w:p>
    <w:p w:rsidR="00016143" w:rsidRPr="008E7F2B" w:rsidRDefault="00016143" w:rsidP="008E7F2B">
      <w:pPr>
        <w:spacing w:line="560" w:lineRule="exact"/>
        <w:jc w:val="center"/>
        <w:rPr>
          <w:rFonts w:ascii="方正小标宋简体" w:eastAsia="方正小标宋简体" w:hAnsi="方正小标宋简体"/>
          <w:sz w:val="44"/>
          <w:szCs w:val="44"/>
        </w:rPr>
      </w:pPr>
      <w:r w:rsidRPr="008E7F2B">
        <w:rPr>
          <w:rFonts w:eastAsia="方正小标宋简体"/>
          <w:b/>
          <w:sz w:val="44"/>
          <w:szCs w:val="44"/>
        </w:rPr>
        <w:t>2022</w:t>
      </w:r>
      <w:r w:rsidRPr="008E7F2B">
        <w:rPr>
          <w:rFonts w:ascii="方正小标宋简体" w:eastAsia="方正小标宋简体" w:hAnsi="方正小标宋简体" w:hint="eastAsia"/>
          <w:sz w:val="44"/>
          <w:szCs w:val="44"/>
        </w:rPr>
        <w:t>年政府信息公开工作年度报告</w:t>
      </w:r>
    </w:p>
    <w:p w:rsidR="00016143" w:rsidRDefault="00016143" w:rsidP="00016143">
      <w:pPr>
        <w:jc w:val="center"/>
        <w:rPr>
          <w:rFonts w:ascii="方正小标宋简体" w:eastAsia="方正小标宋简体"/>
          <w:sz w:val="36"/>
          <w:szCs w:val="36"/>
        </w:rPr>
      </w:pPr>
    </w:p>
    <w:p w:rsidR="007F14C4" w:rsidRDefault="007F14C4" w:rsidP="00016143">
      <w:pPr>
        <w:pStyle w:val="a6"/>
        <w:spacing w:line="560" w:lineRule="exact"/>
        <w:ind w:firstLine="672"/>
        <w:rPr>
          <w:rFonts w:ascii="仿宋_GB2312" w:eastAsia="仿宋_GB2312"/>
          <w:color w:val="404040"/>
          <w:spacing w:val="8"/>
          <w:sz w:val="32"/>
          <w:szCs w:val="32"/>
          <w:shd w:val="clear" w:color="auto" w:fill="FFFFFF"/>
        </w:rPr>
      </w:pPr>
      <w:r>
        <w:rPr>
          <w:rFonts w:ascii="仿宋_GB2312" w:eastAsia="仿宋_GB2312" w:hint="eastAsia"/>
          <w:color w:val="404040"/>
          <w:spacing w:val="8"/>
          <w:sz w:val="32"/>
          <w:szCs w:val="32"/>
          <w:shd w:val="clear" w:color="auto" w:fill="FFFFFF"/>
        </w:rPr>
        <w:t>依据《中华人民共和国政府信息公开条例》(以下简称《政府信息公开条例》)第五十条规定，编制本报告</w:t>
      </w:r>
      <w:r w:rsidR="00B508E2">
        <w:rPr>
          <w:rFonts w:ascii="仿宋_GB2312" w:eastAsia="仿宋_GB2312" w:hint="eastAsia"/>
          <w:color w:val="404040"/>
          <w:spacing w:val="8"/>
          <w:sz w:val="32"/>
          <w:szCs w:val="32"/>
          <w:shd w:val="clear" w:color="auto" w:fill="FFFFFF"/>
        </w:rPr>
        <w:t>。</w:t>
      </w:r>
    </w:p>
    <w:p w:rsidR="00016143" w:rsidRDefault="00016143" w:rsidP="00016143">
      <w:pPr>
        <w:pStyle w:val="a6"/>
        <w:spacing w:line="560" w:lineRule="exact"/>
        <w:ind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、总体</w:t>
      </w:r>
      <w:r w:rsidR="00843CB2">
        <w:rPr>
          <w:rFonts w:ascii="黑体" w:eastAsia="黑体" w:hAnsi="黑体" w:hint="eastAsia"/>
          <w:sz w:val="32"/>
          <w:szCs w:val="32"/>
        </w:rPr>
        <w:t>情况</w:t>
      </w:r>
    </w:p>
    <w:p w:rsidR="00016143" w:rsidRPr="00195B26" w:rsidRDefault="00016143" w:rsidP="00016143">
      <w:pPr>
        <w:widowControl/>
        <w:spacing w:line="560" w:lineRule="exact"/>
        <w:ind w:firstLineChars="200" w:firstLine="672"/>
        <w:rPr>
          <w:rFonts w:eastAsia="楷体_GB2312"/>
          <w:spacing w:val="8"/>
          <w:kern w:val="0"/>
          <w:sz w:val="32"/>
          <w:szCs w:val="32"/>
        </w:rPr>
      </w:pPr>
      <w:r w:rsidRPr="00195B26">
        <w:rPr>
          <w:rFonts w:eastAsia="楷体_GB2312"/>
          <w:spacing w:val="8"/>
          <w:kern w:val="0"/>
          <w:sz w:val="32"/>
          <w:szCs w:val="32"/>
        </w:rPr>
        <w:t>1.</w:t>
      </w:r>
      <w:r w:rsidRPr="00195B26">
        <w:rPr>
          <w:rFonts w:eastAsia="楷体_GB2312"/>
          <w:spacing w:val="8"/>
          <w:kern w:val="0"/>
          <w:sz w:val="32"/>
          <w:szCs w:val="32"/>
        </w:rPr>
        <w:t>主动公开情况</w:t>
      </w:r>
    </w:p>
    <w:p w:rsidR="00016143" w:rsidRPr="00195B26" w:rsidRDefault="00016143" w:rsidP="00016143">
      <w:pPr>
        <w:widowControl/>
        <w:shd w:val="clear" w:color="auto" w:fill="FFFFFF"/>
        <w:spacing w:line="560" w:lineRule="exact"/>
        <w:ind w:firstLineChars="200" w:firstLine="640"/>
        <w:rPr>
          <w:rFonts w:eastAsia="仿宋_GB2312"/>
          <w:sz w:val="32"/>
          <w:szCs w:val="32"/>
        </w:rPr>
      </w:pPr>
      <w:r w:rsidRPr="00195B26">
        <w:rPr>
          <w:rFonts w:eastAsia="仿宋_GB2312"/>
          <w:sz w:val="32"/>
          <w:szCs w:val="32"/>
        </w:rPr>
        <w:t>本单位</w:t>
      </w:r>
      <w:r w:rsidRPr="00195B26">
        <w:rPr>
          <w:rFonts w:eastAsia="仿宋_GB2312"/>
          <w:sz w:val="32"/>
          <w:szCs w:val="32"/>
        </w:rPr>
        <w:t>2022</w:t>
      </w:r>
      <w:r w:rsidRPr="00195B26">
        <w:rPr>
          <w:rFonts w:eastAsia="仿宋_GB2312"/>
          <w:sz w:val="32"/>
          <w:szCs w:val="32"/>
        </w:rPr>
        <w:t>年度共主动公开</w:t>
      </w:r>
      <w:r w:rsidRPr="00195B26">
        <w:rPr>
          <w:rFonts w:eastAsia="仿宋_GB2312" w:hint="eastAsia"/>
          <w:sz w:val="32"/>
          <w:szCs w:val="32"/>
        </w:rPr>
        <w:t>信息</w:t>
      </w:r>
      <w:r w:rsidRPr="00195B26">
        <w:rPr>
          <w:rFonts w:eastAsia="仿宋_GB2312"/>
          <w:sz w:val="32"/>
          <w:szCs w:val="32"/>
        </w:rPr>
        <w:t>18</w:t>
      </w:r>
      <w:r w:rsidR="00405684">
        <w:rPr>
          <w:rFonts w:eastAsia="仿宋_GB2312"/>
          <w:sz w:val="32"/>
          <w:szCs w:val="32"/>
        </w:rPr>
        <w:t>0</w:t>
      </w:r>
      <w:r w:rsidRPr="00195B26">
        <w:rPr>
          <w:rFonts w:eastAsia="仿宋_GB2312" w:hint="eastAsia"/>
          <w:sz w:val="32"/>
          <w:szCs w:val="32"/>
        </w:rPr>
        <w:t>条</w:t>
      </w:r>
      <w:r w:rsidR="002B3CB3">
        <w:rPr>
          <w:rFonts w:eastAsia="仿宋_GB2312" w:hint="eastAsia"/>
          <w:sz w:val="32"/>
          <w:szCs w:val="32"/>
        </w:rPr>
        <w:t>。</w:t>
      </w:r>
    </w:p>
    <w:p w:rsidR="00016143" w:rsidRPr="00195B26" w:rsidRDefault="00016143" w:rsidP="00016143">
      <w:pPr>
        <w:widowControl/>
        <w:spacing w:line="560" w:lineRule="exact"/>
        <w:ind w:firstLineChars="200" w:firstLine="672"/>
        <w:rPr>
          <w:rFonts w:eastAsia="楷体_GB2312"/>
          <w:spacing w:val="8"/>
          <w:kern w:val="0"/>
          <w:sz w:val="32"/>
          <w:szCs w:val="32"/>
        </w:rPr>
      </w:pPr>
      <w:r w:rsidRPr="00195B26">
        <w:rPr>
          <w:rFonts w:eastAsia="楷体_GB2312"/>
          <w:spacing w:val="8"/>
          <w:kern w:val="0"/>
          <w:sz w:val="32"/>
          <w:szCs w:val="32"/>
        </w:rPr>
        <w:t>2.</w:t>
      </w:r>
      <w:r w:rsidRPr="00195B26">
        <w:rPr>
          <w:rFonts w:eastAsia="楷体_GB2312"/>
          <w:spacing w:val="8"/>
          <w:kern w:val="0"/>
          <w:sz w:val="32"/>
          <w:szCs w:val="32"/>
        </w:rPr>
        <w:t>依申请公开情况</w:t>
      </w:r>
    </w:p>
    <w:p w:rsidR="00016143" w:rsidRPr="00195B26" w:rsidRDefault="00016143" w:rsidP="00016143">
      <w:pPr>
        <w:widowControl/>
        <w:shd w:val="clear" w:color="auto" w:fill="FFFFFF"/>
        <w:spacing w:line="560" w:lineRule="exact"/>
        <w:ind w:firstLineChars="200" w:firstLine="640"/>
        <w:rPr>
          <w:rFonts w:eastAsia="仿宋_GB2312"/>
          <w:sz w:val="32"/>
          <w:szCs w:val="32"/>
        </w:rPr>
      </w:pPr>
      <w:r w:rsidRPr="00195B26">
        <w:rPr>
          <w:rFonts w:eastAsia="仿宋_GB2312"/>
          <w:sz w:val="32"/>
          <w:szCs w:val="32"/>
        </w:rPr>
        <w:t>本单位</w:t>
      </w:r>
      <w:r w:rsidR="00EC0CEA" w:rsidRPr="00195B26">
        <w:rPr>
          <w:rFonts w:eastAsia="仿宋_GB2312"/>
          <w:sz w:val="32"/>
          <w:szCs w:val="32"/>
        </w:rPr>
        <w:t>2022</w:t>
      </w:r>
      <w:r w:rsidRPr="00195B26">
        <w:rPr>
          <w:rFonts w:eastAsia="仿宋_GB2312"/>
          <w:sz w:val="32"/>
          <w:szCs w:val="32"/>
        </w:rPr>
        <w:t>年度共收到政府信息公开申请</w:t>
      </w:r>
      <w:r w:rsidRPr="00195B26">
        <w:rPr>
          <w:rFonts w:eastAsia="仿宋_GB2312"/>
          <w:sz w:val="32"/>
          <w:szCs w:val="32"/>
        </w:rPr>
        <w:t>0</w:t>
      </w:r>
      <w:r w:rsidRPr="00195B26">
        <w:rPr>
          <w:rFonts w:eastAsia="仿宋_GB2312"/>
          <w:sz w:val="32"/>
          <w:szCs w:val="32"/>
        </w:rPr>
        <w:t>件</w:t>
      </w:r>
      <w:r w:rsidR="00ED03D2">
        <w:rPr>
          <w:rFonts w:eastAsia="仿宋_GB2312" w:hint="eastAsia"/>
          <w:sz w:val="32"/>
          <w:szCs w:val="32"/>
        </w:rPr>
        <w:t>。</w:t>
      </w:r>
    </w:p>
    <w:p w:rsidR="00016143" w:rsidRPr="00B23E5E" w:rsidRDefault="00016143" w:rsidP="00016143">
      <w:pPr>
        <w:widowControl/>
        <w:spacing w:line="560" w:lineRule="exact"/>
        <w:ind w:firstLineChars="200" w:firstLine="672"/>
        <w:rPr>
          <w:rFonts w:eastAsia="楷体_GB2312"/>
          <w:spacing w:val="8"/>
          <w:kern w:val="0"/>
          <w:sz w:val="32"/>
          <w:szCs w:val="32"/>
        </w:rPr>
      </w:pPr>
      <w:r w:rsidRPr="00195B26">
        <w:rPr>
          <w:rFonts w:eastAsia="楷体_GB2312"/>
          <w:spacing w:val="8"/>
          <w:kern w:val="0"/>
          <w:sz w:val="32"/>
          <w:szCs w:val="32"/>
        </w:rPr>
        <w:t>3.</w:t>
      </w:r>
      <w:r w:rsidRPr="00195B26">
        <w:rPr>
          <w:rFonts w:eastAsia="楷体_GB2312"/>
          <w:spacing w:val="8"/>
          <w:kern w:val="0"/>
          <w:sz w:val="32"/>
          <w:szCs w:val="32"/>
        </w:rPr>
        <w:t>政</w:t>
      </w:r>
      <w:r w:rsidRPr="00B23E5E">
        <w:rPr>
          <w:rFonts w:eastAsia="楷体_GB2312"/>
          <w:spacing w:val="8"/>
          <w:kern w:val="0"/>
          <w:sz w:val="32"/>
          <w:szCs w:val="32"/>
        </w:rPr>
        <w:t>府信息管理情况</w:t>
      </w:r>
    </w:p>
    <w:p w:rsidR="00B53377" w:rsidRPr="00891E3C" w:rsidRDefault="00382341" w:rsidP="00B53377">
      <w:pPr>
        <w:pStyle w:val="a5"/>
        <w:widowControl/>
        <w:spacing w:beforeAutospacing="0" w:afterAutospacing="0" w:line="560" w:lineRule="exact"/>
        <w:ind w:firstLineChars="200" w:firstLine="640"/>
        <w:jc w:val="both"/>
        <w:rPr>
          <w:rFonts w:ascii="Times New Roman" w:eastAsia="仿宋_GB2312" w:hAnsi="Times New Roman"/>
          <w:kern w:val="2"/>
          <w:sz w:val="32"/>
          <w:szCs w:val="32"/>
          <w:u w:val="single"/>
        </w:rPr>
      </w:pPr>
      <w:r w:rsidRPr="00FB76D8">
        <w:rPr>
          <w:rFonts w:ascii="仿宋_GB2312" w:eastAsia="仿宋_GB2312" w:hint="eastAsia"/>
          <w:kern w:val="2"/>
          <w:sz w:val="32"/>
          <w:szCs w:val="32"/>
          <w:u w:val="single"/>
        </w:rPr>
        <w:t>结合《朝阳区</w:t>
      </w:r>
      <w:r w:rsidRPr="00FB76D8">
        <w:rPr>
          <w:rFonts w:ascii="Times New Roman" w:eastAsia="仿宋_GB2312" w:hAnsi="Times New Roman"/>
          <w:sz w:val="32"/>
          <w:szCs w:val="32"/>
          <w:u w:val="single"/>
        </w:rPr>
        <w:t>2022</w:t>
      </w:r>
      <w:r w:rsidRPr="00FB76D8">
        <w:rPr>
          <w:rFonts w:ascii="仿宋_GB2312" w:eastAsia="仿宋_GB2312" w:hint="eastAsia"/>
          <w:kern w:val="2"/>
          <w:sz w:val="32"/>
          <w:szCs w:val="32"/>
          <w:u w:val="single"/>
        </w:rPr>
        <w:t>年政务公开工作要点》工作要求，</w:t>
      </w:r>
      <w:r w:rsidR="00B53377" w:rsidRPr="00382341">
        <w:rPr>
          <w:rFonts w:ascii="Times New Roman" w:eastAsia="仿宋_GB2312" w:hAnsi="Times New Roman"/>
          <w:kern w:val="2"/>
          <w:sz w:val="32"/>
          <w:szCs w:val="32"/>
        </w:rPr>
        <w:t>完善政府信息资源的制度化、规范化、标准化管理</w:t>
      </w:r>
      <w:r w:rsidR="00B53377">
        <w:rPr>
          <w:rFonts w:ascii="Times New Roman" w:eastAsia="仿宋_GB2312" w:hAnsi="Times New Roman" w:hint="eastAsia"/>
          <w:kern w:val="2"/>
          <w:sz w:val="32"/>
          <w:szCs w:val="32"/>
        </w:rPr>
        <w:t>，</w:t>
      </w:r>
      <w:r w:rsidR="006C6937">
        <w:rPr>
          <w:rFonts w:ascii="Times New Roman" w:eastAsia="仿宋_GB2312" w:hAnsi="Times New Roman" w:hint="eastAsia"/>
          <w:kern w:val="2"/>
          <w:sz w:val="32"/>
          <w:szCs w:val="32"/>
        </w:rPr>
        <w:t>进一步</w:t>
      </w:r>
      <w:r w:rsidR="006C6937" w:rsidRPr="00891E3C">
        <w:rPr>
          <w:rFonts w:ascii="Times New Roman" w:eastAsia="仿宋_GB2312" w:hAnsi="Times New Roman" w:hint="eastAsia"/>
          <w:kern w:val="2"/>
          <w:sz w:val="32"/>
          <w:szCs w:val="32"/>
          <w:u w:val="single"/>
        </w:rPr>
        <w:t>加强信息公开审批管理</w:t>
      </w:r>
      <w:r w:rsidR="00B53377" w:rsidRPr="00891E3C">
        <w:rPr>
          <w:rFonts w:ascii="Times New Roman" w:eastAsia="仿宋_GB2312" w:hAnsi="Times New Roman" w:hint="eastAsia"/>
          <w:kern w:val="2"/>
          <w:sz w:val="32"/>
          <w:szCs w:val="32"/>
          <w:u w:val="single"/>
        </w:rPr>
        <w:t>，</w:t>
      </w:r>
      <w:r w:rsidR="006C6937" w:rsidRPr="00891E3C">
        <w:rPr>
          <w:rFonts w:ascii="Times New Roman" w:eastAsia="仿宋_GB2312" w:hAnsi="Times New Roman" w:hint="eastAsia"/>
          <w:kern w:val="2"/>
          <w:sz w:val="32"/>
          <w:szCs w:val="32"/>
          <w:u w:val="single"/>
        </w:rPr>
        <w:t>实行公文公开属性源头管理，</w:t>
      </w:r>
      <w:r w:rsidR="00C51602">
        <w:rPr>
          <w:rFonts w:ascii="Times New Roman" w:eastAsia="仿宋_GB2312" w:hAnsi="Times New Roman" w:hint="eastAsia"/>
          <w:kern w:val="2"/>
          <w:sz w:val="32"/>
          <w:szCs w:val="32"/>
          <w:u w:val="single"/>
        </w:rPr>
        <w:t>严格保密要求</w:t>
      </w:r>
      <w:r w:rsidR="00316A8B" w:rsidRPr="00891E3C">
        <w:rPr>
          <w:rFonts w:ascii="Times New Roman" w:eastAsia="仿宋_GB2312" w:hAnsi="Times New Roman" w:hint="eastAsia"/>
          <w:kern w:val="2"/>
          <w:sz w:val="32"/>
          <w:szCs w:val="32"/>
          <w:u w:val="single"/>
        </w:rPr>
        <w:t>，</w:t>
      </w:r>
      <w:r w:rsidR="00353400" w:rsidRPr="00891E3C">
        <w:rPr>
          <w:rFonts w:ascii="Times New Roman" w:eastAsia="仿宋_GB2312" w:hAnsi="Times New Roman" w:hint="eastAsia"/>
          <w:kern w:val="2"/>
          <w:sz w:val="32"/>
          <w:szCs w:val="32"/>
          <w:u w:val="single"/>
        </w:rPr>
        <w:t>确保</w:t>
      </w:r>
      <w:r w:rsidR="006C6937" w:rsidRPr="00891E3C">
        <w:rPr>
          <w:rFonts w:ascii="Times New Roman" w:eastAsia="仿宋_GB2312" w:hAnsi="Times New Roman" w:hint="eastAsia"/>
          <w:kern w:val="2"/>
          <w:sz w:val="32"/>
          <w:szCs w:val="32"/>
          <w:u w:val="single"/>
        </w:rPr>
        <w:t>信息公开</w:t>
      </w:r>
      <w:r w:rsidR="00B53377" w:rsidRPr="00891E3C">
        <w:rPr>
          <w:rFonts w:ascii="Times New Roman" w:eastAsia="仿宋_GB2312" w:hAnsi="Times New Roman"/>
          <w:kern w:val="2"/>
          <w:sz w:val="32"/>
          <w:szCs w:val="32"/>
          <w:u w:val="single"/>
        </w:rPr>
        <w:t>程序</w:t>
      </w:r>
      <w:r w:rsidR="00B53377" w:rsidRPr="00891E3C">
        <w:rPr>
          <w:rFonts w:ascii="Times New Roman" w:eastAsia="仿宋_GB2312" w:hAnsi="Times New Roman" w:hint="eastAsia"/>
          <w:kern w:val="2"/>
          <w:sz w:val="32"/>
          <w:szCs w:val="32"/>
          <w:u w:val="single"/>
        </w:rPr>
        <w:t>规范</w:t>
      </w:r>
      <w:r w:rsidR="00B53377" w:rsidRPr="00891E3C">
        <w:rPr>
          <w:rFonts w:ascii="Times New Roman" w:eastAsia="仿宋_GB2312" w:hAnsi="Times New Roman"/>
          <w:kern w:val="2"/>
          <w:sz w:val="32"/>
          <w:szCs w:val="32"/>
          <w:u w:val="single"/>
        </w:rPr>
        <w:t>、内容准确</w:t>
      </w:r>
      <w:r w:rsidR="006A0B51" w:rsidRPr="00891E3C">
        <w:rPr>
          <w:rFonts w:ascii="Times New Roman" w:eastAsia="仿宋_GB2312" w:hAnsi="Times New Roman" w:hint="eastAsia"/>
          <w:kern w:val="2"/>
          <w:sz w:val="32"/>
          <w:szCs w:val="32"/>
          <w:u w:val="single"/>
        </w:rPr>
        <w:t>。</w:t>
      </w:r>
    </w:p>
    <w:p w:rsidR="00B53377" w:rsidRPr="00FB76D8" w:rsidRDefault="00B53377" w:rsidP="00B53377">
      <w:pPr>
        <w:pStyle w:val="a5"/>
        <w:widowControl/>
        <w:spacing w:beforeAutospacing="0" w:afterAutospacing="0" w:line="560" w:lineRule="exact"/>
        <w:ind w:firstLineChars="200" w:firstLine="640"/>
        <w:jc w:val="both"/>
        <w:rPr>
          <w:rFonts w:ascii="Times New Roman" w:eastAsia="仿宋_GB2312" w:hAnsi="Times New Roman"/>
          <w:kern w:val="2"/>
          <w:sz w:val="32"/>
          <w:szCs w:val="32"/>
          <w:u w:val="single"/>
        </w:rPr>
      </w:pPr>
      <w:r w:rsidRPr="00FB76D8">
        <w:rPr>
          <w:rFonts w:ascii="Times New Roman" w:eastAsia="仿宋_GB2312" w:hAnsi="Times New Roman"/>
          <w:kern w:val="2"/>
          <w:sz w:val="32"/>
          <w:szCs w:val="32"/>
          <w:u w:val="single"/>
        </w:rPr>
        <w:t>加大信息化检查力度</w:t>
      </w:r>
      <w:r w:rsidR="00C51602">
        <w:rPr>
          <w:rFonts w:ascii="Times New Roman" w:eastAsia="仿宋_GB2312" w:hAnsi="Times New Roman" w:hint="eastAsia"/>
          <w:kern w:val="2"/>
          <w:sz w:val="32"/>
          <w:szCs w:val="32"/>
          <w:u w:val="single"/>
        </w:rPr>
        <w:t>，</w:t>
      </w:r>
      <w:r w:rsidRPr="00FB76D8">
        <w:rPr>
          <w:rFonts w:ascii="Times New Roman" w:eastAsia="仿宋_GB2312" w:hAnsi="Times New Roman"/>
          <w:kern w:val="2"/>
          <w:sz w:val="32"/>
          <w:szCs w:val="32"/>
          <w:u w:val="single"/>
        </w:rPr>
        <w:t>严格</w:t>
      </w:r>
      <w:r w:rsidRPr="00FB76D8">
        <w:rPr>
          <w:rFonts w:ascii="Times New Roman" w:eastAsia="仿宋_GB2312" w:hAnsi="Times New Roman" w:hint="eastAsia"/>
          <w:kern w:val="2"/>
          <w:sz w:val="32"/>
          <w:szCs w:val="32"/>
          <w:u w:val="single"/>
        </w:rPr>
        <w:t>遵守</w:t>
      </w:r>
      <w:r w:rsidRPr="00FB76D8">
        <w:rPr>
          <w:rFonts w:ascii="Times New Roman" w:eastAsia="仿宋_GB2312" w:hAnsi="Times New Roman"/>
          <w:kern w:val="2"/>
          <w:sz w:val="32"/>
          <w:szCs w:val="32"/>
          <w:u w:val="single"/>
        </w:rPr>
        <w:t>保密规定，禁止在非涉密计算机及信息系统内保存或流转任何涉密文件和内部敏感信息</w:t>
      </w:r>
      <w:r w:rsidR="005D4186">
        <w:rPr>
          <w:rFonts w:ascii="Times New Roman" w:eastAsia="仿宋_GB2312" w:hAnsi="Times New Roman" w:hint="eastAsia"/>
          <w:kern w:val="2"/>
          <w:sz w:val="32"/>
          <w:szCs w:val="32"/>
          <w:u w:val="single"/>
        </w:rPr>
        <w:t>。</w:t>
      </w:r>
    </w:p>
    <w:p w:rsidR="00016143" w:rsidRPr="00B23E5E" w:rsidRDefault="00016143" w:rsidP="00016143">
      <w:pPr>
        <w:widowControl/>
        <w:spacing w:line="560" w:lineRule="exact"/>
        <w:ind w:firstLineChars="200" w:firstLine="672"/>
        <w:rPr>
          <w:rFonts w:eastAsia="楷体_GB2312"/>
          <w:spacing w:val="8"/>
          <w:kern w:val="0"/>
          <w:sz w:val="32"/>
          <w:szCs w:val="32"/>
        </w:rPr>
      </w:pPr>
      <w:r w:rsidRPr="00B23E5E">
        <w:rPr>
          <w:rFonts w:eastAsia="楷体_GB2312"/>
          <w:spacing w:val="8"/>
          <w:kern w:val="0"/>
          <w:sz w:val="32"/>
          <w:szCs w:val="32"/>
        </w:rPr>
        <w:t>4.</w:t>
      </w:r>
      <w:r w:rsidRPr="00B23E5E">
        <w:rPr>
          <w:rFonts w:eastAsia="楷体_GB2312"/>
          <w:spacing w:val="8"/>
          <w:kern w:val="0"/>
          <w:sz w:val="32"/>
          <w:szCs w:val="32"/>
        </w:rPr>
        <w:t>政府信息公开平台建设</w:t>
      </w:r>
      <w:r w:rsidR="00CF3D5F">
        <w:rPr>
          <w:rFonts w:eastAsia="楷体_GB2312" w:hint="eastAsia"/>
          <w:spacing w:val="8"/>
          <w:kern w:val="0"/>
          <w:sz w:val="32"/>
          <w:szCs w:val="32"/>
        </w:rPr>
        <w:t>情况</w:t>
      </w:r>
    </w:p>
    <w:p w:rsidR="00195B26" w:rsidRDefault="00363F97" w:rsidP="0001034D">
      <w:pPr>
        <w:widowControl/>
        <w:spacing w:line="560" w:lineRule="exact"/>
        <w:ind w:firstLineChars="200" w:firstLine="640"/>
        <w:rPr>
          <w:rFonts w:eastAsia="仿宋_GB2312" w:hAnsi="仿宋_GB2312"/>
          <w:sz w:val="32"/>
          <w:szCs w:val="32"/>
        </w:rPr>
      </w:pPr>
      <w:r w:rsidRPr="00FB76D8">
        <w:rPr>
          <w:rFonts w:eastAsia="仿宋_GB2312" w:hint="eastAsia"/>
          <w:sz w:val="32"/>
          <w:szCs w:val="32"/>
          <w:u w:val="single"/>
        </w:rPr>
        <w:t>加强</w:t>
      </w:r>
      <w:r w:rsidRPr="00FB76D8">
        <w:rPr>
          <w:rFonts w:eastAsia="仿宋_GB2312"/>
          <w:sz w:val="32"/>
          <w:szCs w:val="32"/>
          <w:u w:val="single"/>
        </w:rPr>
        <w:t>信息公开平台建设</w:t>
      </w:r>
      <w:r w:rsidR="002C0D1F">
        <w:rPr>
          <w:rFonts w:eastAsia="仿宋_GB2312" w:hint="eastAsia"/>
          <w:sz w:val="32"/>
          <w:szCs w:val="32"/>
          <w:u w:val="single"/>
        </w:rPr>
        <w:t>，</w:t>
      </w:r>
      <w:r w:rsidR="00195B26" w:rsidRPr="00363F97">
        <w:rPr>
          <w:rFonts w:eastAsia="仿宋_GB2312"/>
          <w:sz w:val="32"/>
          <w:szCs w:val="32"/>
        </w:rPr>
        <w:t>持续优化政府办</w:t>
      </w:r>
      <w:r w:rsidR="00195B26" w:rsidRPr="00B23E5E">
        <w:rPr>
          <w:rFonts w:eastAsia="仿宋_GB2312"/>
          <w:sz w:val="32"/>
          <w:szCs w:val="32"/>
        </w:rPr>
        <w:t>“</w:t>
      </w:r>
      <w:r w:rsidR="00195B26" w:rsidRPr="00363F97">
        <w:rPr>
          <w:rFonts w:eastAsia="仿宋_GB2312"/>
          <w:sz w:val="32"/>
          <w:szCs w:val="32"/>
        </w:rPr>
        <w:t>不忘初心牢</w:t>
      </w:r>
      <w:r w:rsidR="00195B26" w:rsidRPr="00B23E5E">
        <w:rPr>
          <w:rFonts w:eastAsia="仿宋_GB2312" w:hAnsi="仿宋_GB2312"/>
          <w:sz w:val="32"/>
          <w:szCs w:val="32"/>
        </w:rPr>
        <w:t>记使命</w:t>
      </w:r>
      <w:r w:rsidR="00195B26" w:rsidRPr="00B23E5E">
        <w:rPr>
          <w:rFonts w:eastAsia="仿宋_GB2312"/>
          <w:sz w:val="32"/>
          <w:szCs w:val="32"/>
        </w:rPr>
        <w:t>518</w:t>
      </w:r>
      <w:r w:rsidR="00195B26" w:rsidRPr="00B23E5E">
        <w:rPr>
          <w:rFonts w:eastAsia="仿宋_GB2312" w:hAnsi="仿宋_GB2312"/>
          <w:sz w:val="32"/>
          <w:szCs w:val="32"/>
        </w:rPr>
        <w:t>学习园地</w:t>
      </w:r>
      <w:r w:rsidR="00195B26" w:rsidRPr="00B23E5E">
        <w:rPr>
          <w:rFonts w:eastAsia="仿宋_GB2312"/>
          <w:sz w:val="32"/>
          <w:szCs w:val="32"/>
        </w:rPr>
        <w:t>”</w:t>
      </w:r>
      <w:r>
        <w:rPr>
          <w:rFonts w:eastAsia="仿宋_GB2312" w:hAnsi="仿宋_GB2312"/>
          <w:sz w:val="32"/>
          <w:szCs w:val="32"/>
        </w:rPr>
        <w:t>微信公众平台</w:t>
      </w:r>
      <w:r w:rsidR="00556AD9">
        <w:rPr>
          <w:rFonts w:eastAsia="仿宋_GB2312" w:hAnsi="仿宋_GB2312" w:hint="eastAsia"/>
          <w:sz w:val="32"/>
          <w:szCs w:val="32"/>
        </w:rPr>
        <w:t>，</w:t>
      </w:r>
      <w:r w:rsidR="00447681" w:rsidRPr="008812DC">
        <w:rPr>
          <w:rFonts w:eastAsia="仿宋_GB2312" w:hAnsi="仿宋_GB2312" w:hint="eastAsia"/>
          <w:sz w:val="32"/>
          <w:szCs w:val="32"/>
          <w:u w:val="single"/>
        </w:rPr>
        <w:t>紧密</w:t>
      </w:r>
      <w:r w:rsidRPr="008812DC">
        <w:rPr>
          <w:rFonts w:eastAsia="仿宋_GB2312" w:hAnsi="仿宋_GB2312" w:hint="eastAsia"/>
          <w:sz w:val="32"/>
          <w:szCs w:val="32"/>
          <w:u w:val="single"/>
        </w:rPr>
        <w:t>结合</w:t>
      </w:r>
      <w:r w:rsidR="00053F61" w:rsidRPr="008812DC">
        <w:rPr>
          <w:rFonts w:eastAsia="仿宋_GB2312" w:hAnsi="仿宋_GB2312" w:hint="eastAsia"/>
          <w:sz w:val="32"/>
          <w:szCs w:val="32"/>
          <w:u w:val="single"/>
        </w:rPr>
        <w:t>党的二十大报告精神、国家大政方针政策</w:t>
      </w:r>
      <w:r w:rsidR="003A561F" w:rsidRPr="008812DC">
        <w:rPr>
          <w:rFonts w:eastAsia="仿宋_GB2312" w:hAnsi="仿宋_GB2312" w:hint="eastAsia"/>
          <w:sz w:val="32"/>
          <w:szCs w:val="32"/>
          <w:u w:val="single"/>
        </w:rPr>
        <w:t>、</w:t>
      </w:r>
      <w:r w:rsidR="008812DC">
        <w:rPr>
          <w:rFonts w:eastAsia="仿宋_GB2312" w:hAnsi="仿宋_GB2312" w:hint="eastAsia"/>
          <w:sz w:val="32"/>
          <w:szCs w:val="32"/>
          <w:u w:val="single"/>
        </w:rPr>
        <w:t>市级</w:t>
      </w:r>
      <w:r w:rsidR="00712733">
        <w:rPr>
          <w:rFonts w:eastAsia="仿宋_GB2312" w:hAnsi="仿宋_GB2312" w:hint="eastAsia"/>
          <w:sz w:val="32"/>
          <w:szCs w:val="32"/>
          <w:u w:val="single"/>
        </w:rPr>
        <w:t>重要</w:t>
      </w:r>
      <w:r w:rsidR="0001034D">
        <w:rPr>
          <w:rFonts w:eastAsia="仿宋_GB2312" w:hAnsi="仿宋_GB2312" w:hint="eastAsia"/>
          <w:sz w:val="32"/>
          <w:szCs w:val="32"/>
          <w:u w:val="single"/>
        </w:rPr>
        <w:t>工作</w:t>
      </w:r>
      <w:r w:rsidR="008812DC">
        <w:rPr>
          <w:rFonts w:eastAsia="仿宋_GB2312" w:hAnsi="仿宋_GB2312" w:hint="eastAsia"/>
          <w:sz w:val="32"/>
          <w:szCs w:val="32"/>
          <w:u w:val="single"/>
        </w:rPr>
        <w:t>部署</w:t>
      </w:r>
      <w:r w:rsidR="00AC2CE0">
        <w:rPr>
          <w:rFonts w:eastAsia="仿宋_GB2312" w:hAnsi="仿宋_GB2312" w:hint="eastAsia"/>
          <w:sz w:val="32"/>
          <w:szCs w:val="32"/>
          <w:u w:val="single"/>
        </w:rPr>
        <w:t>，</w:t>
      </w:r>
      <w:r w:rsidR="00D11BAD">
        <w:rPr>
          <w:rFonts w:eastAsia="仿宋_GB2312" w:hAnsi="仿宋_GB2312" w:hint="eastAsia"/>
          <w:sz w:val="32"/>
          <w:szCs w:val="32"/>
          <w:u w:val="single"/>
        </w:rPr>
        <w:t>最新</w:t>
      </w:r>
      <w:r w:rsidR="004278EB">
        <w:rPr>
          <w:rFonts w:eastAsia="仿宋_GB2312" w:hAnsi="仿宋_GB2312" w:hint="eastAsia"/>
          <w:sz w:val="32"/>
          <w:szCs w:val="32"/>
          <w:u w:val="single"/>
        </w:rPr>
        <w:t>区情区况</w:t>
      </w:r>
      <w:r w:rsidR="0001034D">
        <w:rPr>
          <w:rFonts w:eastAsia="仿宋_GB2312" w:hAnsi="仿宋_GB2312" w:hint="eastAsia"/>
          <w:sz w:val="32"/>
          <w:szCs w:val="32"/>
          <w:u w:val="single"/>
        </w:rPr>
        <w:t>、</w:t>
      </w:r>
      <w:r w:rsidR="00CF174D">
        <w:rPr>
          <w:rFonts w:eastAsia="仿宋_GB2312" w:hAnsi="仿宋_GB2312" w:hint="eastAsia"/>
          <w:sz w:val="32"/>
          <w:szCs w:val="32"/>
          <w:u w:val="single"/>
        </w:rPr>
        <w:t>社会热点</w:t>
      </w:r>
      <w:r w:rsidR="003228A5">
        <w:rPr>
          <w:rFonts w:eastAsia="仿宋_GB2312" w:hAnsi="仿宋_GB2312" w:hint="eastAsia"/>
          <w:sz w:val="32"/>
          <w:szCs w:val="32"/>
          <w:u w:val="single"/>
        </w:rPr>
        <w:t>、民生实事</w:t>
      </w:r>
      <w:r w:rsidR="00EF61B6">
        <w:rPr>
          <w:rFonts w:eastAsia="仿宋_GB2312" w:hAnsi="仿宋_GB2312"/>
          <w:sz w:val="32"/>
          <w:szCs w:val="32"/>
        </w:rPr>
        <w:t>等内容</w:t>
      </w:r>
      <w:r w:rsidR="00174528">
        <w:rPr>
          <w:rFonts w:eastAsia="仿宋_GB2312" w:hAnsi="仿宋_GB2312" w:hint="eastAsia"/>
          <w:sz w:val="32"/>
          <w:szCs w:val="32"/>
        </w:rPr>
        <w:t>，</w:t>
      </w:r>
      <w:r w:rsidR="00DA1D45" w:rsidRPr="00DA1D45">
        <w:rPr>
          <w:rFonts w:eastAsia="仿宋_GB2312" w:hAnsi="仿宋_GB2312" w:hint="eastAsia"/>
          <w:sz w:val="32"/>
          <w:szCs w:val="32"/>
          <w:u w:val="single"/>
        </w:rPr>
        <w:t>设置</w:t>
      </w:r>
      <w:r w:rsidR="00C51602">
        <w:rPr>
          <w:rFonts w:eastAsia="仿宋_GB2312" w:hAnsi="仿宋_GB2312" w:hint="eastAsia"/>
          <w:sz w:val="32"/>
          <w:szCs w:val="32"/>
          <w:u w:val="single"/>
        </w:rPr>
        <w:t>相关</w:t>
      </w:r>
      <w:r w:rsidR="00DA1D45" w:rsidRPr="00DA1D45">
        <w:rPr>
          <w:rFonts w:eastAsia="仿宋_GB2312" w:hAnsi="仿宋_GB2312" w:hint="eastAsia"/>
          <w:sz w:val="32"/>
          <w:szCs w:val="32"/>
          <w:u w:val="single"/>
        </w:rPr>
        <w:t>板块，</w:t>
      </w:r>
      <w:r w:rsidR="00DA1D45" w:rsidRPr="00B23E5E">
        <w:rPr>
          <w:rFonts w:eastAsia="仿宋_GB2312" w:hAnsi="仿宋_GB2312"/>
          <w:sz w:val="32"/>
          <w:szCs w:val="32"/>
        </w:rPr>
        <w:t>定期推送相关图文信息和短视频内容</w:t>
      </w:r>
      <w:r w:rsidR="00ED0CFC">
        <w:rPr>
          <w:rFonts w:eastAsia="仿宋_GB2312" w:hAnsi="仿宋_GB2312" w:hint="eastAsia"/>
          <w:sz w:val="32"/>
          <w:szCs w:val="32"/>
        </w:rPr>
        <w:t>，</w:t>
      </w:r>
      <w:r w:rsidR="00426678">
        <w:rPr>
          <w:rFonts w:eastAsia="仿宋_GB2312" w:hAnsi="仿宋_GB2312" w:hint="eastAsia"/>
          <w:sz w:val="32"/>
          <w:szCs w:val="32"/>
          <w:u w:val="single"/>
        </w:rPr>
        <w:t>有力</w:t>
      </w:r>
      <w:r w:rsidR="00D810CA">
        <w:rPr>
          <w:rFonts w:eastAsia="仿宋_GB2312" w:hAnsi="仿宋_GB2312" w:hint="eastAsia"/>
          <w:sz w:val="32"/>
          <w:szCs w:val="32"/>
          <w:u w:val="single"/>
        </w:rPr>
        <w:t>宣传</w:t>
      </w:r>
      <w:r w:rsidR="00AA0941">
        <w:rPr>
          <w:rFonts w:eastAsia="仿宋_GB2312" w:hAnsi="仿宋_GB2312" w:hint="eastAsia"/>
          <w:sz w:val="32"/>
          <w:szCs w:val="32"/>
          <w:u w:val="single"/>
        </w:rPr>
        <w:t>党建思想</w:t>
      </w:r>
      <w:r w:rsidR="00D810CA">
        <w:rPr>
          <w:rFonts w:eastAsia="仿宋_GB2312" w:hAnsi="仿宋_GB2312" w:hint="eastAsia"/>
          <w:sz w:val="32"/>
          <w:szCs w:val="32"/>
          <w:u w:val="single"/>
        </w:rPr>
        <w:t>、政策</w:t>
      </w:r>
      <w:r w:rsidR="00AA0941">
        <w:rPr>
          <w:rFonts w:eastAsia="仿宋_GB2312" w:hAnsi="仿宋_GB2312" w:hint="eastAsia"/>
          <w:sz w:val="32"/>
          <w:szCs w:val="32"/>
          <w:u w:val="single"/>
        </w:rPr>
        <w:t>文件</w:t>
      </w:r>
      <w:r w:rsidR="00D810CA">
        <w:rPr>
          <w:rFonts w:eastAsia="仿宋_GB2312" w:hAnsi="仿宋_GB2312" w:hint="eastAsia"/>
          <w:sz w:val="32"/>
          <w:szCs w:val="32"/>
          <w:u w:val="single"/>
        </w:rPr>
        <w:t>、法律</w:t>
      </w:r>
      <w:r w:rsidR="00C32A78" w:rsidRPr="00F94A22">
        <w:rPr>
          <w:rFonts w:eastAsia="仿宋_GB2312" w:hAnsi="仿宋_GB2312" w:hint="eastAsia"/>
          <w:sz w:val="32"/>
          <w:szCs w:val="32"/>
          <w:u w:val="single"/>
        </w:rPr>
        <w:t>法规，</w:t>
      </w:r>
      <w:r w:rsidR="009F7973" w:rsidRPr="00F94A22">
        <w:rPr>
          <w:rFonts w:eastAsia="仿宋_GB2312" w:hAnsi="仿宋_GB2312" w:hint="eastAsia"/>
          <w:sz w:val="32"/>
          <w:szCs w:val="32"/>
          <w:u w:val="single"/>
        </w:rPr>
        <w:t>全面展示</w:t>
      </w:r>
      <w:r w:rsidR="00D46C94" w:rsidRPr="00F94A22">
        <w:rPr>
          <w:rFonts w:eastAsia="仿宋_GB2312" w:hAnsi="仿宋_GB2312" w:hint="eastAsia"/>
          <w:sz w:val="32"/>
          <w:szCs w:val="32"/>
          <w:u w:val="single"/>
        </w:rPr>
        <w:t>支部建设</w:t>
      </w:r>
      <w:r w:rsidR="009F7973" w:rsidRPr="00F94A22">
        <w:rPr>
          <w:rFonts w:eastAsia="仿宋_GB2312" w:hAnsi="仿宋_GB2312" w:hint="eastAsia"/>
          <w:sz w:val="32"/>
          <w:szCs w:val="32"/>
          <w:u w:val="single"/>
        </w:rPr>
        <w:t>、工</w:t>
      </w:r>
      <w:r w:rsidR="009F7973" w:rsidRPr="009F7973">
        <w:rPr>
          <w:rFonts w:eastAsia="仿宋_GB2312" w:hAnsi="仿宋_GB2312" w:hint="eastAsia"/>
          <w:sz w:val="32"/>
          <w:szCs w:val="32"/>
          <w:u w:val="single"/>
        </w:rPr>
        <w:t>作动态</w:t>
      </w:r>
      <w:r w:rsidR="009F7973">
        <w:rPr>
          <w:rFonts w:eastAsia="仿宋_GB2312" w:hAnsi="仿宋_GB2312" w:hint="eastAsia"/>
          <w:sz w:val="32"/>
          <w:szCs w:val="32"/>
          <w:u w:val="single"/>
        </w:rPr>
        <w:t>，</w:t>
      </w:r>
      <w:r w:rsidR="00350C70">
        <w:rPr>
          <w:rFonts w:eastAsia="仿宋_GB2312" w:hAnsi="仿宋_GB2312" w:hint="eastAsia"/>
          <w:sz w:val="32"/>
          <w:szCs w:val="32"/>
          <w:u w:val="single"/>
        </w:rPr>
        <w:t>积极</w:t>
      </w:r>
      <w:r w:rsidR="0070749F" w:rsidRPr="0070749F">
        <w:rPr>
          <w:rFonts w:eastAsia="仿宋_GB2312" w:hAnsi="仿宋_GB2312" w:hint="eastAsia"/>
          <w:sz w:val="32"/>
          <w:szCs w:val="32"/>
          <w:u w:val="single"/>
        </w:rPr>
        <w:t>构建</w:t>
      </w:r>
      <w:r w:rsidR="001535EF">
        <w:rPr>
          <w:rFonts w:eastAsia="仿宋_GB2312" w:hAnsi="仿宋_GB2312" w:hint="eastAsia"/>
          <w:sz w:val="32"/>
          <w:szCs w:val="32"/>
          <w:u w:val="single"/>
        </w:rPr>
        <w:t>党建引领、</w:t>
      </w:r>
      <w:r w:rsidR="000C0225" w:rsidRPr="0070749F">
        <w:rPr>
          <w:rFonts w:eastAsia="仿宋_GB2312" w:hAnsi="仿宋_GB2312" w:hint="eastAsia"/>
          <w:sz w:val="32"/>
          <w:szCs w:val="32"/>
          <w:u w:val="single"/>
        </w:rPr>
        <w:t>内容丰富</w:t>
      </w:r>
      <w:r w:rsidR="00195B26" w:rsidRPr="00B23E5E">
        <w:rPr>
          <w:rFonts w:eastAsia="仿宋_GB2312" w:hAnsi="仿宋_GB2312"/>
          <w:sz w:val="32"/>
          <w:szCs w:val="32"/>
        </w:rPr>
        <w:t>的学习平台</w:t>
      </w:r>
      <w:r w:rsidR="00F94A22">
        <w:rPr>
          <w:rFonts w:eastAsia="仿宋_GB2312" w:hAnsi="仿宋_GB2312" w:hint="eastAsia"/>
          <w:sz w:val="32"/>
          <w:szCs w:val="32"/>
        </w:rPr>
        <w:t>。</w:t>
      </w:r>
      <w:r w:rsidR="00195B26" w:rsidRPr="00B23E5E">
        <w:rPr>
          <w:rFonts w:eastAsia="仿宋_GB2312"/>
          <w:sz w:val="32"/>
          <w:szCs w:val="32"/>
        </w:rPr>
        <w:t>2022</w:t>
      </w:r>
      <w:r w:rsidR="00195B26" w:rsidRPr="00B23E5E">
        <w:rPr>
          <w:rFonts w:eastAsia="仿宋_GB2312" w:hAnsi="仿宋_GB2312"/>
          <w:sz w:val="32"/>
          <w:szCs w:val="32"/>
        </w:rPr>
        <w:t>年</w:t>
      </w:r>
      <w:r w:rsidR="007E1DE2">
        <w:rPr>
          <w:rFonts w:eastAsia="仿宋_GB2312" w:hAnsi="仿宋_GB2312" w:hint="eastAsia"/>
          <w:sz w:val="32"/>
          <w:szCs w:val="32"/>
        </w:rPr>
        <w:t>，</w:t>
      </w:r>
      <w:r w:rsidR="00195B26" w:rsidRPr="00B23E5E">
        <w:rPr>
          <w:rFonts w:eastAsia="仿宋_GB2312"/>
          <w:sz w:val="32"/>
          <w:szCs w:val="32"/>
        </w:rPr>
        <w:t>“</w:t>
      </w:r>
      <w:r w:rsidR="00195B26" w:rsidRPr="00B23E5E">
        <w:rPr>
          <w:rFonts w:eastAsia="仿宋_GB2312" w:hAnsi="仿宋_GB2312"/>
          <w:sz w:val="32"/>
          <w:szCs w:val="32"/>
        </w:rPr>
        <w:t>不忘初心牢记使命</w:t>
      </w:r>
      <w:r w:rsidR="00195B26" w:rsidRPr="00B23E5E">
        <w:rPr>
          <w:rFonts w:eastAsia="仿宋_GB2312"/>
          <w:sz w:val="32"/>
          <w:szCs w:val="32"/>
        </w:rPr>
        <w:t>518</w:t>
      </w:r>
      <w:r w:rsidR="00195B26" w:rsidRPr="00B23E5E">
        <w:rPr>
          <w:rFonts w:eastAsia="仿宋_GB2312" w:hAnsi="仿宋_GB2312"/>
          <w:sz w:val="32"/>
          <w:szCs w:val="32"/>
        </w:rPr>
        <w:t>学习园地</w:t>
      </w:r>
      <w:r w:rsidR="00195B26" w:rsidRPr="00B23E5E">
        <w:rPr>
          <w:rFonts w:eastAsia="仿宋_GB2312"/>
          <w:sz w:val="32"/>
          <w:szCs w:val="32"/>
        </w:rPr>
        <w:t>”</w:t>
      </w:r>
      <w:r w:rsidR="00195B26" w:rsidRPr="00B23E5E">
        <w:rPr>
          <w:rFonts w:eastAsia="仿宋_GB2312" w:hAnsi="仿宋_GB2312"/>
          <w:sz w:val="32"/>
          <w:szCs w:val="32"/>
        </w:rPr>
        <w:t>微信公众号共刊发</w:t>
      </w:r>
      <w:r w:rsidR="00195B26" w:rsidRPr="00B23E5E">
        <w:rPr>
          <w:rFonts w:eastAsia="仿宋_GB2312"/>
          <w:sz w:val="32"/>
          <w:szCs w:val="32"/>
        </w:rPr>
        <w:t>12</w:t>
      </w:r>
      <w:r w:rsidR="00195B26" w:rsidRPr="00B23E5E">
        <w:rPr>
          <w:rFonts w:eastAsia="仿宋_GB2312" w:hAnsi="仿宋_GB2312"/>
          <w:sz w:val="32"/>
          <w:szCs w:val="32"/>
        </w:rPr>
        <w:t>期</w:t>
      </w:r>
      <w:r w:rsidR="00260BD5">
        <w:rPr>
          <w:rFonts w:eastAsia="仿宋_GB2312" w:hAnsi="仿宋_GB2312" w:hint="eastAsia"/>
          <w:sz w:val="32"/>
          <w:szCs w:val="32"/>
        </w:rPr>
        <w:t>、</w:t>
      </w:r>
      <w:r w:rsidR="00195B26" w:rsidRPr="00B23E5E">
        <w:rPr>
          <w:rFonts w:eastAsia="仿宋_GB2312"/>
          <w:sz w:val="32"/>
          <w:szCs w:val="32"/>
        </w:rPr>
        <w:t>84</w:t>
      </w:r>
      <w:r w:rsidR="006B4AC4" w:rsidRPr="00B23E5E">
        <w:rPr>
          <w:rFonts w:eastAsia="仿宋_GB2312" w:hAnsi="仿宋_GB2312"/>
          <w:sz w:val="32"/>
          <w:szCs w:val="32"/>
        </w:rPr>
        <w:t>篇文章</w:t>
      </w:r>
      <w:r w:rsidR="005D0998">
        <w:rPr>
          <w:rFonts w:eastAsia="仿宋_GB2312" w:hAnsi="仿宋_GB2312" w:hint="eastAsia"/>
          <w:sz w:val="32"/>
          <w:szCs w:val="32"/>
        </w:rPr>
        <w:t>。</w:t>
      </w:r>
    </w:p>
    <w:p w:rsidR="00016143" w:rsidRPr="00B23E5E" w:rsidRDefault="00016143" w:rsidP="00016143">
      <w:pPr>
        <w:widowControl/>
        <w:spacing w:line="560" w:lineRule="exact"/>
        <w:ind w:firstLineChars="200" w:firstLine="672"/>
        <w:rPr>
          <w:rFonts w:eastAsia="楷体_GB2312"/>
          <w:spacing w:val="8"/>
          <w:kern w:val="0"/>
          <w:sz w:val="32"/>
          <w:szCs w:val="32"/>
        </w:rPr>
      </w:pPr>
      <w:r w:rsidRPr="00B23E5E">
        <w:rPr>
          <w:rFonts w:eastAsia="楷体_GB2312"/>
          <w:spacing w:val="8"/>
          <w:kern w:val="0"/>
          <w:sz w:val="32"/>
          <w:szCs w:val="32"/>
        </w:rPr>
        <w:t>5.</w:t>
      </w:r>
      <w:r w:rsidRPr="00B23E5E">
        <w:rPr>
          <w:rFonts w:eastAsia="楷体_GB2312"/>
          <w:spacing w:val="8"/>
          <w:kern w:val="0"/>
          <w:sz w:val="32"/>
          <w:szCs w:val="32"/>
        </w:rPr>
        <w:t>教育培训情况，监督保障情况</w:t>
      </w:r>
    </w:p>
    <w:p w:rsidR="00571ACF" w:rsidRPr="00FB76D8" w:rsidRDefault="002A2FA1" w:rsidP="00571ACF">
      <w:pPr>
        <w:pStyle w:val="a5"/>
        <w:widowControl/>
        <w:spacing w:beforeAutospacing="0" w:afterAutospacing="0" w:line="560" w:lineRule="exact"/>
        <w:ind w:firstLineChars="200" w:firstLine="640"/>
        <w:jc w:val="both"/>
        <w:rPr>
          <w:rFonts w:ascii="Times New Roman" w:eastAsia="仿宋_GB2312" w:hAnsi="Times New Roman"/>
          <w:kern w:val="2"/>
          <w:sz w:val="32"/>
          <w:szCs w:val="32"/>
          <w:u w:val="single"/>
        </w:rPr>
      </w:pPr>
      <w:r w:rsidRPr="00FB76D8">
        <w:rPr>
          <w:rFonts w:eastAsia="仿宋_GB2312" w:hAnsi="仿宋_GB2312" w:hint="eastAsia"/>
          <w:sz w:val="32"/>
          <w:szCs w:val="32"/>
          <w:u w:val="single"/>
        </w:rPr>
        <w:t>注重提升干部政府信息公开工作理论知识和业务水平，</w:t>
      </w:r>
      <w:r w:rsidR="00F97DDD" w:rsidRPr="00FB76D8">
        <w:rPr>
          <w:rFonts w:ascii="仿宋_GB2312" w:eastAsia="仿宋_GB2312" w:hint="eastAsia"/>
          <w:sz w:val="32"/>
          <w:szCs w:val="32"/>
        </w:rPr>
        <w:t>全年开展</w:t>
      </w:r>
      <w:r w:rsidR="00016143" w:rsidRPr="00FB76D8">
        <w:rPr>
          <w:rFonts w:ascii="仿宋_GB2312" w:eastAsia="仿宋_GB2312" w:hint="eastAsia"/>
          <w:sz w:val="32"/>
          <w:szCs w:val="32"/>
        </w:rPr>
        <w:t>信息公开培训</w:t>
      </w:r>
      <w:r w:rsidR="00195B26" w:rsidRPr="00FB76D8">
        <w:rPr>
          <w:rFonts w:ascii="Times New Roman" w:eastAsia="仿宋_GB2312" w:hAnsi="Times New Roman"/>
          <w:sz w:val="32"/>
          <w:szCs w:val="32"/>
        </w:rPr>
        <w:t>1</w:t>
      </w:r>
      <w:r w:rsidRPr="00FB76D8">
        <w:rPr>
          <w:rFonts w:ascii="仿宋_GB2312" w:eastAsia="仿宋_GB2312" w:hint="eastAsia"/>
          <w:sz w:val="32"/>
          <w:szCs w:val="32"/>
        </w:rPr>
        <w:t>次</w:t>
      </w:r>
      <w:r w:rsidR="00FB76D8">
        <w:rPr>
          <w:rFonts w:ascii="仿宋_GB2312" w:eastAsia="仿宋_GB2312" w:hint="eastAsia"/>
          <w:sz w:val="32"/>
          <w:szCs w:val="32"/>
        </w:rPr>
        <w:t>。</w:t>
      </w:r>
      <w:r w:rsidR="00126499" w:rsidRPr="00FB76D8">
        <w:rPr>
          <w:rFonts w:eastAsia="仿宋_GB2312" w:hAnsi="仿宋_GB2312" w:hint="eastAsia"/>
          <w:sz w:val="32"/>
          <w:szCs w:val="32"/>
          <w:u w:val="single"/>
        </w:rPr>
        <w:t>强化信息公开内部监督，</w:t>
      </w:r>
      <w:r w:rsidR="00D91F58" w:rsidRPr="00FB76D8">
        <w:rPr>
          <w:rFonts w:ascii="仿宋_GB2312" w:eastAsia="仿宋_GB2312" w:hint="eastAsia"/>
          <w:sz w:val="32"/>
          <w:szCs w:val="32"/>
        </w:rPr>
        <w:t>加强对</w:t>
      </w:r>
      <w:r w:rsidR="00DD594C" w:rsidRPr="00FB76D8">
        <w:rPr>
          <w:rFonts w:ascii="仿宋_GB2312" w:eastAsia="仿宋_GB2312" w:hint="eastAsia"/>
          <w:color w:val="404040"/>
          <w:spacing w:val="8"/>
          <w:sz w:val="32"/>
          <w:szCs w:val="32"/>
          <w:shd w:val="clear" w:color="auto" w:fill="FFFFFF"/>
        </w:rPr>
        <w:t>《政府信息公开条例》</w:t>
      </w:r>
      <w:r w:rsidR="00D91F58" w:rsidRPr="00FB76D8">
        <w:rPr>
          <w:rFonts w:ascii="仿宋_GB2312" w:eastAsia="仿宋_GB2312" w:hint="eastAsia"/>
          <w:sz w:val="32"/>
          <w:szCs w:val="32"/>
        </w:rPr>
        <w:t>的宣传</w:t>
      </w:r>
      <w:r w:rsidR="00F365D7" w:rsidRPr="00FB76D8">
        <w:rPr>
          <w:rFonts w:ascii="仿宋_GB2312" w:eastAsia="仿宋_GB2312" w:hint="eastAsia"/>
          <w:sz w:val="32"/>
          <w:szCs w:val="32"/>
        </w:rPr>
        <w:t>解读、</w:t>
      </w:r>
      <w:r w:rsidR="00D91F58" w:rsidRPr="00FB76D8">
        <w:rPr>
          <w:rFonts w:ascii="仿宋_GB2312" w:eastAsia="仿宋_GB2312" w:hint="eastAsia"/>
          <w:sz w:val="32"/>
          <w:szCs w:val="32"/>
        </w:rPr>
        <w:t>贯彻</w:t>
      </w:r>
      <w:r w:rsidR="001527B7" w:rsidRPr="00FB76D8">
        <w:rPr>
          <w:rFonts w:ascii="仿宋_GB2312" w:eastAsia="仿宋_GB2312" w:hint="eastAsia"/>
          <w:sz w:val="32"/>
          <w:szCs w:val="32"/>
        </w:rPr>
        <w:t>落实</w:t>
      </w:r>
      <w:r w:rsidR="00952994" w:rsidRPr="00FB76D8">
        <w:rPr>
          <w:rFonts w:ascii="仿宋_GB2312" w:eastAsia="仿宋_GB2312" w:hint="eastAsia"/>
          <w:sz w:val="32"/>
          <w:szCs w:val="32"/>
        </w:rPr>
        <w:t>，</w:t>
      </w:r>
      <w:r w:rsidR="00571ACF" w:rsidRPr="00FB76D8">
        <w:rPr>
          <w:rFonts w:ascii="仿宋_GB2312" w:eastAsia="仿宋_GB2312" w:hint="eastAsia"/>
          <w:spacing w:val="8"/>
          <w:sz w:val="32"/>
          <w:szCs w:val="32"/>
          <w:u w:val="single"/>
        </w:rPr>
        <w:t>不断提升信息公开的</w:t>
      </w:r>
      <w:r w:rsidR="00F15634" w:rsidRPr="00FB76D8">
        <w:rPr>
          <w:rFonts w:ascii="仿宋_GB2312" w:eastAsia="仿宋_GB2312" w:hint="eastAsia"/>
          <w:spacing w:val="8"/>
          <w:sz w:val="32"/>
          <w:szCs w:val="32"/>
          <w:u w:val="single"/>
        </w:rPr>
        <w:t>规范化</w:t>
      </w:r>
      <w:r w:rsidR="00571ACF" w:rsidRPr="00FB76D8">
        <w:rPr>
          <w:rFonts w:ascii="仿宋_GB2312" w:eastAsia="仿宋_GB2312" w:hint="eastAsia"/>
          <w:spacing w:val="8"/>
          <w:sz w:val="32"/>
          <w:szCs w:val="32"/>
          <w:u w:val="single"/>
        </w:rPr>
        <w:t>水平</w:t>
      </w:r>
      <w:r w:rsidR="00516588">
        <w:rPr>
          <w:rFonts w:ascii="仿宋_GB2312" w:eastAsia="仿宋_GB2312" w:hint="eastAsia"/>
          <w:spacing w:val="8"/>
          <w:sz w:val="32"/>
          <w:szCs w:val="32"/>
          <w:u w:val="single"/>
        </w:rPr>
        <w:t>。</w:t>
      </w:r>
    </w:p>
    <w:p w:rsidR="00016143" w:rsidRPr="00FD428C" w:rsidRDefault="00016143" w:rsidP="00016143">
      <w:pPr>
        <w:numPr>
          <w:ilvl w:val="0"/>
          <w:numId w:val="1"/>
        </w:num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主动公开政府信息</w:t>
      </w:r>
      <w:r w:rsidR="00053FEA">
        <w:rPr>
          <w:rFonts w:ascii="黑体" w:eastAsia="黑体" w:hAnsi="宋体" w:cs="黑体" w:hint="eastAsia"/>
          <w:sz w:val="32"/>
          <w:szCs w:val="32"/>
        </w:rPr>
        <w:t>情况</w:t>
      </w:r>
    </w:p>
    <w:p w:rsidR="00016143" w:rsidRDefault="00016143" w:rsidP="00016143">
      <w:pPr>
        <w:pStyle w:val="a3"/>
        <w:widowControl/>
        <w:rPr>
          <w:rFonts w:hint="default"/>
        </w:rPr>
      </w:pPr>
    </w:p>
    <w:tbl>
      <w:tblPr>
        <w:tblW w:w="9780" w:type="dxa"/>
        <w:tblCellMar>
          <w:left w:w="0" w:type="dxa"/>
          <w:right w:w="0" w:type="dxa"/>
        </w:tblCellMar>
        <w:tblLook w:val="0000" w:firstRow="0" w:lastRow="0" w:firstColumn="0" w:lastColumn="0" w:noHBand="0" w:noVBand="0"/>
      </w:tblPr>
      <w:tblGrid>
        <w:gridCol w:w="2445"/>
        <w:gridCol w:w="2445"/>
        <w:gridCol w:w="2445"/>
        <w:gridCol w:w="2445"/>
      </w:tblGrid>
      <w:tr w:rsidR="00016143" w:rsidTr="00AA61FF">
        <w:trPr>
          <w:trHeight w:val="382"/>
        </w:trPr>
        <w:tc>
          <w:tcPr>
            <w:tcW w:w="978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信息内容</w:t>
            </w:r>
          </w:p>
        </w:tc>
        <w:tc>
          <w:tcPr>
            <w:tcW w:w="244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4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本年废止件数</w:t>
            </w:r>
          </w:p>
        </w:tc>
        <w:tc>
          <w:tcPr>
            <w:tcW w:w="244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color w:val="000000"/>
                <w:kern w:val="0"/>
                <w:sz w:val="20"/>
                <w:szCs w:val="20"/>
              </w:rPr>
              <w:t>规章</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016143" w:rsidP="00AA61FF">
            <w:pPr>
              <w:widowControl/>
              <w:jc w:val="center"/>
            </w:pPr>
            <w:r w:rsidRPr="00EC0CEA">
              <w:rPr>
                <w:color w:val="000000"/>
                <w:kern w:val="0"/>
                <w:sz w:val="20"/>
                <w:szCs w:val="20"/>
              </w:rPr>
              <w:t>0</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016143" w:rsidP="00AA61FF">
            <w:pPr>
              <w:widowControl/>
              <w:jc w:val="center"/>
            </w:pPr>
            <w:r w:rsidRPr="00EC0CEA">
              <w:rPr>
                <w:color w:val="000000"/>
                <w:kern w:val="0"/>
                <w:sz w:val="20"/>
                <w:szCs w:val="20"/>
              </w:rPr>
              <w:t>0</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016143" w:rsidP="00AA61FF">
            <w:pPr>
              <w:widowControl/>
              <w:jc w:val="center"/>
            </w:pPr>
            <w:r w:rsidRPr="00EC0CEA">
              <w:rPr>
                <w:kern w:val="0"/>
                <w:szCs w:val="21"/>
              </w:rPr>
              <w:t>0</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color w:val="000000"/>
                <w:kern w:val="0"/>
                <w:sz w:val="20"/>
                <w:szCs w:val="20"/>
              </w:rPr>
              <w:t>行政规范性文件</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EC0CEA" w:rsidP="00AA61FF">
            <w:pPr>
              <w:widowControl/>
              <w:jc w:val="center"/>
            </w:pPr>
            <w:r w:rsidRPr="00EC0CEA">
              <w:rPr>
                <w:color w:val="000000"/>
                <w:kern w:val="0"/>
                <w:sz w:val="20"/>
                <w:szCs w:val="20"/>
              </w:rPr>
              <w:t>8</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EC0CEA" w:rsidP="00AA61FF">
            <w:pPr>
              <w:widowControl/>
              <w:jc w:val="center"/>
            </w:pPr>
            <w:r w:rsidRPr="00EC0CEA">
              <w:rPr>
                <w:color w:val="000000"/>
                <w:kern w:val="0"/>
                <w:sz w:val="20"/>
                <w:szCs w:val="20"/>
              </w:rPr>
              <w:t>1</w:t>
            </w:r>
          </w:p>
        </w:tc>
        <w:tc>
          <w:tcPr>
            <w:tcW w:w="2445" w:type="dxa"/>
            <w:tcBorders>
              <w:top w:val="nil"/>
              <w:left w:val="nil"/>
              <w:bottom w:val="single" w:sz="8" w:space="0" w:color="auto"/>
              <w:right w:val="single" w:sz="8" w:space="0" w:color="auto"/>
            </w:tcBorders>
            <w:tcMar>
              <w:left w:w="57" w:type="dxa"/>
              <w:right w:w="57" w:type="dxa"/>
            </w:tcMar>
            <w:vAlign w:val="center"/>
          </w:tcPr>
          <w:p w:rsidR="00016143" w:rsidRPr="00EC0CEA" w:rsidRDefault="00EC0CEA" w:rsidP="00AA61FF">
            <w:pPr>
              <w:widowControl/>
              <w:jc w:val="center"/>
            </w:pPr>
            <w:r w:rsidRPr="00EC0CEA">
              <w:rPr>
                <w:kern w:val="0"/>
                <w:szCs w:val="21"/>
              </w:rPr>
              <w:t>7</w:t>
            </w:r>
          </w:p>
        </w:tc>
      </w:tr>
      <w:tr w:rsidR="00016143" w:rsidTr="00AA61FF">
        <w:trPr>
          <w:trHeight w:val="382"/>
        </w:trPr>
        <w:tc>
          <w:tcPr>
            <w:tcW w:w="978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第二十条第（五）项</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信息内容</w:t>
            </w:r>
          </w:p>
        </w:tc>
        <w:tc>
          <w:tcPr>
            <w:tcW w:w="733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本年处理决定数量</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color w:val="000000"/>
                <w:kern w:val="0"/>
                <w:sz w:val="20"/>
                <w:szCs w:val="20"/>
              </w:rPr>
              <w:t>行政许可</w:t>
            </w:r>
          </w:p>
        </w:tc>
        <w:tc>
          <w:tcPr>
            <w:tcW w:w="7335" w:type="dxa"/>
            <w:gridSpan w:val="3"/>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Cs w:val="21"/>
              </w:rPr>
              <w:t>0</w:t>
            </w:r>
          </w:p>
        </w:tc>
      </w:tr>
      <w:tr w:rsidR="00016143" w:rsidTr="00AA61FF">
        <w:trPr>
          <w:trHeight w:val="382"/>
        </w:trPr>
        <w:tc>
          <w:tcPr>
            <w:tcW w:w="978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第二十条第（六）项</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信息内容</w:t>
            </w:r>
          </w:p>
        </w:tc>
        <w:tc>
          <w:tcPr>
            <w:tcW w:w="733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本年处理决定数量</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color w:val="000000"/>
                <w:kern w:val="0"/>
                <w:sz w:val="20"/>
                <w:szCs w:val="20"/>
              </w:rPr>
              <w:t>行政处罚</w:t>
            </w:r>
          </w:p>
        </w:tc>
        <w:tc>
          <w:tcPr>
            <w:tcW w:w="7335" w:type="dxa"/>
            <w:gridSpan w:val="3"/>
            <w:tcBorders>
              <w:top w:val="nil"/>
              <w:left w:val="nil"/>
              <w:bottom w:val="single" w:sz="8" w:space="0" w:color="auto"/>
              <w:right w:val="single" w:sz="8" w:space="0" w:color="auto"/>
            </w:tcBorders>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0</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color w:val="000000"/>
                <w:kern w:val="0"/>
                <w:sz w:val="20"/>
                <w:szCs w:val="20"/>
              </w:rPr>
              <w:t>行政强制</w:t>
            </w:r>
          </w:p>
        </w:tc>
        <w:tc>
          <w:tcPr>
            <w:tcW w:w="7335" w:type="dxa"/>
            <w:gridSpan w:val="3"/>
            <w:tcBorders>
              <w:top w:val="nil"/>
              <w:left w:val="nil"/>
              <w:bottom w:val="single" w:sz="8" w:space="0" w:color="auto"/>
              <w:right w:val="single" w:sz="8" w:space="0" w:color="auto"/>
            </w:tcBorders>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0</w:t>
            </w:r>
          </w:p>
        </w:tc>
      </w:tr>
      <w:tr w:rsidR="00016143" w:rsidTr="00AA61FF">
        <w:trPr>
          <w:trHeight w:val="382"/>
        </w:trPr>
        <w:tc>
          <w:tcPr>
            <w:tcW w:w="978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第二十条第（八）项</w:t>
            </w:r>
          </w:p>
        </w:tc>
      </w:tr>
      <w:tr w:rsidR="00016143" w:rsidTr="00AA61FF">
        <w:trPr>
          <w:trHeight w:val="382"/>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信息内容</w:t>
            </w:r>
          </w:p>
        </w:tc>
        <w:tc>
          <w:tcPr>
            <w:tcW w:w="733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016143" w:rsidRDefault="00016143" w:rsidP="00AA61FF">
            <w:pPr>
              <w:widowControl/>
              <w:jc w:val="center"/>
            </w:pPr>
            <w:r>
              <w:rPr>
                <w:rFonts w:ascii="宋体" w:hAnsi="宋体" w:cs="宋体" w:hint="eastAsia"/>
                <w:color w:val="000000"/>
                <w:kern w:val="0"/>
                <w:sz w:val="20"/>
                <w:szCs w:val="20"/>
              </w:rPr>
              <w:t>本年收费金额（单位：万元）</w:t>
            </w:r>
          </w:p>
        </w:tc>
      </w:tr>
      <w:tr w:rsidR="00016143" w:rsidTr="00AA61FF">
        <w:trPr>
          <w:trHeight w:val="404"/>
        </w:trPr>
        <w:tc>
          <w:tcPr>
            <w:tcW w:w="244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6B4AC4">
            <w:pPr>
              <w:widowControl/>
            </w:pPr>
            <w:r>
              <w:rPr>
                <w:rFonts w:ascii="宋体" w:hAnsi="宋体" w:cs="宋体" w:hint="eastAsia"/>
                <w:color w:val="000000"/>
                <w:kern w:val="0"/>
                <w:sz w:val="20"/>
                <w:szCs w:val="20"/>
              </w:rPr>
              <w:t>行政事业性收费</w:t>
            </w:r>
          </w:p>
        </w:tc>
        <w:tc>
          <w:tcPr>
            <w:tcW w:w="7335" w:type="dxa"/>
            <w:gridSpan w:val="3"/>
            <w:tcBorders>
              <w:top w:val="nil"/>
              <w:left w:val="nil"/>
              <w:bottom w:val="single" w:sz="8" w:space="0" w:color="auto"/>
              <w:right w:val="single" w:sz="8" w:space="0" w:color="000000"/>
            </w:tcBorders>
            <w:tcMar>
              <w:left w:w="57" w:type="dxa"/>
              <w:right w:w="57" w:type="dxa"/>
            </w:tcMar>
            <w:vAlign w:val="center"/>
          </w:tcPr>
          <w:p w:rsidR="00016143" w:rsidRPr="00D82C4C" w:rsidRDefault="00016143" w:rsidP="00D82C4C">
            <w:pPr>
              <w:widowControl/>
              <w:jc w:val="center"/>
              <w:rPr>
                <w:rFonts w:ascii="宋体" w:hAnsi="宋体" w:cs="宋体"/>
                <w:color w:val="000000"/>
                <w:kern w:val="0"/>
                <w:sz w:val="20"/>
                <w:szCs w:val="20"/>
              </w:rPr>
            </w:pPr>
            <w:r w:rsidRPr="00D82C4C">
              <w:rPr>
                <w:rFonts w:ascii="宋体" w:hAnsi="宋体" w:cs="宋体" w:hint="eastAsia"/>
                <w:color w:val="000000"/>
                <w:kern w:val="0"/>
                <w:sz w:val="20"/>
                <w:szCs w:val="20"/>
              </w:rPr>
              <w:t>0</w:t>
            </w:r>
          </w:p>
        </w:tc>
      </w:tr>
    </w:tbl>
    <w:p w:rsidR="00016143" w:rsidRDefault="00016143" w:rsidP="00016143">
      <w:pPr>
        <w:pStyle w:val="a3"/>
        <w:widowControl/>
        <w:rPr>
          <w:rFonts w:hint="default"/>
        </w:rPr>
      </w:pPr>
    </w:p>
    <w:p w:rsidR="00D82C4C" w:rsidRDefault="00D82C4C" w:rsidP="00D82C4C">
      <w:pPr>
        <w:spacing w:line="560" w:lineRule="exact"/>
        <w:rPr>
          <w:rFonts w:ascii="黑体" w:eastAsia="黑体" w:hAnsi="宋体" w:cs="黑体"/>
          <w:sz w:val="32"/>
          <w:szCs w:val="32"/>
        </w:rPr>
      </w:pPr>
    </w:p>
    <w:p w:rsidR="00D82C4C" w:rsidRDefault="00D82C4C" w:rsidP="00D82C4C">
      <w:pPr>
        <w:spacing w:line="560" w:lineRule="exact"/>
        <w:rPr>
          <w:rFonts w:ascii="黑体" w:eastAsia="黑体" w:hAnsi="宋体" w:cs="黑体"/>
          <w:sz w:val="32"/>
          <w:szCs w:val="32"/>
        </w:rPr>
      </w:pPr>
    </w:p>
    <w:p w:rsidR="00D82C4C" w:rsidRDefault="00D82C4C" w:rsidP="00D82C4C">
      <w:pPr>
        <w:spacing w:line="560" w:lineRule="exact"/>
        <w:rPr>
          <w:rFonts w:ascii="黑体" w:eastAsia="黑体" w:hAnsi="宋体" w:cs="黑体"/>
          <w:sz w:val="32"/>
          <w:szCs w:val="32"/>
        </w:rPr>
      </w:pPr>
    </w:p>
    <w:p w:rsidR="00D82C4C" w:rsidRDefault="00D82C4C" w:rsidP="00D82C4C">
      <w:pPr>
        <w:spacing w:line="560" w:lineRule="exact"/>
        <w:rPr>
          <w:rFonts w:ascii="黑体" w:eastAsia="黑体" w:hAnsi="宋体" w:cs="黑体"/>
          <w:sz w:val="32"/>
          <w:szCs w:val="32"/>
        </w:rPr>
      </w:pPr>
    </w:p>
    <w:p w:rsidR="008D5ED1" w:rsidRDefault="008D5ED1" w:rsidP="00D82C4C">
      <w:pPr>
        <w:spacing w:line="560" w:lineRule="exact"/>
        <w:ind w:left="640"/>
        <w:rPr>
          <w:rFonts w:ascii="黑体" w:eastAsia="黑体" w:hAnsi="宋体" w:cs="黑体"/>
          <w:sz w:val="32"/>
          <w:szCs w:val="32"/>
        </w:rPr>
      </w:pPr>
    </w:p>
    <w:p w:rsidR="00016143" w:rsidRDefault="00D82C4C" w:rsidP="00D82C4C">
      <w:pPr>
        <w:spacing w:line="560" w:lineRule="exact"/>
        <w:ind w:left="640"/>
        <w:rPr>
          <w:rFonts w:ascii="黑体" w:eastAsia="黑体" w:hAnsi="宋体" w:cs="黑体"/>
          <w:sz w:val="32"/>
          <w:szCs w:val="32"/>
        </w:rPr>
      </w:pPr>
      <w:r>
        <w:rPr>
          <w:rFonts w:ascii="黑体" w:eastAsia="黑体" w:hAnsi="宋体" w:cs="黑体" w:hint="eastAsia"/>
          <w:sz w:val="32"/>
          <w:szCs w:val="32"/>
        </w:rPr>
        <w:t>三</w:t>
      </w:r>
      <w:r>
        <w:rPr>
          <w:rFonts w:ascii="黑体" w:eastAsia="黑体" w:hAnsi="宋体" w:cs="黑体"/>
          <w:sz w:val="32"/>
          <w:szCs w:val="32"/>
        </w:rPr>
        <w:t>、</w:t>
      </w:r>
      <w:r w:rsidR="00016143">
        <w:rPr>
          <w:rFonts w:ascii="黑体" w:eastAsia="黑体" w:hAnsi="宋体" w:cs="黑体" w:hint="eastAsia"/>
          <w:sz w:val="32"/>
          <w:szCs w:val="32"/>
        </w:rPr>
        <w:t>收到和处理政府信息公开申请</w:t>
      </w:r>
      <w:r w:rsidR="00053FEA">
        <w:rPr>
          <w:rFonts w:ascii="黑体" w:eastAsia="黑体" w:hAnsi="宋体" w:cs="黑体" w:hint="eastAsia"/>
          <w:sz w:val="32"/>
          <w:szCs w:val="32"/>
        </w:rPr>
        <w:t>情况</w:t>
      </w:r>
    </w:p>
    <w:p w:rsidR="00016143" w:rsidRDefault="00016143" w:rsidP="00016143">
      <w:pPr>
        <w:pStyle w:val="a5"/>
        <w:widowControl/>
        <w:shd w:val="clear" w:color="auto" w:fill="FFFFFF"/>
        <w:spacing w:beforeAutospacing="0" w:afterAutospacing="0"/>
        <w:ind w:firstLine="420"/>
        <w:jc w:val="both"/>
        <w:rPr>
          <w:rFonts w:ascii="宋体" w:hAnsi="宋体" w:cs="宋体"/>
          <w:color w:val="333333"/>
          <w:shd w:val="clear" w:color="auto" w:fill="FFFFFF"/>
        </w:rPr>
      </w:pPr>
    </w:p>
    <w:tbl>
      <w:tblPr>
        <w:tblW w:w="9748" w:type="dxa"/>
        <w:tblBorders>
          <w:insideH w:val="outset" w:sz="6" w:space="0" w:color="auto"/>
          <w:insideV w:val="outset" w:sz="6" w:space="0" w:color="auto"/>
        </w:tblBorders>
        <w:tblCellMar>
          <w:left w:w="0" w:type="dxa"/>
          <w:right w:w="0" w:type="dxa"/>
        </w:tblCellMar>
        <w:tblLook w:val="0000" w:firstRow="0" w:lastRow="0" w:firstColumn="0" w:lastColumn="0" w:noHBand="0" w:noVBand="0"/>
      </w:tblPr>
      <w:tblGrid>
        <w:gridCol w:w="765"/>
        <w:gridCol w:w="941"/>
        <w:gridCol w:w="3199"/>
        <w:gridCol w:w="685"/>
        <w:gridCol w:w="693"/>
        <w:gridCol w:w="693"/>
        <w:gridCol w:w="693"/>
        <w:gridCol w:w="693"/>
        <w:gridCol w:w="693"/>
        <w:gridCol w:w="693"/>
      </w:tblGrid>
      <w:tr w:rsidR="00016143" w:rsidTr="00AA61FF">
        <w:tc>
          <w:tcPr>
            <w:tcW w:w="5150"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left"/>
            </w:pPr>
            <w:r>
              <w:rPr>
                <w:rFonts w:ascii="楷体" w:eastAsia="楷体" w:hAnsi="楷体" w:cs="楷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pPr>
            <w:r>
              <w:rPr>
                <w:rFonts w:ascii="宋体" w:hAnsi="宋体" w:cs="宋体" w:hint="eastAsia"/>
                <w:kern w:val="0"/>
                <w:sz w:val="20"/>
                <w:szCs w:val="20"/>
              </w:rPr>
              <w:t>申请人情况</w:t>
            </w:r>
          </w:p>
        </w:tc>
      </w:tr>
      <w:tr w:rsidR="00016143" w:rsidTr="00AA61FF">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16143" w:rsidRDefault="00016143" w:rsidP="00AA61FF">
            <w:pPr>
              <w:rPr>
                <w:rFonts w:ascii="Calibri" w:hAnsi="Calibri" w:cs="Calibri"/>
                <w:sz w:val="20"/>
                <w:szCs w:val="20"/>
              </w:rPr>
            </w:pPr>
          </w:p>
        </w:tc>
        <w:tc>
          <w:tcPr>
            <w:tcW w:w="714"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widowControl/>
              <w:jc w:val="center"/>
            </w:pPr>
            <w:r>
              <w:rPr>
                <w:rFonts w:ascii="宋体" w:hAnsi="宋体" w:cs="宋体" w:hint="eastAsia"/>
                <w:kern w:val="0"/>
                <w:sz w:val="20"/>
                <w:szCs w:val="20"/>
              </w:rPr>
              <w:t>自然人</w:t>
            </w:r>
          </w:p>
        </w:tc>
        <w:tc>
          <w:tcPr>
            <w:tcW w:w="3570" w:type="dxa"/>
            <w:gridSpan w:val="5"/>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法人或其他组织</w:t>
            </w:r>
          </w:p>
        </w:tc>
        <w:tc>
          <w:tcPr>
            <w:tcW w:w="714" w:type="dxa"/>
            <w:vMerge w:val="restart"/>
            <w:tcBorders>
              <w:top w:val="single" w:sz="8" w:space="0" w:color="auto"/>
              <w:left w:val="single" w:sz="0" w:space="0" w:color="auto"/>
              <w:bottom w:val="inset"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总计</w:t>
            </w:r>
          </w:p>
        </w:tc>
      </w:tr>
      <w:tr w:rsidR="00016143" w:rsidTr="00AA61FF">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16143" w:rsidRDefault="00016143" w:rsidP="00AA61FF">
            <w:pPr>
              <w:rPr>
                <w:rFonts w:ascii="Calibri" w:hAnsi="Calibri" w:cs="Calibri"/>
                <w:sz w:val="20"/>
                <w:szCs w:val="20"/>
              </w:rPr>
            </w:pPr>
          </w:p>
        </w:tc>
        <w:tc>
          <w:tcPr>
            <w:tcW w:w="714"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rsidR="00016143" w:rsidRDefault="00016143" w:rsidP="00AA61FF">
            <w:pPr>
              <w:rPr>
                <w:rFonts w:ascii="Calibri" w:hAnsi="Calibri" w:cs="Calibri"/>
                <w:sz w:val="20"/>
                <w:szCs w:val="20"/>
              </w:rPr>
            </w:pP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商业</w:t>
            </w:r>
          </w:p>
          <w:p w:rsidR="00016143" w:rsidRDefault="00016143" w:rsidP="00AA61FF">
            <w:pPr>
              <w:widowControl/>
              <w:jc w:val="center"/>
            </w:pPr>
            <w:r>
              <w:rPr>
                <w:rFonts w:ascii="宋体" w:hAnsi="宋体" w:cs="宋体" w:hint="eastAsia"/>
                <w:kern w:val="0"/>
                <w:sz w:val="20"/>
                <w:szCs w:val="20"/>
              </w:rPr>
              <w:t>企业</w:t>
            </w: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科研</w:t>
            </w:r>
          </w:p>
          <w:p w:rsidR="00016143" w:rsidRDefault="00016143" w:rsidP="00AA61FF">
            <w:pPr>
              <w:widowControl/>
              <w:jc w:val="center"/>
            </w:pPr>
            <w:r>
              <w:rPr>
                <w:rFonts w:ascii="宋体" w:hAnsi="宋体" w:cs="宋体" w:hint="eastAsia"/>
                <w:kern w:val="0"/>
                <w:sz w:val="20"/>
                <w:szCs w:val="20"/>
              </w:rPr>
              <w:t>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社会公益组织</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法律服务机构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其他</w:t>
            </w:r>
          </w:p>
        </w:tc>
        <w:tc>
          <w:tcPr>
            <w:tcW w:w="714" w:type="dxa"/>
            <w:vMerge/>
            <w:tcBorders>
              <w:top w:val="single" w:sz="8" w:space="0" w:color="auto"/>
              <w:left w:val="single" w:sz="0" w:space="0" w:color="auto"/>
              <w:bottom w:val="inset" w:sz="8" w:space="0" w:color="auto"/>
              <w:right w:val="single" w:sz="8" w:space="0" w:color="auto"/>
            </w:tcBorders>
            <w:shd w:val="clear" w:color="auto" w:fill="9BC2E6"/>
            <w:tcMar>
              <w:left w:w="108" w:type="dxa"/>
              <w:right w:w="108" w:type="dxa"/>
            </w:tcMar>
            <w:vAlign w:val="center"/>
          </w:tcPr>
          <w:p w:rsidR="00016143" w:rsidRDefault="00016143" w:rsidP="00AA61FF">
            <w:pPr>
              <w:rPr>
                <w:rFonts w:ascii="Calibri" w:hAnsi="Calibri" w:cs="Calibri"/>
                <w:sz w:val="20"/>
                <w:szCs w:val="20"/>
              </w:rPr>
            </w:pPr>
          </w:p>
        </w:tc>
      </w:tr>
      <w:tr w:rsidR="00016143" w:rsidTr="00AA61FF">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val="restart"/>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single" w:sz="8" w:space="0" w:color="auto"/>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rPr>
                <w:kern w:val="0"/>
                <w:sz w:val="20"/>
                <w:szCs w:val="20"/>
              </w:rPr>
            </w:pPr>
            <w:r w:rsidRPr="00D82C4C">
              <w:rPr>
                <w:kern w:val="0"/>
                <w:sz w:val="20"/>
                <w:szCs w:val="20"/>
              </w:rPr>
              <w:t>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single" w:sz="8" w:space="0" w:color="auto"/>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016143" w:rsidRDefault="00016143" w:rsidP="00AA61FF">
            <w:pPr>
              <w:widowControl/>
              <w:jc w:val="left"/>
            </w:pPr>
            <w:r>
              <w:rPr>
                <w:rFonts w:ascii="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rPr>
          <w:trHeight w:val="779"/>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widowControl/>
            </w:pPr>
            <w:r>
              <w:rPr>
                <w:rFonts w:ascii="宋体" w:hAnsi="宋体" w:cs="宋体" w:hint="eastAsia"/>
                <w:kern w:val="0"/>
                <w:sz w:val="20"/>
                <w:szCs w:val="20"/>
              </w:rPr>
              <w:t>5.要求行政机关确认或重新出具已获取信息</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val="restart"/>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pPr>
            <w:r>
              <w:rPr>
                <w:rFonts w:ascii="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rPr>
                <w:kern w:val="0"/>
                <w:sz w:val="20"/>
                <w:szCs w:val="20"/>
              </w:rPr>
            </w:pPr>
          </w:p>
          <w:p w:rsidR="00016143" w:rsidRPr="00D82C4C" w:rsidRDefault="00016143" w:rsidP="00AA61FF">
            <w:pPr>
              <w:widowControl/>
              <w:jc w:val="center"/>
            </w:pPr>
            <w:r w:rsidRPr="00D82C4C">
              <w:rPr>
                <w:kern w:val="0"/>
                <w:sz w:val="20"/>
                <w:szCs w:val="20"/>
              </w:rPr>
              <w:t>0 </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pPr>
            <w:r>
              <w:rPr>
                <w:rFonts w:ascii="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rPr>
                <w:kern w:val="0"/>
                <w:sz w:val="20"/>
                <w:szCs w:val="20"/>
              </w:rPr>
            </w:pPr>
          </w:p>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rsidR="00016143" w:rsidRDefault="00016143" w:rsidP="00AA61FF">
            <w:pPr>
              <w:rPr>
                <w:rFonts w:ascii="Calibri" w:hAnsi="Calibri" w:cs="Calibri"/>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 0</w:t>
            </w:r>
          </w:p>
        </w:tc>
      </w:tr>
      <w:tr w:rsidR="00016143" w:rsidTr="00AA61FF">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rsidR="00016143" w:rsidRDefault="00016143" w:rsidP="00AA61FF">
            <w:pPr>
              <w:rPr>
                <w:rFonts w:ascii="Calibri" w:hAnsi="Calibri" w:cs="Calibri"/>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 0</w:t>
            </w:r>
          </w:p>
        </w:tc>
        <w:tc>
          <w:tcPr>
            <w:tcW w:w="714" w:type="dxa"/>
            <w:tcBorders>
              <w:top w:val="nil"/>
              <w:left w:val="nil"/>
              <w:bottom w:val="single" w:sz="8" w:space="0" w:color="auto"/>
              <w:right w:val="single" w:sz="8" w:space="0" w:color="auto"/>
            </w:tcBorders>
            <w:tcMar>
              <w:left w:w="57" w:type="dxa"/>
              <w:right w:w="57" w:type="dxa"/>
            </w:tcMar>
            <w:vAlign w:val="center"/>
          </w:tcPr>
          <w:p w:rsidR="00016143" w:rsidRPr="00D82C4C" w:rsidRDefault="00016143" w:rsidP="00AA61FF">
            <w:pPr>
              <w:widowControl/>
              <w:jc w:val="center"/>
            </w:pPr>
            <w:r w:rsidRPr="00D82C4C">
              <w:rPr>
                <w:kern w:val="0"/>
                <w:sz w:val="20"/>
                <w:szCs w:val="20"/>
              </w:rPr>
              <w:t>0 </w:t>
            </w:r>
          </w:p>
        </w:tc>
        <w:tc>
          <w:tcPr>
            <w:tcW w:w="714" w:type="dxa"/>
            <w:tcBorders>
              <w:top w:val="nil"/>
              <w:left w:val="nil"/>
              <w:bottom w:val="single" w:sz="8" w:space="0" w:color="auto"/>
              <w:right w:val="single" w:sz="8" w:space="0" w:color="auto"/>
            </w:tcBorders>
            <w:tcMar>
              <w:left w:w="57" w:type="dxa"/>
              <w:right w:w="57" w:type="dxa"/>
            </w:tcMar>
          </w:tcPr>
          <w:p w:rsidR="00016143" w:rsidRPr="00D82C4C" w:rsidRDefault="00016143" w:rsidP="00AA61FF">
            <w:pPr>
              <w:widowControl/>
              <w:jc w:val="center"/>
            </w:pPr>
            <w:r w:rsidRPr="00D82C4C">
              <w:rPr>
                <w:kern w:val="0"/>
                <w:sz w:val="20"/>
                <w:szCs w:val="20"/>
              </w:rPr>
              <w:t>0</w:t>
            </w:r>
          </w:p>
        </w:tc>
      </w:tr>
      <w:tr w:rsidR="00016143" w:rsidTr="00AA61FF">
        <w:tc>
          <w:tcPr>
            <w:tcW w:w="5150"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rsidR="00016143" w:rsidRDefault="00016143" w:rsidP="00AA61FF">
            <w:pPr>
              <w:widowControl/>
              <w:jc w:val="left"/>
            </w:pPr>
            <w:r>
              <w:rPr>
                <w:rFonts w:ascii="宋体" w:hAnsi="宋体" w:cs="宋体" w:hint="eastAsia"/>
                <w:kern w:val="0"/>
                <w:sz w:val="20"/>
                <w:szCs w:val="20"/>
              </w:rPr>
              <w:t>四、结转下年度继续办理</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c>
          <w:tcPr>
            <w:tcW w:w="0" w:type="auto"/>
            <w:tcBorders>
              <w:top w:val="inset" w:sz="6" w:space="0" w:color="auto"/>
              <w:left w:val="single" w:sz="0" w:space="0" w:color="auto"/>
              <w:bottom w:val="inset" w:sz="6" w:space="0" w:color="auto"/>
              <w:right w:val="inset" w:sz="6" w:space="0" w:color="auto"/>
            </w:tcBorders>
            <w:vAlign w:val="center"/>
          </w:tcPr>
          <w:p w:rsidR="00016143" w:rsidRPr="00D82C4C" w:rsidRDefault="00016143" w:rsidP="00AA61FF">
            <w:pPr>
              <w:widowControl/>
              <w:jc w:val="center"/>
              <w:rPr>
                <w:kern w:val="0"/>
                <w:sz w:val="20"/>
                <w:szCs w:val="20"/>
              </w:rPr>
            </w:pPr>
            <w:r w:rsidRPr="00D82C4C">
              <w:rPr>
                <w:kern w:val="0"/>
                <w:sz w:val="20"/>
                <w:szCs w:val="20"/>
              </w:rPr>
              <w:t>0</w:t>
            </w:r>
          </w:p>
        </w:tc>
      </w:tr>
    </w:tbl>
    <w:p w:rsidR="00016143" w:rsidRDefault="00016143" w:rsidP="00016143">
      <w:pPr>
        <w:pStyle w:val="a3"/>
        <w:widowControl/>
        <w:ind w:leftChars="200" w:left="420"/>
        <w:rPr>
          <w:rFonts w:hint="default"/>
        </w:rPr>
      </w:pPr>
    </w:p>
    <w:p w:rsidR="00016143" w:rsidRDefault="00016143" w:rsidP="00016143">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rPr>
        <w:t>四、政府信息公开行政复议、行政诉讼</w:t>
      </w:r>
      <w:r w:rsidR="0092728D">
        <w:rPr>
          <w:rFonts w:ascii="黑体" w:eastAsia="黑体" w:hAnsi="宋体" w:cs="黑体" w:hint="eastAsia"/>
          <w:sz w:val="32"/>
          <w:szCs w:val="32"/>
        </w:rPr>
        <w:t>情况</w:t>
      </w:r>
    </w:p>
    <w:p w:rsidR="00016143" w:rsidRDefault="00016143" w:rsidP="00016143">
      <w:pPr>
        <w:widowControl/>
        <w:jc w:val="center"/>
      </w:pPr>
    </w:p>
    <w:tbl>
      <w:tblPr>
        <w:tblW w:w="9748" w:type="dxa"/>
        <w:jc w:val="center"/>
        <w:tblBorders>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016143" w:rsidTr="00AA61FF">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行政诉讼</w:t>
            </w:r>
          </w:p>
        </w:tc>
      </w:tr>
      <w:tr w:rsidR="00016143" w:rsidTr="00AA61FF">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复议后起诉</w:t>
            </w:r>
          </w:p>
        </w:tc>
      </w:tr>
      <w:tr w:rsidR="00016143" w:rsidTr="00AA61FF">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rPr>
                <w:rFonts w:ascii="Calibri" w:hAnsi="Calibri" w:cs="Calibri"/>
                <w:sz w:val="20"/>
                <w:szCs w:val="20"/>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rPr>
                <w:rFonts w:ascii="Calibri" w:hAnsi="Calibri"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rPr>
                <w:rFonts w:ascii="Calibri" w:hAnsi="Calibri" w:cs="Calibri"/>
                <w:sz w:val="20"/>
                <w:szCs w:val="20"/>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16143" w:rsidRDefault="00016143" w:rsidP="00AA61FF">
            <w:pPr>
              <w:widowControl/>
              <w:jc w:val="center"/>
            </w:pPr>
            <w:r>
              <w:rPr>
                <w:rFonts w:ascii="宋体" w:hAnsi="宋体" w:cs="宋体" w:hint="eastAsia"/>
                <w:color w:val="000000"/>
                <w:kern w:val="0"/>
                <w:sz w:val="20"/>
                <w:szCs w:val="20"/>
              </w:rPr>
              <w:t>总计</w:t>
            </w:r>
          </w:p>
        </w:tc>
      </w:tr>
      <w:tr w:rsidR="00016143" w:rsidTr="00AA61FF">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widowControl/>
              <w:jc w:val="center"/>
              <w:rPr>
                <w:kern w:val="0"/>
                <w:sz w:val="20"/>
                <w:szCs w:val="20"/>
              </w:rPr>
            </w:pPr>
            <w:r w:rsidRPr="00D82C4C">
              <w:rPr>
                <w:kern w:val="0"/>
                <w:sz w:val="20"/>
                <w:szCs w:val="20"/>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16143" w:rsidRPr="00D82C4C" w:rsidRDefault="00016143" w:rsidP="00AA61FF">
            <w:pPr>
              <w:rPr>
                <w:kern w:val="0"/>
                <w:sz w:val="20"/>
                <w:szCs w:val="20"/>
              </w:rPr>
            </w:pPr>
            <w:r w:rsidRPr="00D82C4C">
              <w:rPr>
                <w:kern w:val="0"/>
                <w:sz w:val="20"/>
                <w:szCs w:val="20"/>
              </w:rPr>
              <w:t>0</w:t>
            </w:r>
          </w:p>
        </w:tc>
      </w:tr>
    </w:tbl>
    <w:p w:rsidR="00016143" w:rsidRDefault="00016143" w:rsidP="00016143">
      <w:pPr>
        <w:pStyle w:val="a6"/>
        <w:spacing w:line="560" w:lineRule="exact"/>
        <w:ind w:left="1360" w:firstLineChars="0" w:firstLine="0"/>
        <w:jc w:val="left"/>
        <w:rPr>
          <w:rFonts w:ascii="黑体" w:eastAsia="黑体" w:hAnsi="黑体"/>
          <w:sz w:val="32"/>
          <w:szCs w:val="32"/>
        </w:rPr>
      </w:pPr>
    </w:p>
    <w:p w:rsidR="00016143" w:rsidRDefault="00016143" w:rsidP="00016143">
      <w:pPr>
        <w:pStyle w:val="a6"/>
        <w:spacing w:line="560" w:lineRule="exact"/>
        <w:ind w:firstLine="640"/>
        <w:rPr>
          <w:rFonts w:ascii="黑体" w:eastAsia="黑体" w:hAnsi="黑体"/>
          <w:sz w:val="32"/>
          <w:szCs w:val="32"/>
        </w:rPr>
      </w:pPr>
      <w:r>
        <w:rPr>
          <w:rFonts w:ascii="黑体" w:eastAsia="黑体" w:hAnsi="黑体" w:hint="eastAsia"/>
          <w:sz w:val="32"/>
          <w:szCs w:val="32"/>
        </w:rPr>
        <w:t>五、存在</w:t>
      </w:r>
      <w:r>
        <w:rPr>
          <w:rFonts w:ascii="黑体" w:eastAsia="黑体" w:hAnsi="黑体"/>
          <w:sz w:val="32"/>
          <w:szCs w:val="32"/>
        </w:rPr>
        <w:t>的主要问题及改进情况</w:t>
      </w:r>
    </w:p>
    <w:p w:rsidR="00045077" w:rsidRPr="00FB76D8" w:rsidRDefault="00016143" w:rsidP="00882124">
      <w:pPr>
        <w:pStyle w:val="a6"/>
        <w:spacing w:line="560" w:lineRule="exact"/>
        <w:ind w:firstLine="640"/>
        <w:rPr>
          <w:rFonts w:ascii="仿宋_GB2312" w:eastAsia="仿宋_GB2312"/>
          <w:sz w:val="32"/>
          <w:szCs w:val="32"/>
          <w:u w:val="single"/>
        </w:rPr>
      </w:pPr>
      <w:r>
        <w:rPr>
          <w:rFonts w:eastAsia="仿宋_GB2312"/>
          <w:sz w:val="32"/>
          <w:szCs w:val="32"/>
        </w:rPr>
        <w:t>2</w:t>
      </w:r>
      <w:r w:rsidR="00EC0CEA">
        <w:rPr>
          <w:rFonts w:eastAsia="仿宋_GB2312"/>
          <w:sz w:val="32"/>
          <w:szCs w:val="32"/>
        </w:rPr>
        <w:t>022</w:t>
      </w:r>
      <w:r>
        <w:rPr>
          <w:rFonts w:ascii="仿宋_GB2312" w:eastAsia="仿宋_GB2312" w:hint="eastAsia"/>
          <w:sz w:val="32"/>
          <w:szCs w:val="32"/>
        </w:rPr>
        <w:t>年</w:t>
      </w:r>
      <w:r w:rsidR="0092728D">
        <w:rPr>
          <w:rFonts w:ascii="仿宋_GB2312" w:eastAsia="仿宋_GB2312" w:hint="eastAsia"/>
          <w:sz w:val="32"/>
          <w:szCs w:val="32"/>
        </w:rPr>
        <w:t>，</w:t>
      </w:r>
      <w:r w:rsidRPr="00280CDA">
        <w:rPr>
          <w:rFonts w:ascii="仿宋_GB2312" w:eastAsia="仿宋_GB2312" w:hint="eastAsia"/>
          <w:sz w:val="32"/>
          <w:szCs w:val="32"/>
        </w:rPr>
        <w:t>政府办的政府信息公开工作取得了</w:t>
      </w:r>
      <w:r>
        <w:rPr>
          <w:rFonts w:ascii="仿宋_GB2312" w:eastAsia="仿宋_GB2312" w:hint="eastAsia"/>
          <w:sz w:val="32"/>
          <w:szCs w:val="32"/>
        </w:rPr>
        <w:t>一定成果，</w:t>
      </w:r>
      <w:r>
        <w:rPr>
          <w:rFonts w:ascii="仿宋_GB2312" w:eastAsia="仿宋_GB2312"/>
          <w:sz w:val="32"/>
          <w:szCs w:val="32"/>
        </w:rPr>
        <w:t>但仍</w:t>
      </w:r>
      <w:r w:rsidR="00F211FC">
        <w:rPr>
          <w:rFonts w:ascii="仿宋_GB2312" w:eastAsia="仿宋_GB2312" w:hint="eastAsia"/>
          <w:sz w:val="32"/>
          <w:szCs w:val="32"/>
        </w:rPr>
        <w:t>存在</w:t>
      </w:r>
      <w:r>
        <w:rPr>
          <w:rFonts w:ascii="仿宋_GB2312" w:eastAsia="仿宋_GB2312" w:hint="eastAsia"/>
          <w:sz w:val="32"/>
          <w:szCs w:val="32"/>
        </w:rPr>
        <w:t>一些</w:t>
      </w:r>
      <w:r>
        <w:rPr>
          <w:rFonts w:ascii="仿宋_GB2312" w:eastAsia="仿宋_GB2312"/>
          <w:sz w:val="32"/>
          <w:szCs w:val="32"/>
        </w:rPr>
        <w:t>问题</w:t>
      </w:r>
      <w:r w:rsidR="00CA3813">
        <w:rPr>
          <w:rFonts w:ascii="仿宋_GB2312" w:eastAsia="仿宋_GB2312" w:hint="eastAsia"/>
          <w:sz w:val="32"/>
          <w:szCs w:val="32"/>
        </w:rPr>
        <w:t>，</w:t>
      </w:r>
      <w:r w:rsidR="007100F9" w:rsidRPr="00FB76D8">
        <w:rPr>
          <w:rFonts w:ascii="仿宋_GB2312" w:eastAsia="仿宋_GB2312" w:hint="eastAsia"/>
          <w:sz w:val="32"/>
          <w:szCs w:val="32"/>
          <w:u w:val="single"/>
        </w:rPr>
        <w:t>在</w:t>
      </w:r>
      <w:r w:rsidR="00045077" w:rsidRPr="00FB76D8">
        <w:rPr>
          <w:rFonts w:ascii="仿宋_GB2312" w:eastAsia="仿宋_GB2312" w:hint="eastAsia"/>
          <w:sz w:val="32"/>
          <w:szCs w:val="32"/>
          <w:u w:val="single"/>
        </w:rPr>
        <w:t>信息公开的内容上</w:t>
      </w:r>
      <w:r w:rsidR="00B45DAF" w:rsidRPr="00FB76D8">
        <w:rPr>
          <w:rFonts w:ascii="仿宋_GB2312" w:eastAsia="仿宋_GB2312" w:hint="eastAsia"/>
          <w:sz w:val="32"/>
          <w:szCs w:val="32"/>
          <w:u w:val="single"/>
        </w:rPr>
        <w:t>仍需</w:t>
      </w:r>
      <w:r w:rsidR="00045077" w:rsidRPr="00FB76D8">
        <w:rPr>
          <w:rFonts w:ascii="仿宋_GB2312" w:eastAsia="仿宋_GB2312" w:hint="eastAsia"/>
          <w:sz w:val="32"/>
          <w:szCs w:val="32"/>
          <w:u w:val="single"/>
        </w:rPr>
        <w:t>进一步丰富，信息公开的水平</w:t>
      </w:r>
      <w:r w:rsidR="00C51602">
        <w:rPr>
          <w:rFonts w:ascii="仿宋_GB2312" w:eastAsia="仿宋_GB2312" w:hint="eastAsia"/>
          <w:sz w:val="32"/>
          <w:szCs w:val="32"/>
          <w:u w:val="single"/>
        </w:rPr>
        <w:t>需</w:t>
      </w:r>
      <w:r w:rsidR="00F60E60" w:rsidRPr="00FB76D8">
        <w:rPr>
          <w:rFonts w:ascii="仿宋_GB2312" w:eastAsia="仿宋_GB2312" w:hint="eastAsia"/>
          <w:sz w:val="32"/>
          <w:szCs w:val="32"/>
          <w:u w:val="single"/>
        </w:rPr>
        <w:t>进一</w:t>
      </w:r>
      <w:r w:rsidR="00B45DAF" w:rsidRPr="00FB76D8">
        <w:rPr>
          <w:rFonts w:ascii="仿宋_GB2312" w:eastAsia="仿宋_GB2312" w:hint="eastAsia"/>
          <w:sz w:val="32"/>
          <w:szCs w:val="32"/>
          <w:u w:val="single"/>
        </w:rPr>
        <w:t>步提升</w:t>
      </w:r>
      <w:r w:rsidR="00532FFA">
        <w:rPr>
          <w:rFonts w:ascii="仿宋_GB2312" w:eastAsia="仿宋_GB2312" w:hint="eastAsia"/>
          <w:sz w:val="32"/>
          <w:szCs w:val="32"/>
          <w:u w:val="single"/>
        </w:rPr>
        <w:t>。</w:t>
      </w:r>
    </w:p>
    <w:p w:rsidR="00882124" w:rsidRPr="00FB76D8" w:rsidRDefault="00882124" w:rsidP="00882124">
      <w:pPr>
        <w:pStyle w:val="a6"/>
        <w:spacing w:line="560" w:lineRule="exact"/>
        <w:ind w:firstLine="640"/>
        <w:rPr>
          <w:rFonts w:ascii="仿宋_GB2312" w:eastAsia="仿宋_GB2312"/>
          <w:sz w:val="32"/>
          <w:szCs w:val="32"/>
          <w:u w:val="single"/>
        </w:rPr>
      </w:pPr>
      <w:r w:rsidRPr="00FB76D8">
        <w:rPr>
          <w:rFonts w:ascii="仿宋_GB2312" w:eastAsia="仿宋_GB2312" w:hint="eastAsia"/>
          <w:sz w:val="32"/>
          <w:szCs w:val="32"/>
          <w:u w:val="single"/>
        </w:rPr>
        <w:t>下一年度，政府办将以持续提升服务</w:t>
      </w:r>
      <w:r w:rsidR="00045077" w:rsidRPr="00FB76D8">
        <w:rPr>
          <w:rFonts w:ascii="仿宋_GB2312" w:eastAsia="仿宋_GB2312" w:hint="eastAsia"/>
          <w:sz w:val="32"/>
          <w:szCs w:val="32"/>
          <w:u w:val="single"/>
        </w:rPr>
        <w:t>效能</w:t>
      </w:r>
      <w:r w:rsidRPr="00FB76D8">
        <w:rPr>
          <w:rFonts w:ascii="仿宋_GB2312" w:eastAsia="仿宋_GB2312" w:hint="eastAsia"/>
          <w:sz w:val="32"/>
          <w:szCs w:val="32"/>
          <w:u w:val="single"/>
        </w:rPr>
        <w:t>为重点，着力做好以下工作：一是</w:t>
      </w:r>
      <w:r w:rsidR="0026366A" w:rsidRPr="00FB76D8">
        <w:rPr>
          <w:rFonts w:ascii="仿宋_GB2312" w:eastAsia="仿宋_GB2312" w:hint="eastAsia"/>
          <w:sz w:val="32"/>
          <w:szCs w:val="32"/>
          <w:u w:val="single"/>
        </w:rPr>
        <w:t>充实信息</w:t>
      </w:r>
      <w:r w:rsidR="00C51602">
        <w:rPr>
          <w:rFonts w:ascii="仿宋_GB2312" w:eastAsia="仿宋_GB2312" w:hint="eastAsia"/>
          <w:sz w:val="32"/>
          <w:szCs w:val="32"/>
          <w:u w:val="single"/>
        </w:rPr>
        <w:t>公开</w:t>
      </w:r>
      <w:r w:rsidRPr="00FB76D8">
        <w:rPr>
          <w:rFonts w:ascii="仿宋_GB2312" w:eastAsia="仿宋_GB2312" w:hint="eastAsia"/>
          <w:sz w:val="32"/>
          <w:szCs w:val="32"/>
          <w:u w:val="single"/>
        </w:rPr>
        <w:t>内容，</w:t>
      </w:r>
      <w:r w:rsidR="008F111C" w:rsidRPr="00FB76D8">
        <w:rPr>
          <w:rFonts w:ascii="仿宋_GB2312" w:eastAsia="仿宋_GB2312" w:hint="eastAsia"/>
          <w:sz w:val="32"/>
          <w:szCs w:val="32"/>
          <w:u w:val="single"/>
        </w:rPr>
        <w:t>进一步提高</w:t>
      </w:r>
      <w:r w:rsidR="0026366A" w:rsidRPr="00FB76D8">
        <w:rPr>
          <w:rFonts w:ascii="仿宋_GB2312" w:eastAsia="仿宋_GB2312" w:hint="eastAsia"/>
          <w:sz w:val="32"/>
          <w:szCs w:val="32"/>
          <w:u w:val="single"/>
        </w:rPr>
        <w:t>政务信息公开的质量</w:t>
      </w:r>
      <w:r w:rsidR="00C35BB7">
        <w:rPr>
          <w:rFonts w:ascii="仿宋_GB2312" w:eastAsia="仿宋_GB2312" w:hint="eastAsia"/>
          <w:sz w:val="32"/>
          <w:szCs w:val="32"/>
          <w:u w:val="single"/>
        </w:rPr>
        <w:t>；</w:t>
      </w:r>
      <w:r w:rsidR="0026366A" w:rsidRPr="00FB76D8">
        <w:rPr>
          <w:rFonts w:ascii="仿宋_GB2312" w:eastAsia="仿宋_GB2312" w:hint="eastAsia"/>
          <w:sz w:val="32"/>
          <w:szCs w:val="32"/>
          <w:u w:val="single"/>
        </w:rPr>
        <w:t>二是</w:t>
      </w:r>
      <w:r w:rsidRPr="00FB76D8">
        <w:rPr>
          <w:rFonts w:ascii="仿宋_GB2312" w:eastAsia="仿宋_GB2312" w:hint="eastAsia"/>
          <w:sz w:val="32"/>
          <w:szCs w:val="32"/>
          <w:u w:val="single"/>
        </w:rPr>
        <w:t>加强政务公开管理，</w:t>
      </w:r>
      <w:r w:rsidR="00F112A9" w:rsidRPr="00FB76D8">
        <w:rPr>
          <w:rFonts w:ascii="仿宋_GB2312" w:eastAsia="仿宋_GB2312" w:hint="eastAsia"/>
          <w:sz w:val="32"/>
          <w:szCs w:val="32"/>
          <w:u w:val="single"/>
        </w:rPr>
        <w:t>强化</w:t>
      </w:r>
      <w:bookmarkStart w:id="0" w:name="_GoBack"/>
      <w:bookmarkEnd w:id="0"/>
      <w:r w:rsidR="00C51602">
        <w:rPr>
          <w:rFonts w:ascii="仿宋_GB2312" w:eastAsia="仿宋_GB2312" w:hint="eastAsia"/>
          <w:sz w:val="32"/>
          <w:szCs w:val="32"/>
          <w:u w:val="single"/>
        </w:rPr>
        <w:t>人员</w:t>
      </w:r>
      <w:r w:rsidR="0026366A" w:rsidRPr="00FB76D8">
        <w:rPr>
          <w:rFonts w:ascii="仿宋_GB2312" w:eastAsia="仿宋_GB2312" w:hint="eastAsia"/>
          <w:sz w:val="32"/>
          <w:szCs w:val="32"/>
          <w:u w:val="single"/>
        </w:rPr>
        <w:t>队伍建设</w:t>
      </w:r>
      <w:r w:rsidR="00C4659B">
        <w:rPr>
          <w:rFonts w:ascii="仿宋_GB2312" w:eastAsia="仿宋_GB2312" w:hint="eastAsia"/>
          <w:sz w:val="32"/>
          <w:szCs w:val="32"/>
          <w:u w:val="single"/>
        </w:rPr>
        <w:t>，</w:t>
      </w:r>
      <w:r w:rsidR="00F112A9" w:rsidRPr="00FB76D8">
        <w:rPr>
          <w:rFonts w:ascii="仿宋_GB2312" w:eastAsia="仿宋_GB2312" w:hint="eastAsia"/>
          <w:sz w:val="32"/>
          <w:szCs w:val="32"/>
          <w:u w:val="single"/>
        </w:rPr>
        <w:t>进一步</w:t>
      </w:r>
      <w:r w:rsidR="0026366A" w:rsidRPr="00FB76D8">
        <w:rPr>
          <w:rFonts w:ascii="仿宋_GB2312" w:eastAsia="仿宋_GB2312" w:hint="eastAsia"/>
          <w:sz w:val="32"/>
          <w:szCs w:val="32"/>
          <w:u w:val="single"/>
        </w:rPr>
        <w:t>提升专业化</w:t>
      </w:r>
      <w:r w:rsidR="00045077" w:rsidRPr="00FB76D8">
        <w:rPr>
          <w:rFonts w:ascii="仿宋_GB2312" w:eastAsia="仿宋_GB2312" w:hint="eastAsia"/>
          <w:sz w:val="32"/>
          <w:szCs w:val="32"/>
          <w:u w:val="single"/>
        </w:rPr>
        <w:t>水平</w:t>
      </w:r>
      <w:r w:rsidR="002C3E6B">
        <w:rPr>
          <w:rFonts w:ascii="仿宋_GB2312" w:eastAsia="仿宋_GB2312" w:hint="eastAsia"/>
          <w:sz w:val="32"/>
          <w:szCs w:val="32"/>
          <w:u w:val="single"/>
        </w:rPr>
        <w:t>。</w:t>
      </w:r>
    </w:p>
    <w:p w:rsidR="00016143" w:rsidRDefault="00016143" w:rsidP="00016143">
      <w:pPr>
        <w:pStyle w:val="a6"/>
        <w:spacing w:line="560" w:lineRule="exact"/>
        <w:ind w:firstLine="640"/>
        <w:rPr>
          <w:rFonts w:ascii="黑体" w:eastAsia="黑体" w:hAnsi="黑体"/>
          <w:sz w:val="32"/>
          <w:szCs w:val="32"/>
        </w:rPr>
      </w:pPr>
      <w:r>
        <w:rPr>
          <w:rFonts w:ascii="黑体" w:eastAsia="黑体" w:hAnsi="黑体" w:hint="eastAsia"/>
          <w:sz w:val="32"/>
          <w:szCs w:val="32"/>
        </w:rPr>
        <w:t>六、其他</w:t>
      </w:r>
      <w:r>
        <w:rPr>
          <w:rFonts w:ascii="黑体" w:eastAsia="黑体" w:hAnsi="黑体"/>
          <w:sz w:val="32"/>
          <w:szCs w:val="32"/>
        </w:rPr>
        <w:t>需要报告的事项</w:t>
      </w:r>
    </w:p>
    <w:p w:rsidR="00016143" w:rsidRDefault="00016143" w:rsidP="00016143">
      <w:pPr>
        <w:pStyle w:val="a6"/>
        <w:spacing w:line="560" w:lineRule="exact"/>
        <w:ind w:firstLine="640"/>
        <w:rPr>
          <w:rFonts w:ascii="仿宋_GB2312" w:eastAsia="仿宋_GB2312"/>
          <w:sz w:val="32"/>
          <w:szCs w:val="32"/>
        </w:rPr>
      </w:pPr>
      <w:r w:rsidRPr="00FD428C">
        <w:rPr>
          <w:rFonts w:eastAsia="仿宋_GB2312"/>
          <w:sz w:val="32"/>
          <w:szCs w:val="32"/>
        </w:rPr>
        <w:t>发出收费通知的件数和总金额以及实际收取的总金额均为</w:t>
      </w:r>
      <w:r w:rsidRPr="00FD428C">
        <w:rPr>
          <w:rFonts w:eastAsia="仿宋_GB2312"/>
          <w:sz w:val="32"/>
          <w:szCs w:val="32"/>
        </w:rPr>
        <w:t>0</w:t>
      </w:r>
      <w:r w:rsidRPr="00FD428C">
        <w:rPr>
          <w:rFonts w:eastAsia="仿宋_GB2312"/>
          <w:sz w:val="32"/>
          <w:szCs w:val="32"/>
        </w:rPr>
        <w:t>。本报告</w:t>
      </w:r>
      <w:r>
        <w:rPr>
          <w:rFonts w:ascii="仿宋_GB2312" w:eastAsia="仿宋_GB2312" w:hint="eastAsia"/>
          <w:sz w:val="32"/>
          <w:szCs w:val="32"/>
        </w:rPr>
        <w:t>所列数据的统计期限,自</w:t>
      </w:r>
      <w:r w:rsidR="00EC0CEA">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日起至</w:t>
      </w:r>
      <w:r>
        <w:rPr>
          <w:rFonts w:eastAsia="仿宋_GB2312"/>
          <w:sz w:val="32"/>
          <w:szCs w:val="32"/>
        </w:rPr>
        <w:t>12</w:t>
      </w:r>
      <w:r>
        <w:rPr>
          <w:rFonts w:eastAsia="仿宋_GB2312"/>
          <w:sz w:val="32"/>
          <w:szCs w:val="32"/>
        </w:rPr>
        <w:t>月</w:t>
      </w:r>
      <w:r>
        <w:rPr>
          <w:rFonts w:eastAsia="仿宋_GB2312"/>
          <w:sz w:val="32"/>
          <w:szCs w:val="32"/>
        </w:rPr>
        <w:t>31</w:t>
      </w:r>
      <w:r>
        <w:rPr>
          <w:rFonts w:ascii="仿宋_GB2312" w:eastAsia="仿宋_GB2312" w:hint="eastAsia"/>
          <w:sz w:val="32"/>
          <w:szCs w:val="32"/>
        </w:rPr>
        <w:t>日止。本报告的电子版可登录“朝阳区政府门户网站(“北京·朝阳”)</w:t>
      </w:r>
      <w:r>
        <w:rPr>
          <w:rFonts w:eastAsia="仿宋_GB2312"/>
          <w:sz w:val="32"/>
          <w:szCs w:val="32"/>
        </w:rPr>
        <w:t>http://www.bjchy.gov.cn/</w:t>
      </w:r>
      <w:r>
        <w:rPr>
          <w:rFonts w:ascii="仿宋_GB2312" w:eastAsia="仿宋_GB2312" w:hint="eastAsia"/>
          <w:sz w:val="32"/>
          <w:szCs w:val="32"/>
        </w:rPr>
        <w:t>——</w:t>
      </w:r>
      <w:r w:rsidR="00A51583">
        <w:rPr>
          <w:rFonts w:ascii="仿宋_GB2312" w:eastAsia="仿宋_GB2312" w:hint="eastAsia"/>
          <w:sz w:val="32"/>
          <w:szCs w:val="32"/>
        </w:rPr>
        <w:t>政府信息公开栏目——政府信息公开年报”下载查阅</w:t>
      </w:r>
      <w:r w:rsidR="00792C31">
        <w:rPr>
          <w:rFonts w:ascii="仿宋_GB2312" w:eastAsia="仿宋_GB2312" w:hint="eastAsia"/>
          <w:sz w:val="32"/>
          <w:szCs w:val="32"/>
        </w:rPr>
        <w:t>。</w:t>
      </w:r>
    </w:p>
    <w:p w:rsidR="000D2D5E" w:rsidRPr="00016143" w:rsidRDefault="000D2D5E"/>
    <w:sectPr w:rsidR="000D2D5E" w:rsidRPr="00016143" w:rsidSect="00ED5D0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83" w:rsidRDefault="001E4583" w:rsidP="00A71D0A">
      <w:r>
        <w:separator/>
      </w:r>
    </w:p>
  </w:endnote>
  <w:endnote w:type="continuationSeparator" w:id="0">
    <w:p w:rsidR="001E4583" w:rsidRDefault="001E4583" w:rsidP="00A7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83" w:rsidRDefault="001E4583" w:rsidP="00A71D0A">
      <w:r>
        <w:separator/>
      </w:r>
    </w:p>
  </w:footnote>
  <w:footnote w:type="continuationSeparator" w:id="0">
    <w:p w:rsidR="001E4583" w:rsidRDefault="001E4583" w:rsidP="00A71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5A163"/>
    <w:multiLevelType w:val="multilevel"/>
    <w:tmpl w:val="9BD5A163"/>
    <w:lvl w:ilvl="0">
      <w:start w:val="2"/>
      <w:numFmt w:val="chineseCounting"/>
      <w:suff w:val="nothing"/>
      <w:lvlText w:val="%1、"/>
      <w:lvlJc w:val="left"/>
      <w:pPr>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143"/>
    <w:rsid w:val="00001D3E"/>
    <w:rsid w:val="000072B4"/>
    <w:rsid w:val="0001034D"/>
    <w:rsid w:val="00016143"/>
    <w:rsid w:val="00024209"/>
    <w:rsid w:val="00035DDA"/>
    <w:rsid w:val="00036826"/>
    <w:rsid w:val="00045077"/>
    <w:rsid w:val="00053F61"/>
    <w:rsid w:val="00053FEA"/>
    <w:rsid w:val="00062492"/>
    <w:rsid w:val="0007252C"/>
    <w:rsid w:val="0007548F"/>
    <w:rsid w:val="000A0BAB"/>
    <w:rsid w:val="000C0225"/>
    <w:rsid w:val="000C5C55"/>
    <w:rsid w:val="000D2D5E"/>
    <w:rsid w:val="000D74E0"/>
    <w:rsid w:val="000E4E86"/>
    <w:rsid w:val="0011106C"/>
    <w:rsid w:val="00126499"/>
    <w:rsid w:val="00146D6B"/>
    <w:rsid w:val="001527B7"/>
    <w:rsid w:val="001535EF"/>
    <w:rsid w:val="00174528"/>
    <w:rsid w:val="00195B26"/>
    <w:rsid w:val="001A5C2C"/>
    <w:rsid w:val="001D5FCC"/>
    <w:rsid w:val="001E4583"/>
    <w:rsid w:val="001F001F"/>
    <w:rsid w:val="0025112C"/>
    <w:rsid w:val="00255315"/>
    <w:rsid w:val="00260BD5"/>
    <w:rsid w:val="0026366A"/>
    <w:rsid w:val="00283D13"/>
    <w:rsid w:val="00286704"/>
    <w:rsid w:val="002A2FA1"/>
    <w:rsid w:val="002B3CB3"/>
    <w:rsid w:val="002C0D1F"/>
    <w:rsid w:val="002C3E6B"/>
    <w:rsid w:val="002C4C8B"/>
    <w:rsid w:val="002C4E92"/>
    <w:rsid w:val="002D5627"/>
    <w:rsid w:val="002E50B2"/>
    <w:rsid w:val="002F5423"/>
    <w:rsid w:val="00304B23"/>
    <w:rsid w:val="00316A8B"/>
    <w:rsid w:val="00317174"/>
    <w:rsid w:val="003228A5"/>
    <w:rsid w:val="003400C0"/>
    <w:rsid w:val="00347DFE"/>
    <w:rsid w:val="00350C70"/>
    <w:rsid w:val="00353400"/>
    <w:rsid w:val="003575EA"/>
    <w:rsid w:val="0036188D"/>
    <w:rsid w:val="00363F97"/>
    <w:rsid w:val="003732CC"/>
    <w:rsid w:val="00373795"/>
    <w:rsid w:val="00382341"/>
    <w:rsid w:val="0038665F"/>
    <w:rsid w:val="00395A35"/>
    <w:rsid w:val="003A561F"/>
    <w:rsid w:val="003B2966"/>
    <w:rsid w:val="003B521E"/>
    <w:rsid w:val="003B53EE"/>
    <w:rsid w:val="003C2E7B"/>
    <w:rsid w:val="003D46A2"/>
    <w:rsid w:val="003E28B7"/>
    <w:rsid w:val="003E329A"/>
    <w:rsid w:val="003E4A1F"/>
    <w:rsid w:val="00405684"/>
    <w:rsid w:val="00413C0C"/>
    <w:rsid w:val="004179EB"/>
    <w:rsid w:val="00426678"/>
    <w:rsid w:val="004278EB"/>
    <w:rsid w:val="0044547C"/>
    <w:rsid w:val="00447681"/>
    <w:rsid w:val="004562B6"/>
    <w:rsid w:val="00466829"/>
    <w:rsid w:val="004744CB"/>
    <w:rsid w:val="0049747C"/>
    <w:rsid w:val="004B6EDF"/>
    <w:rsid w:val="004E4261"/>
    <w:rsid w:val="004F3428"/>
    <w:rsid w:val="00516588"/>
    <w:rsid w:val="0052470E"/>
    <w:rsid w:val="00532FFA"/>
    <w:rsid w:val="00556AD9"/>
    <w:rsid w:val="00571ACF"/>
    <w:rsid w:val="00583ED1"/>
    <w:rsid w:val="00594E8F"/>
    <w:rsid w:val="005A642C"/>
    <w:rsid w:val="005C5109"/>
    <w:rsid w:val="005C6783"/>
    <w:rsid w:val="005D0998"/>
    <w:rsid w:val="005D3637"/>
    <w:rsid w:val="005D4186"/>
    <w:rsid w:val="005E0993"/>
    <w:rsid w:val="005F4037"/>
    <w:rsid w:val="005F437C"/>
    <w:rsid w:val="006378D8"/>
    <w:rsid w:val="00657107"/>
    <w:rsid w:val="00665949"/>
    <w:rsid w:val="00667BF1"/>
    <w:rsid w:val="006A0B51"/>
    <w:rsid w:val="006A1FB0"/>
    <w:rsid w:val="006A72B2"/>
    <w:rsid w:val="006B323B"/>
    <w:rsid w:val="006B4AC4"/>
    <w:rsid w:val="006C6937"/>
    <w:rsid w:val="006D4EFD"/>
    <w:rsid w:val="006E0B2B"/>
    <w:rsid w:val="007006D1"/>
    <w:rsid w:val="007073FC"/>
    <w:rsid w:val="0070749F"/>
    <w:rsid w:val="007100F9"/>
    <w:rsid w:val="0071157A"/>
    <w:rsid w:val="00712733"/>
    <w:rsid w:val="00740F16"/>
    <w:rsid w:val="0074157C"/>
    <w:rsid w:val="0074478C"/>
    <w:rsid w:val="00746740"/>
    <w:rsid w:val="0076283A"/>
    <w:rsid w:val="007640D3"/>
    <w:rsid w:val="00775B7F"/>
    <w:rsid w:val="00790799"/>
    <w:rsid w:val="00792C31"/>
    <w:rsid w:val="007A3EBC"/>
    <w:rsid w:val="007B24C4"/>
    <w:rsid w:val="007C76D4"/>
    <w:rsid w:val="007D3D6C"/>
    <w:rsid w:val="007E04A7"/>
    <w:rsid w:val="007E1DE2"/>
    <w:rsid w:val="007F14C4"/>
    <w:rsid w:val="00812ED4"/>
    <w:rsid w:val="0082074E"/>
    <w:rsid w:val="00825ADE"/>
    <w:rsid w:val="00843CB2"/>
    <w:rsid w:val="00863F63"/>
    <w:rsid w:val="008668D1"/>
    <w:rsid w:val="0087792A"/>
    <w:rsid w:val="008812DC"/>
    <w:rsid w:val="00882124"/>
    <w:rsid w:val="00891E3C"/>
    <w:rsid w:val="008D5ED1"/>
    <w:rsid w:val="008E3574"/>
    <w:rsid w:val="008E6FFD"/>
    <w:rsid w:val="008E7F2B"/>
    <w:rsid w:val="008F111C"/>
    <w:rsid w:val="008F2BD7"/>
    <w:rsid w:val="008F2FB8"/>
    <w:rsid w:val="00901525"/>
    <w:rsid w:val="00905CCB"/>
    <w:rsid w:val="009078FF"/>
    <w:rsid w:val="00910B35"/>
    <w:rsid w:val="009116A3"/>
    <w:rsid w:val="009216E4"/>
    <w:rsid w:val="0092728D"/>
    <w:rsid w:val="00935048"/>
    <w:rsid w:val="00952994"/>
    <w:rsid w:val="00955CD2"/>
    <w:rsid w:val="00961A7C"/>
    <w:rsid w:val="00984292"/>
    <w:rsid w:val="009E6096"/>
    <w:rsid w:val="009F7973"/>
    <w:rsid w:val="00A02468"/>
    <w:rsid w:val="00A37567"/>
    <w:rsid w:val="00A51583"/>
    <w:rsid w:val="00A52C56"/>
    <w:rsid w:val="00A71D0A"/>
    <w:rsid w:val="00A73026"/>
    <w:rsid w:val="00A8201F"/>
    <w:rsid w:val="00A8236E"/>
    <w:rsid w:val="00A941A3"/>
    <w:rsid w:val="00A9456C"/>
    <w:rsid w:val="00AA0941"/>
    <w:rsid w:val="00AA1958"/>
    <w:rsid w:val="00AA7370"/>
    <w:rsid w:val="00AB42EA"/>
    <w:rsid w:val="00AC2CE0"/>
    <w:rsid w:val="00AE2480"/>
    <w:rsid w:val="00AF1407"/>
    <w:rsid w:val="00AF1BB5"/>
    <w:rsid w:val="00AF702C"/>
    <w:rsid w:val="00B23E5E"/>
    <w:rsid w:val="00B45DAF"/>
    <w:rsid w:val="00B4744A"/>
    <w:rsid w:val="00B508E2"/>
    <w:rsid w:val="00B525DD"/>
    <w:rsid w:val="00B53377"/>
    <w:rsid w:val="00B6237D"/>
    <w:rsid w:val="00B755DB"/>
    <w:rsid w:val="00BA17AF"/>
    <w:rsid w:val="00BA53DE"/>
    <w:rsid w:val="00BB5220"/>
    <w:rsid w:val="00BD560A"/>
    <w:rsid w:val="00BE106B"/>
    <w:rsid w:val="00BE466A"/>
    <w:rsid w:val="00BF0EC7"/>
    <w:rsid w:val="00C1183C"/>
    <w:rsid w:val="00C26BF3"/>
    <w:rsid w:val="00C32A78"/>
    <w:rsid w:val="00C35BB7"/>
    <w:rsid w:val="00C43FE7"/>
    <w:rsid w:val="00C4659B"/>
    <w:rsid w:val="00C46601"/>
    <w:rsid w:val="00C51602"/>
    <w:rsid w:val="00C53F82"/>
    <w:rsid w:val="00C94C14"/>
    <w:rsid w:val="00C95B2C"/>
    <w:rsid w:val="00CA3813"/>
    <w:rsid w:val="00CD0EF3"/>
    <w:rsid w:val="00CD4900"/>
    <w:rsid w:val="00CF174D"/>
    <w:rsid w:val="00CF3D5F"/>
    <w:rsid w:val="00D03BAE"/>
    <w:rsid w:val="00D1152C"/>
    <w:rsid w:val="00D11BAD"/>
    <w:rsid w:val="00D210CF"/>
    <w:rsid w:val="00D25DD4"/>
    <w:rsid w:val="00D3042A"/>
    <w:rsid w:val="00D46C94"/>
    <w:rsid w:val="00D533FA"/>
    <w:rsid w:val="00D72127"/>
    <w:rsid w:val="00D74F63"/>
    <w:rsid w:val="00D810CA"/>
    <w:rsid w:val="00D82C4C"/>
    <w:rsid w:val="00D90143"/>
    <w:rsid w:val="00D91F58"/>
    <w:rsid w:val="00DA10E1"/>
    <w:rsid w:val="00DA1D45"/>
    <w:rsid w:val="00DB62F6"/>
    <w:rsid w:val="00DD3A94"/>
    <w:rsid w:val="00DD594C"/>
    <w:rsid w:val="00DF00B7"/>
    <w:rsid w:val="00DF09FA"/>
    <w:rsid w:val="00DF4237"/>
    <w:rsid w:val="00DF7078"/>
    <w:rsid w:val="00E137DD"/>
    <w:rsid w:val="00E16D58"/>
    <w:rsid w:val="00E42983"/>
    <w:rsid w:val="00E45FE5"/>
    <w:rsid w:val="00EA1F4F"/>
    <w:rsid w:val="00EA3222"/>
    <w:rsid w:val="00EA5B87"/>
    <w:rsid w:val="00EA658C"/>
    <w:rsid w:val="00EC0CEA"/>
    <w:rsid w:val="00ED03D2"/>
    <w:rsid w:val="00ED0CFC"/>
    <w:rsid w:val="00ED2354"/>
    <w:rsid w:val="00ED5C83"/>
    <w:rsid w:val="00ED5D0F"/>
    <w:rsid w:val="00EE6513"/>
    <w:rsid w:val="00EE6AF5"/>
    <w:rsid w:val="00EF61B6"/>
    <w:rsid w:val="00F06E93"/>
    <w:rsid w:val="00F112A9"/>
    <w:rsid w:val="00F15634"/>
    <w:rsid w:val="00F211FC"/>
    <w:rsid w:val="00F21A08"/>
    <w:rsid w:val="00F32AEC"/>
    <w:rsid w:val="00F365D7"/>
    <w:rsid w:val="00F40DED"/>
    <w:rsid w:val="00F60E60"/>
    <w:rsid w:val="00F62D24"/>
    <w:rsid w:val="00F675D6"/>
    <w:rsid w:val="00F75724"/>
    <w:rsid w:val="00F80D33"/>
    <w:rsid w:val="00F94A22"/>
    <w:rsid w:val="00F97DDD"/>
    <w:rsid w:val="00FA76DD"/>
    <w:rsid w:val="00FB76D8"/>
    <w:rsid w:val="00FC663E"/>
    <w:rsid w:val="00FD7448"/>
    <w:rsid w:val="00FE1147"/>
    <w:rsid w:val="00FE4BB8"/>
    <w:rsid w:val="00FE593E"/>
    <w:rsid w:val="00FE6DBB"/>
    <w:rsid w:val="00FE7A42"/>
    <w:rsid w:val="00FF5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4BA2403"/>
  <w15:docId w15:val="{BF23EE63-482C-4C9A-B656-389E610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4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6143"/>
    <w:rPr>
      <w:rFonts w:ascii="宋体" w:hAnsi="Courier New" w:hint="eastAsia"/>
      <w:szCs w:val="21"/>
    </w:rPr>
  </w:style>
  <w:style w:type="character" w:customStyle="1" w:styleId="a4">
    <w:name w:val="纯文本 字符"/>
    <w:basedOn w:val="a0"/>
    <w:link w:val="a3"/>
    <w:rsid w:val="00016143"/>
    <w:rPr>
      <w:rFonts w:ascii="宋体" w:eastAsia="宋体" w:hAnsi="Courier New" w:cs="Times New Roman"/>
      <w:szCs w:val="21"/>
    </w:rPr>
  </w:style>
  <w:style w:type="paragraph" w:styleId="a5">
    <w:name w:val="Normal (Web)"/>
    <w:basedOn w:val="a"/>
    <w:uiPriority w:val="99"/>
    <w:rsid w:val="00016143"/>
    <w:pPr>
      <w:spacing w:beforeAutospacing="1" w:afterAutospacing="1"/>
      <w:jc w:val="left"/>
    </w:pPr>
    <w:rPr>
      <w:rFonts w:ascii="Calibri" w:hAnsi="Calibri"/>
      <w:kern w:val="0"/>
      <w:sz w:val="24"/>
      <w:szCs w:val="24"/>
    </w:rPr>
  </w:style>
  <w:style w:type="paragraph" w:styleId="a6">
    <w:name w:val="List Paragraph"/>
    <w:basedOn w:val="a"/>
    <w:uiPriority w:val="34"/>
    <w:qFormat/>
    <w:rsid w:val="00016143"/>
    <w:pPr>
      <w:ind w:firstLineChars="200" w:firstLine="420"/>
    </w:pPr>
  </w:style>
  <w:style w:type="paragraph" w:styleId="a7">
    <w:name w:val="header"/>
    <w:basedOn w:val="a"/>
    <w:link w:val="a8"/>
    <w:uiPriority w:val="99"/>
    <w:unhideWhenUsed/>
    <w:rsid w:val="00A71D0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71D0A"/>
    <w:rPr>
      <w:rFonts w:ascii="Times New Roman" w:eastAsia="宋体" w:hAnsi="Times New Roman" w:cs="Times New Roman"/>
      <w:sz w:val="18"/>
      <w:szCs w:val="18"/>
    </w:rPr>
  </w:style>
  <w:style w:type="paragraph" w:styleId="a9">
    <w:name w:val="footer"/>
    <w:basedOn w:val="a"/>
    <w:link w:val="aa"/>
    <w:uiPriority w:val="99"/>
    <w:unhideWhenUsed/>
    <w:rsid w:val="00A71D0A"/>
    <w:pPr>
      <w:tabs>
        <w:tab w:val="center" w:pos="4153"/>
        <w:tab w:val="right" w:pos="8306"/>
      </w:tabs>
      <w:snapToGrid w:val="0"/>
      <w:jc w:val="left"/>
    </w:pPr>
    <w:rPr>
      <w:sz w:val="18"/>
      <w:szCs w:val="18"/>
    </w:rPr>
  </w:style>
  <w:style w:type="character" w:customStyle="1" w:styleId="aa">
    <w:name w:val="页脚 字符"/>
    <w:basedOn w:val="a0"/>
    <w:link w:val="a9"/>
    <w:uiPriority w:val="99"/>
    <w:rsid w:val="00A71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8068">
      <w:bodyDiv w:val="1"/>
      <w:marLeft w:val="0"/>
      <w:marRight w:val="0"/>
      <w:marTop w:val="0"/>
      <w:marBottom w:val="0"/>
      <w:divBdr>
        <w:top w:val="none" w:sz="0" w:space="0" w:color="auto"/>
        <w:left w:val="none" w:sz="0" w:space="0" w:color="auto"/>
        <w:bottom w:val="none" w:sz="0" w:space="0" w:color="auto"/>
        <w:right w:val="none" w:sz="0" w:space="0" w:color="auto"/>
      </w:divBdr>
      <w:divsChild>
        <w:div w:id="49504140">
          <w:marLeft w:val="0"/>
          <w:marRight w:val="0"/>
          <w:marTop w:val="0"/>
          <w:marBottom w:val="0"/>
          <w:divBdr>
            <w:top w:val="none" w:sz="0" w:space="0" w:color="auto"/>
            <w:left w:val="none" w:sz="0" w:space="0" w:color="auto"/>
            <w:bottom w:val="none" w:sz="0" w:space="0" w:color="auto"/>
            <w:right w:val="none" w:sz="0" w:space="0" w:color="auto"/>
          </w:divBdr>
          <w:divsChild>
            <w:div w:id="2046562639">
              <w:marLeft w:val="0"/>
              <w:marRight w:val="0"/>
              <w:marTop w:val="0"/>
              <w:marBottom w:val="0"/>
              <w:divBdr>
                <w:top w:val="none" w:sz="0" w:space="0" w:color="auto"/>
                <w:left w:val="none" w:sz="0" w:space="0" w:color="auto"/>
                <w:bottom w:val="none" w:sz="0" w:space="0" w:color="auto"/>
                <w:right w:val="none" w:sz="0" w:space="0" w:color="auto"/>
              </w:divBdr>
              <w:divsChild>
                <w:div w:id="1459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2782">
      <w:bodyDiv w:val="1"/>
      <w:marLeft w:val="0"/>
      <w:marRight w:val="0"/>
      <w:marTop w:val="0"/>
      <w:marBottom w:val="0"/>
      <w:divBdr>
        <w:top w:val="none" w:sz="0" w:space="0" w:color="auto"/>
        <w:left w:val="none" w:sz="0" w:space="0" w:color="auto"/>
        <w:bottom w:val="none" w:sz="0" w:space="0" w:color="auto"/>
        <w:right w:val="none" w:sz="0" w:space="0" w:color="auto"/>
      </w:divBdr>
      <w:divsChild>
        <w:div w:id="2139103114">
          <w:marLeft w:val="0"/>
          <w:marRight w:val="0"/>
          <w:marTop w:val="0"/>
          <w:marBottom w:val="0"/>
          <w:divBdr>
            <w:top w:val="none" w:sz="0" w:space="0" w:color="auto"/>
            <w:left w:val="none" w:sz="0" w:space="0" w:color="auto"/>
            <w:bottom w:val="none" w:sz="0" w:space="0" w:color="auto"/>
            <w:right w:val="none" w:sz="0" w:space="0" w:color="auto"/>
          </w:divBdr>
          <w:divsChild>
            <w:div w:id="1449859727">
              <w:marLeft w:val="0"/>
              <w:marRight w:val="0"/>
              <w:marTop w:val="0"/>
              <w:marBottom w:val="0"/>
              <w:divBdr>
                <w:top w:val="none" w:sz="0" w:space="0" w:color="auto"/>
                <w:left w:val="none" w:sz="0" w:space="0" w:color="auto"/>
                <w:bottom w:val="none" w:sz="0" w:space="0" w:color="auto"/>
                <w:right w:val="none" w:sz="0" w:space="0" w:color="auto"/>
              </w:divBdr>
              <w:divsChild>
                <w:div w:id="2546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365</Words>
  <Characters>2084</Characters>
  <Application>Microsoft Office Word</Application>
  <DocSecurity>0</DocSecurity>
  <Lines>17</Lines>
  <Paragraphs>4</Paragraphs>
  <ScaleCrop>false</ScaleCrop>
  <Company>lenovo</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政府办文书科</dc:creator>
  <cp:lastModifiedBy>user</cp:lastModifiedBy>
  <cp:revision>3</cp:revision>
  <dcterms:created xsi:type="dcterms:W3CDTF">2023-02-24T09:33:00Z</dcterms:created>
  <dcterms:modified xsi:type="dcterms:W3CDTF">2023-03-06T06:53:00Z</dcterms:modified>
</cp:coreProperties>
</file>