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疫苗补助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71FC2">
              <w:rPr>
                <w:rFonts w:ascii="宋体" w:hAnsi="宋体" w:cs="宋体"/>
                <w:kern w:val="0"/>
                <w:sz w:val="20"/>
                <w:szCs w:val="20"/>
              </w:rPr>
              <w:t>闫长征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5E9D">
              <w:rPr>
                <w:rFonts w:ascii="宋体" w:hAnsi="宋体" w:cs="宋体" w:hint="eastAsia"/>
                <w:kern w:val="0"/>
                <w:sz w:val="20"/>
                <w:szCs w:val="20"/>
              </w:rPr>
              <w:t>18519066578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1991.06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1991.06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1991.06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713261" w:rsidP="0071326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1991.06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EF5" w:rsidRPr="00B71FC2" w:rsidRDefault="003D1EF5" w:rsidP="003D1EF5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目标1：完成各街乡接种点运行保障；</w:t>
            </w:r>
          </w:p>
          <w:p w:rsidR="00090631" w:rsidRPr="00D80B21" w:rsidRDefault="003D1EF5" w:rsidP="003D1EF5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目标2：完成各街乡全人群疫苗分批次接种工作。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80B2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51631" w:rsidTr="00DC2643">
        <w:trPr>
          <w:trHeight w:hRule="exact" w:val="23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第一针</w:t>
            </w:r>
            <w:r>
              <w:t>275268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第一针</w:t>
            </w:r>
            <w:r>
              <w:t>275268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8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第二针</w:t>
            </w:r>
            <w:r>
              <w:t>210430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第二针</w:t>
            </w:r>
            <w:r>
              <w:t>210430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9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第三针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第三针</w:t>
            </w:r>
            <w:r>
              <w:t>1503543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第三针</w:t>
            </w:r>
            <w:r>
              <w:t>1503543</w:t>
            </w:r>
            <w:r w:rsidRPr="00DC5E9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剂次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1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场地布设、人员配备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符合卫健疾控部门和区专班相关标准。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19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全人群分批次接种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月31日前全区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 w:rsidRPr="00B71FC2">
              <w:rPr>
                <w:rFonts w:ascii="宋体" w:hAnsi="宋体" w:cs="宋体"/>
                <w:kern w:val="0"/>
                <w:sz w:val="20"/>
                <w:szCs w:val="20"/>
              </w:rPr>
              <w:t>岁以上人群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接种率达80%。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14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DC2643">
        <w:trPr>
          <w:trHeight w:hRule="exact" w:val="9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控制在</w:t>
            </w:r>
            <w:r>
              <w:t>1991.06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1991.06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751631">
        <w:trPr>
          <w:trHeight w:hRule="exact" w:val="1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降低新冠病毒传播，形成区域免疫屏障。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DC5E9D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B71FC2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B71FC2" w:rsidRDefault="00751631" w:rsidP="00751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71FC2"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1631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Pr="00C86115" w:rsidRDefault="00751631" w:rsidP="00751631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631" w:rsidRDefault="00751631" w:rsidP="00751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80B2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6841C0" w:rsidP="00D80B2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lastRenderedPageBreak/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3F9" w:rsidRDefault="009053F9" w:rsidP="00EC6FB7">
      <w:r>
        <w:separator/>
      </w:r>
    </w:p>
  </w:endnote>
  <w:endnote w:type="continuationSeparator" w:id="0">
    <w:p w:rsidR="009053F9" w:rsidRDefault="009053F9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3F9" w:rsidRDefault="009053F9" w:rsidP="00EC6FB7">
      <w:r>
        <w:separator/>
      </w:r>
    </w:p>
  </w:footnote>
  <w:footnote w:type="continuationSeparator" w:id="0">
    <w:p w:rsidR="009053F9" w:rsidRDefault="009053F9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44E2"/>
    <w:rsid w:val="00185A58"/>
    <w:rsid w:val="001A49C4"/>
    <w:rsid w:val="001B4CE8"/>
    <w:rsid w:val="001B74E3"/>
    <w:rsid w:val="001E5FD4"/>
    <w:rsid w:val="001F46BB"/>
    <w:rsid w:val="002128C5"/>
    <w:rsid w:val="00233941"/>
    <w:rsid w:val="002620C7"/>
    <w:rsid w:val="00275EE6"/>
    <w:rsid w:val="00284DBB"/>
    <w:rsid w:val="0028641A"/>
    <w:rsid w:val="002C30AD"/>
    <w:rsid w:val="002C3EE8"/>
    <w:rsid w:val="002C6350"/>
    <w:rsid w:val="002C7216"/>
    <w:rsid w:val="003331AC"/>
    <w:rsid w:val="003331D0"/>
    <w:rsid w:val="00367AE6"/>
    <w:rsid w:val="00393E47"/>
    <w:rsid w:val="003966B6"/>
    <w:rsid w:val="003A56F5"/>
    <w:rsid w:val="003B3305"/>
    <w:rsid w:val="003B7516"/>
    <w:rsid w:val="003D0D38"/>
    <w:rsid w:val="003D1EF5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A7197"/>
    <w:rsid w:val="006C6289"/>
    <w:rsid w:val="006C7A52"/>
    <w:rsid w:val="007033FE"/>
    <w:rsid w:val="00713261"/>
    <w:rsid w:val="00751631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5F0F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053F9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2567D"/>
    <w:rsid w:val="00B421E0"/>
    <w:rsid w:val="00B441C9"/>
    <w:rsid w:val="00B53C47"/>
    <w:rsid w:val="00B5416B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C2643"/>
    <w:rsid w:val="00DE5F9B"/>
    <w:rsid w:val="00E04D6E"/>
    <w:rsid w:val="00E15B86"/>
    <w:rsid w:val="00E63A10"/>
    <w:rsid w:val="00E70E01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271</Words>
  <Characters>1551</Characters>
  <Application>Microsoft Office Word</Application>
  <DocSecurity>0</DocSecurity>
  <Lines>12</Lines>
  <Paragraphs>3</Paragraphs>
  <ScaleCrop>false</ScaleCrop>
  <Company>China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5</cp:revision>
  <cp:lastPrinted>2022-01-05T07:56:00Z</cp:lastPrinted>
  <dcterms:created xsi:type="dcterms:W3CDTF">2022-01-13T09:00:00Z</dcterms:created>
  <dcterms:modified xsi:type="dcterms:W3CDTF">2022-01-13T09:19:00Z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