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2023年1-</w:t>
      </w:r>
      <w:r>
        <w:rPr>
          <w:rFonts w:hint="eastAsia" w:asciiTheme="minorEastAsia" w:hAnsiTheme="minorEastAsia" w:eastAsiaTheme="minorEastAsia"/>
          <w:b/>
          <w:bCs/>
          <w:spacing w:val="15"/>
          <w:sz w:val="44"/>
          <w:szCs w:val="44"/>
          <w:lang w:val="en-US" w:eastAsia="zh-CN"/>
        </w:rPr>
        <w:t>3</w:t>
      </w:r>
      <w:r>
        <w:rPr>
          <w:rFonts w:hint="eastAsia" w:asciiTheme="minorEastAsia" w:hAnsiTheme="minorEastAsia" w:eastAsiaTheme="minorEastAsia"/>
          <w:b/>
          <w:bCs/>
          <w:spacing w:val="15"/>
          <w:sz w:val="44"/>
          <w:szCs w:val="44"/>
        </w:rPr>
        <w:t>月朝阳区固定资产投资</w:t>
      </w:r>
    </w:p>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（不含农户）同比增长</w:t>
      </w:r>
      <w:r>
        <w:rPr>
          <w:rFonts w:hint="eastAsia" w:asciiTheme="minorEastAsia" w:hAnsiTheme="minorEastAsia" w:eastAsiaTheme="minorEastAsia"/>
          <w:b/>
          <w:bCs/>
          <w:spacing w:val="15"/>
          <w:sz w:val="44"/>
          <w:szCs w:val="44"/>
          <w:lang w:val="en-US" w:eastAsia="zh-CN"/>
        </w:rPr>
        <w:t>11.8</w:t>
      </w:r>
      <w:r>
        <w:rPr>
          <w:rFonts w:hint="eastAsia" w:asciiTheme="minorEastAsia" w:hAnsiTheme="minorEastAsia" w:eastAsiaTheme="minorEastAsia"/>
          <w:b/>
          <w:bCs/>
          <w:spacing w:val="15"/>
          <w:sz w:val="44"/>
          <w:szCs w:val="44"/>
        </w:rPr>
        <w:t>%</w:t>
      </w:r>
    </w:p>
    <w:p>
      <w:pPr>
        <w:widowControl/>
        <w:spacing w:line="480" w:lineRule="auto"/>
        <w:ind w:firstLine="620" w:firstLineChars="200"/>
        <w:rPr>
          <w:rFonts w:asciiTheme="minorEastAsia" w:hAnsiTheme="minorEastAsia" w:eastAsiaTheme="minorEastAsia"/>
          <w:bCs/>
          <w:spacing w:val="15"/>
          <w:sz w:val="28"/>
          <w:szCs w:val="28"/>
        </w:rPr>
      </w:pPr>
    </w:p>
    <w:p>
      <w:pPr>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2023年1-</w:t>
      </w:r>
      <w:r>
        <w:rPr>
          <w:rFonts w:hint="eastAsia" w:cs="宋体" w:asciiTheme="minorEastAsia" w:hAnsiTheme="minorEastAsia" w:eastAsiaTheme="minorEastAsia"/>
          <w:kern w:val="0"/>
          <w:sz w:val="28"/>
          <w:szCs w:val="28"/>
          <w:lang w:val="en-US" w:eastAsia="zh-CN"/>
        </w:rPr>
        <w:t>3</w:t>
      </w:r>
      <w:r>
        <w:rPr>
          <w:rFonts w:hint="eastAsia" w:cs="宋体" w:asciiTheme="minorEastAsia" w:hAnsiTheme="minorEastAsia" w:eastAsiaTheme="minorEastAsia"/>
          <w:kern w:val="0"/>
          <w:sz w:val="28"/>
          <w:szCs w:val="28"/>
        </w:rPr>
        <w:t>月，朝阳区固定资产投资（不含农户）同比增长</w:t>
      </w:r>
      <w:r>
        <w:rPr>
          <w:rFonts w:hint="eastAsia" w:cs="宋体" w:asciiTheme="minorEastAsia" w:hAnsiTheme="minorEastAsia" w:eastAsiaTheme="minorEastAsia"/>
          <w:kern w:val="0"/>
          <w:sz w:val="28"/>
          <w:szCs w:val="28"/>
          <w:lang w:val="en-US" w:eastAsia="zh-CN"/>
        </w:rPr>
        <w:t>11.8</w:t>
      </w:r>
      <w:r>
        <w:rPr>
          <w:rFonts w:hint="eastAsia" w:cs="宋体" w:asciiTheme="minorEastAsia" w:hAnsiTheme="minorEastAsia" w:eastAsiaTheme="minorEastAsia"/>
          <w:kern w:val="0"/>
          <w:sz w:val="28"/>
          <w:szCs w:val="28"/>
        </w:rPr>
        <w:t>%,其中，房地产开发投资同比增长</w:t>
      </w:r>
      <w:r>
        <w:rPr>
          <w:rFonts w:hint="eastAsia" w:cs="宋体" w:asciiTheme="minorEastAsia" w:hAnsiTheme="minorEastAsia" w:eastAsiaTheme="minorEastAsia"/>
          <w:kern w:val="0"/>
          <w:sz w:val="28"/>
          <w:szCs w:val="28"/>
          <w:lang w:val="en-US" w:eastAsia="zh-CN"/>
        </w:rPr>
        <w:t>92.5</w:t>
      </w:r>
      <w:r>
        <w:rPr>
          <w:rFonts w:hint="eastAsia" w:cs="宋体" w:asciiTheme="minorEastAsia" w:hAnsiTheme="minorEastAsia" w:eastAsiaTheme="minorEastAsia"/>
          <w:kern w:val="0"/>
          <w:sz w:val="28"/>
          <w:szCs w:val="28"/>
        </w:rPr>
        <w:t>%。</w:t>
      </w:r>
    </w:p>
    <w:p>
      <w:pPr>
        <w:widowControl/>
        <w:spacing w:line="480" w:lineRule="auto"/>
        <w:ind w:firstLine="560" w:firstLineChars="200"/>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lang w:val="en-US" w:eastAsia="zh-CN"/>
        </w:rPr>
        <w:t>3</w:t>
      </w:r>
      <w:r>
        <w:rPr>
          <w:rFonts w:hint="eastAsia" w:cs="宋体" w:asciiTheme="minorEastAsia" w:hAnsiTheme="minorEastAsia" w:eastAsiaTheme="minorEastAsia"/>
          <w:kern w:val="0"/>
          <w:sz w:val="28"/>
          <w:szCs w:val="28"/>
        </w:rPr>
        <w:t>月，朝阳区建安投资同比下降</w:t>
      </w:r>
      <w:r>
        <w:rPr>
          <w:rFonts w:hint="eastAsia" w:cs="宋体" w:asciiTheme="minorEastAsia" w:hAnsiTheme="minorEastAsia" w:eastAsiaTheme="minorEastAsia"/>
          <w:kern w:val="0"/>
          <w:sz w:val="28"/>
          <w:szCs w:val="28"/>
          <w:lang w:val="en-US" w:eastAsia="zh-CN"/>
        </w:rPr>
        <w:t>6.7</w:t>
      </w:r>
      <w:r>
        <w:rPr>
          <w:rFonts w:hint="eastAsia"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lang w:eastAsia="zh-CN"/>
        </w:rPr>
        <w:t>，</w:t>
      </w:r>
      <w:r>
        <w:rPr>
          <w:rFonts w:hint="eastAsia" w:cs="宋体" w:asciiTheme="minorEastAsia" w:hAnsiTheme="minorEastAsia" w:eastAsiaTheme="minorEastAsia"/>
          <w:kern w:val="0"/>
          <w:sz w:val="28"/>
          <w:szCs w:val="28"/>
          <w:lang w:val="en-US" w:eastAsia="zh-CN"/>
        </w:rPr>
        <w:t>增速较1-2月提升38.4个百分点。</w:t>
      </w:r>
    </w:p>
    <w:p>
      <w:pPr>
        <w:widowControl/>
        <w:spacing w:line="480" w:lineRule="auto"/>
        <w:ind w:firstLine="560" w:firstLineChars="200"/>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lang w:val="en-US" w:eastAsia="zh-CN"/>
        </w:rPr>
        <w:t>3</w:t>
      </w:r>
      <w:r>
        <w:rPr>
          <w:rFonts w:hint="eastAsia" w:cs="宋体" w:asciiTheme="minorEastAsia" w:hAnsiTheme="minorEastAsia" w:eastAsiaTheme="minorEastAsia"/>
          <w:kern w:val="0"/>
          <w:sz w:val="28"/>
          <w:szCs w:val="28"/>
        </w:rPr>
        <w:t>月，朝阳区民间固定资产投资同比增长</w:t>
      </w:r>
      <w:r>
        <w:rPr>
          <w:rFonts w:hint="eastAsia" w:cs="宋体" w:asciiTheme="minorEastAsia" w:hAnsiTheme="minorEastAsia" w:eastAsiaTheme="minorEastAsia"/>
          <w:kern w:val="0"/>
          <w:sz w:val="28"/>
          <w:szCs w:val="28"/>
          <w:lang w:val="en-US" w:eastAsia="zh-CN"/>
        </w:rPr>
        <w:t>60.2</w:t>
      </w:r>
      <w:r>
        <w:rPr>
          <w:rFonts w:hint="eastAsia"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lang w:val="en-US" w:eastAsia="zh-CN"/>
        </w:rPr>
        <w:t>，增速较1-2月提升42.7个百分点。</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图　</w:t>
      </w:r>
      <w:r>
        <w:rPr>
          <w:rFonts w:hint="eastAsia" w:ascii="宋体" w:hAnsi="宋体" w:cs="宋体"/>
          <w:b/>
          <w:bCs/>
          <w:kern w:val="0"/>
          <w:sz w:val="28"/>
          <w:szCs w:val="28"/>
          <w:lang w:val="en-US" w:eastAsia="zh-CN"/>
        </w:rPr>
        <w:t>2022年1-2月至</w:t>
      </w:r>
      <w:r>
        <w:rPr>
          <w:rFonts w:hint="eastAsia" w:ascii="宋体" w:hAnsi="宋体" w:cs="宋体"/>
          <w:b/>
          <w:bCs/>
          <w:kern w:val="0"/>
          <w:sz w:val="28"/>
          <w:szCs w:val="28"/>
        </w:rPr>
        <w:t>2023年</w:t>
      </w:r>
      <w:r>
        <w:rPr>
          <w:rFonts w:hint="eastAsia" w:ascii="宋体" w:hAnsi="宋体" w:cs="宋体"/>
          <w:b/>
          <w:bCs/>
          <w:kern w:val="0"/>
          <w:sz w:val="28"/>
          <w:szCs w:val="28"/>
          <w:lang w:val="en-US" w:eastAsia="zh-CN"/>
        </w:rPr>
        <w:t>1-3</w:t>
      </w:r>
      <w:r>
        <w:rPr>
          <w:rFonts w:hint="eastAsia" w:ascii="宋体" w:hAnsi="宋体" w:cs="宋体"/>
          <w:b/>
          <w:bCs/>
          <w:kern w:val="0"/>
          <w:sz w:val="28"/>
          <w:szCs w:val="28"/>
        </w:rPr>
        <w:t>月朝阳区固定资产投资（不含农户）增速情况</w:t>
      </w:r>
    </w:p>
    <w:p>
      <w:pPr>
        <w:widowControl/>
        <w:spacing w:line="300" w:lineRule="atLeast"/>
        <w:jc w:val="right"/>
        <w:rPr>
          <w:rFonts w:ascii="宋体" w:hAnsi="宋体" w:cs="宋体"/>
          <w:kern w:val="0"/>
          <w:szCs w:val="21"/>
        </w:rPr>
      </w:pPr>
      <w:r>
        <w:rPr>
          <w:rFonts w:hint="eastAsia" w:ascii="宋体" w:hAnsi="宋体" w:cs="宋体"/>
          <w:kern w:val="0"/>
          <w:szCs w:val="21"/>
        </w:rPr>
        <w:t>单位：%</w:t>
      </w:r>
    </w:p>
    <w:p>
      <w:pPr>
        <w:widowControl/>
        <w:spacing w:line="300" w:lineRule="atLeast"/>
      </w:pPr>
      <w:r>
        <w:drawing>
          <wp:inline distT="0" distB="0" distL="114300" distR="114300">
            <wp:extent cx="5268595" cy="3030220"/>
            <wp:effectExtent l="0" t="0" r="4445" b="2540"/>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480" w:lineRule="auto"/>
        <w:ind w:firstLine="562" w:firstLineChars="200"/>
        <w:rPr>
          <w:rFonts w:hint="eastAsia" w:ascii="宋体" w:hAnsi="宋体" w:cs="宋体"/>
          <w:b/>
          <w:bCs/>
          <w:kern w:val="0"/>
          <w:sz w:val="28"/>
          <w:szCs w:val="28"/>
        </w:rPr>
      </w:pPr>
    </w:p>
    <w:p>
      <w:pPr>
        <w:spacing w:line="480" w:lineRule="auto"/>
        <w:rPr>
          <w:rFonts w:hint="eastAsia" w:ascii="宋体" w:hAnsi="宋体" w:cs="宋体"/>
          <w:b/>
          <w:bCs/>
          <w:kern w:val="0"/>
          <w:sz w:val="28"/>
          <w:szCs w:val="28"/>
        </w:rPr>
      </w:pPr>
      <w:bookmarkStart w:id="0" w:name="_GoBack"/>
      <w:bookmarkEnd w:id="0"/>
    </w:p>
    <w:p>
      <w:pPr>
        <w:spacing w:line="480" w:lineRule="auto"/>
        <w:rPr>
          <w:rFonts w:hint="eastAsia" w:ascii="宋体" w:hAnsi="宋体" w:cs="宋体"/>
          <w:b/>
          <w:bCs/>
          <w:kern w:val="0"/>
          <w:sz w:val="28"/>
          <w:szCs w:val="28"/>
        </w:rPr>
      </w:pPr>
    </w:p>
    <w:p>
      <w:pPr>
        <w:spacing w:line="480" w:lineRule="auto"/>
        <w:ind w:firstLine="562" w:firstLineChars="200"/>
        <w:rPr>
          <w:rFonts w:ascii="宋体" w:hAnsi="宋体" w:cs="宋体"/>
          <w:b/>
          <w:bCs/>
          <w:kern w:val="0"/>
          <w:szCs w:val="21"/>
        </w:rPr>
      </w:pPr>
      <w:r>
        <w:rPr>
          <w:rFonts w:hint="eastAsia" w:ascii="宋体" w:hAnsi="宋体" w:cs="宋体"/>
          <w:b/>
          <w:bCs/>
          <w:kern w:val="0"/>
          <w:sz w:val="28"/>
          <w:szCs w:val="28"/>
        </w:rPr>
        <w:t>附注：</w:t>
      </w:r>
    </w:p>
    <w:p>
      <w:pPr>
        <w:spacing w:line="480" w:lineRule="auto"/>
        <w:ind w:firstLine="562" w:firstLineChars="200"/>
        <w:rPr>
          <w:rFonts w:ascii="宋体" w:hAnsi="宋体"/>
          <w:b/>
          <w:bCs/>
          <w:sz w:val="28"/>
          <w:szCs w:val="28"/>
        </w:rPr>
      </w:pPr>
      <w:r>
        <w:rPr>
          <w:rFonts w:hint="eastAsia" w:ascii="宋体" w:hAnsi="宋体"/>
          <w:b/>
          <w:bCs/>
          <w:sz w:val="28"/>
          <w:szCs w:val="28"/>
        </w:rPr>
        <w:t>一、统计范围</w:t>
      </w:r>
    </w:p>
    <w:p>
      <w:pPr>
        <w:spacing w:line="480" w:lineRule="auto"/>
        <w:ind w:firstLine="560" w:firstLineChars="200"/>
        <w:rPr>
          <w:rFonts w:ascii="宋体" w:hAnsi="宋体"/>
          <w:sz w:val="28"/>
          <w:szCs w:val="28"/>
        </w:rPr>
      </w:pPr>
      <w:r>
        <w:rPr>
          <w:rFonts w:hint="eastAsia" w:ascii="宋体" w:hAnsi="宋体"/>
          <w:sz w:val="28"/>
          <w:szCs w:val="28"/>
        </w:rPr>
        <w:t>计划总投资500万元及以上固定资产投资项目的各种登记注册类型的单位及个体经营户、辖区内有开发经营活动的全部房地产开发经营业法人单位、有固定资产投资的农村非住户。</w:t>
      </w:r>
    </w:p>
    <w:p>
      <w:pPr>
        <w:spacing w:line="480" w:lineRule="auto"/>
        <w:ind w:firstLine="562" w:firstLineChars="200"/>
        <w:rPr>
          <w:rFonts w:ascii="宋体" w:hAnsi="宋体"/>
          <w:sz w:val="28"/>
          <w:szCs w:val="28"/>
        </w:rPr>
      </w:pPr>
      <w:r>
        <w:rPr>
          <w:rFonts w:hint="eastAsia" w:ascii="宋体" w:hAnsi="宋体"/>
          <w:b/>
          <w:bCs/>
          <w:sz w:val="28"/>
          <w:szCs w:val="28"/>
        </w:rPr>
        <w:t>二、采集渠道</w:t>
      </w:r>
    </w:p>
    <w:p>
      <w:pPr>
        <w:spacing w:line="480" w:lineRule="auto"/>
        <w:ind w:firstLine="560" w:firstLineChars="200"/>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spacing w:line="480" w:lineRule="auto"/>
        <w:ind w:firstLine="562" w:firstLineChars="200"/>
        <w:rPr>
          <w:rFonts w:ascii="宋体" w:hAnsi="宋体"/>
          <w:b/>
          <w:bCs/>
          <w:sz w:val="28"/>
          <w:szCs w:val="28"/>
        </w:rPr>
      </w:pPr>
      <w:r>
        <w:rPr>
          <w:rFonts w:hint="eastAsia" w:ascii="宋体" w:hAnsi="宋体"/>
          <w:b/>
          <w:bCs/>
          <w:sz w:val="28"/>
          <w:szCs w:val="28"/>
        </w:rPr>
        <w:t>三、指标解释</w:t>
      </w:r>
    </w:p>
    <w:p>
      <w:pPr>
        <w:spacing w:line="480" w:lineRule="auto"/>
        <w:ind w:firstLine="562" w:firstLineChars="200"/>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spacing w:line="480" w:lineRule="auto"/>
        <w:ind w:firstLine="562" w:firstLineChars="200"/>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spacing w:line="480" w:lineRule="auto"/>
        <w:ind w:firstLine="562" w:firstLineChars="200"/>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spacing w:line="480" w:lineRule="auto"/>
        <w:ind w:firstLine="562" w:firstLineChars="200"/>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MjU3N2U1ZjUxNzU5NjQ2NmU3NmVlMzIwN2FmYmYifQ=="/>
  </w:docVars>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2165"/>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17E3F"/>
    <w:rsid w:val="00127E1E"/>
    <w:rsid w:val="00132E82"/>
    <w:rsid w:val="00141006"/>
    <w:rsid w:val="0015028C"/>
    <w:rsid w:val="0016261B"/>
    <w:rsid w:val="001662C1"/>
    <w:rsid w:val="0016748C"/>
    <w:rsid w:val="00175617"/>
    <w:rsid w:val="00175AED"/>
    <w:rsid w:val="00177F75"/>
    <w:rsid w:val="00181610"/>
    <w:rsid w:val="00190C1C"/>
    <w:rsid w:val="001B4C03"/>
    <w:rsid w:val="001C2D04"/>
    <w:rsid w:val="001C3842"/>
    <w:rsid w:val="001D3BD8"/>
    <w:rsid w:val="001F5891"/>
    <w:rsid w:val="002011BF"/>
    <w:rsid w:val="00207DFD"/>
    <w:rsid w:val="002100CF"/>
    <w:rsid w:val="00211257"/>
    <w:rsid w:val="00213983"/>
    <w:rsid w:val="0022027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03C98"/>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5873"/>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6E2A"/>
    <w:rsid w:val="00577F74"/>
    <w:rsid w:val="00583C2C"/>
    <w:rsid w:val="00590911"/>
    <w:rsid w:val="00593027"/>
    <w:rsid w:val="00593DAE"/>
    <w:rsid w:val="005969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00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5332"/>
    <w:rsid w:val="006E1F62"/>
    <w:rsid w:val="006E6B3F"/>
    <w:rsid w:val="006F06DC"/>
    <w:rsid w:val="006F7B6E"/>
    <w:rsid w:val="007005C8"/>
    <w:rsid w:val="007066B2"/>
    <w:rsid w:val="0070709D"/>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6624B"/>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713B2"/>
    <w:rsid w:val="00971A83"/>
    <w:rsid w:val="00976D63"/>
    <w:rsid w:val="00985F2E"/>
    <w:rsid w:val="0099040C"/>
    <w:rsid w:val="0099556D"/>
    <w:rsid w:val="009A0580"/>
    <w:rsid w:val="009A7C22"/>
    <w:rsid w:val="009B20CE"/>
    <w:rsid w:val="009B50F8"/>
    <w:rsid w:val="009C56EB"/>
    <w:rsid w:val="009C61DD"/>
    <w:rsid w:val="009E6A8F"/>
    <w:rsid w:val="009E73AF"/>
    <w:rsid w:val="009F456B"/>
    <w:rsid w:val="009F5FCA"/>
    <w:rsid w:val="00A02A12"/>
    <w:rsid w:val="00A036FD"/>
    <w:rsid w:val="00A12120"/>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237D6"/>
    <w:rsid w:val="00B33F12"/>
    <w:rsid w:val="00B405B9"/>
    <w:rsid w:val="00B46D6F"/>
    <w:rsid w:val="00B50E1F"/>
    <w:rsid w:val="00B538F0"/>
    <w:rsid w:val="00B54F6B"/>
    <w:rsid w:val="00B5754A"/>
    <w:rsid w:val="00B6485D"/>
    <w:rsid w:val="00B66BC8"/>
    <w:rsid w:val="00B74F49"/>
    <w:rsid w:val="00B77CAF"/>
    <w:rsid w:val="00B93BA8"/>
    <w:rsid w:val="00BA3C3C"/>
    <w:rsid w:val="00BA5E97"/>
    <w:rsid w:val="00BB14C2"/>
    <w:rsid w:val="00BC211D"/>
    <w:rsid w:val="00BD66D6"/>
    <w:rsid w:val="00BF131D"/>
    <w:rsid w:val="00C001C9"/>
    <w:rsid w:val="00C00E8B"/>
    <w:rsid w:val="00C01996"/>
    <w:rsid w:val="00C0776A"/>
    <w:rsid w:val="00C13875"/>
    <w:rsid w:val="00C140C2"/>
    <w:rsid w:val="00C20153"/>
    <w:rsid w:val="00C240B2"/>
    <w:rsid w:val="00C35C17"/>
    <w:rsid w:val="00C47498"/>
    <w:rsid w:val="00C55CB9"/>
    <w:rsid w:val="00C67F6F"/>
    <w:rsid w:val="00C70802"/>
    <w:rsid w:val="00C71CDE"/>
    <w:rsid w:val="00C84C54"/>
    <w:rsid w:val="00C92199"/>
    <w:rsid w:val="00C96151"/>
    <w:rsid w:val="00CA1C27"/>
    <w:rsid w:val="00CA4DAF"/>
    <w:rsid w:val="00CA5739"/>
    <w:rsid w:val="00CB614A"/>
    <w:rsid w:val="00CB61E3"/>
    <w:rsid w:val="00CC61ED"/>
    <w:rsid w:val="00CD38F6"/>
    <w:rsid w:val="00CD5B4A"/>
    <w:rsid w:val="00CE2C8F"/>
    <w:rsid w:val="00CE3749"/>
    <w:rsid w:val="00CE754A"/>
    <w:rsid w:val="00CF3CF6"/>
    <w:rsid w:val="00CF750B"/>
    <w:rsid w:val="00D00DB2"/>
    <w:rsid w:val="00D21AC7"/>
    <w:rsid w:val="00D25BAE"/>
    <w:rsid w:val="00D30ECD"/>
    <w:rsid w:val="00D37B42"/>
    <w:rsid w:val="00D5032E"/>
    <w:rsid w:val="00D5317D"/>
    <w:rsid w:val="00D55D27"/>
    <w:rsid w:val="00D55F5F"/>
    <w:rsid w:val="00D566B5"/>
    <w:rsid w:val="00D571DF"/>
    <w:rsid w:val="00D67E71"/>
    <w:rsid w:val="00D76A52"/>
    <w:rsid w:val="00D85A01"/>
    <w:rsid w:val="00D90374"/>
    <w:rsid w:val="00D91FB4"/>
    <w:rsid w:val="00D92AC2"/>
    <w:rsid w:val="00DA571E"/>
    <w:rsid w:val="00DB22D6"/>
    <w:rsid w:val="00DC2738"/>
    <w:rsid w:val="00DC36D3"/>
    <w:rsid w:val="00DD5744"/>
    <w:rsid w:val="00DE44CD"/>
    <w:rsid w:val="00DE5606"/>
    <w:rsid w:val="00DF03D6"/>
    <w:rsid w:val="00DF0D0D"/>
    <w:rsid w:val="00DF1303"/>
    <w:rsid w:val="00DF2D34"/>
    <w:rsid w:val="00E0647C"/>
    <w:rsid w:val="00E064B7"/>
    <w:rsid w:val="00E07AC2"/>
    <w:rsid w:val="00E16F3A"/>
    <w:rsid w:val="00E302E8"/>
    <w:rsid w:val="00E44F61"/>
    <w:rsid w:val="00E51361"/>
    <w:rsid w:val="00E55C86"/>
    <w:rsid w:val="00E62231"/>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B21EA"/>
    <w:rsid w:val="00FC26BC"/>
    <w:rsid w:val="00FC403B"/>
    <w:rsid w:val="00FD0324"/>
    <w:rsid w:val="00FE6177"/>
    <w:rsid w:val="00FE6A88"/>
    <w:rsid w:val="060363E2"/>
    <w:rsid w:val="076B0C07"/>
    <w:rsid w:val="09B856A2"/>
    <w:rsid w:val="0F371CB7"/>
    <w:rsid w:val="10673459"/>
    <w:rsid w:val="178D2071"/>
    <w:rsid w:val="1ACF7F10"/>
    <w:rsid w:val="1C70425F"/>
    <w:rsid w:val="20874380"/>
    <w:rsid w:val="22AC1615"/>
    <w:rsid w:val="234852A8"/>
    <w:rsid w:val="26F45322"/>
    <w:rsid w:val="27A32BF1"/>
    <w:rsid w:val="2CE27C2F"/>
    <w:rsid w:val="2E703BCB"/>
    <w:rsid w:val="2F010E0A"/>
    <w:rsid w:val="31F0151C"/>
    <w:rsid w:val="3C0C2124"/>
    <w:rsid w:val="3DAF48B0"/>
    <w:rsid w:val="3EA60348"/>
    <w:rsid w:val="448775FA"/>
    <w:rsid w:val="44AE0841"/>
    <w:rsid w:val="450768A0"/>
    <w:rsid w:val="45A44DB2"/>
    <w:rsid w:val="463067D1"/>
    <w:rsid w:val="471D1B55"/>
    <w:rsid w:val="4A476575"/>
    <w:rsid w:val="56197D41"/>
    <w:rsid w:val="57B14369"/>
    <w:rsid w:val="61797581"/>
    <w:rsid w:val="656B1C33"/>
    <w:rsid w:val="659A02DC"/>
    <w:rsid w:val="659D6111"/>
    <w:rsid w:val="661B1450"/>
    <w:rsid w:val="6D556999"/>
    <w:rsid w:val="6E3428CC"/>
    <w:rsid w:val="71AA3994"/>
    <w:rsid w:val="72181971"/>
    <w:rsid w:val="72813252"/>
    <w:rsid w:val="732B026E"/>
    <w:rsid w:val="738A3D86"/>
    <w:rsid w:val="748841DA"/>
    <w:rsid w:val="792E2702"/>
    <w:rsid w:val="7E4E4D9F"/>
    <w:rsid w:val="7FC35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3\&#25151;&#22320;&#20135;\&#25151;&#22320;&#20135;&#24320;&#21457;&#25552;&#20379;&#25968;&#25454;&#21450;&#26597;&#35810;\&#23545;&#22806;&#25552;&#20379;&#25968;&#25454;\A-&#25968;&#25454;&#20449;&#24687;&#21457;&#24067;\2&#26376;\&#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24837011216142"/>
          <c:y val="0.0259745026298674"/>
          <c:w val="0.923019628461269"/>
          <c:h val="0.829524680073126"/>
        </c:manualLayout>
      </c:layout>
      <c:lineChart>
        <c:grouping val="standard"/>
        <c:varyColors val="0"/>
        <c:ser>
          <c:idx val="0"/>
          <c:order val="0"/>
          <c:tx>
            <c:strRef>
              <c:f>[图表.xlsx]全社会固定资产投资!$D$26</c:f>
              <c:strCache>
                <c:ptCount val="1"/>
                <c:pt idx="0">
                  <c:v>增速</c:v>
                </c:pt>
              </c:strCache>
            </c:strRef>
          </c:tx>
          <c:dPt>
            <c:idx val="0"/>
            <c:bubble3D val="0"/>
            <c:spPr>
              <a:ln w="28575" cap="rnd" cmpd="sng" algn="ctr">
                <a:solidFill>
                  <a:schemeClr val="accent1"/>
                </a:solidFill>
                <a:prstDash val="solid"/>
                <a:round/>
              </a:ln>
            </c:spPr>
          </c:dPt>
          <c:dPt>
            <c:idx val="1"/>
            <c:bubble3D val="0"/>
            <c:spPr>
              <a:ln w="28575" cap="rnd" cmpd="sng" algn="ctr">
                <a:solidFill>
                  <a:schemeClr val="accent1"/>
                </a:solidFill>
                <a:prstDash val="solid"/>
                <a:round/>
              </a:ln>
            </c:spPr>
          </c:dPt>
          <c:dPt>
            <c:idx val="2"/>
            <c:bubble3D val="0"/>
            <c:spPr>
              <a:ln w="28575" cap="rnd" cmpd="sng" algn="ctr">
                <a:solidFill>
                  <a:schemeClr val="accent1">
                    <a:shade val="95000"/>
                    <a:satMod val="105000"/>
                  </a:schemeClr>
                </a:solidFill>
                <a:prstDash val="solid"/>
                <a:round/>
              </a:ln>
              <a:sp3d contourW="28575"/>
            </c:spPr>
          </c:dPt>
          <c:dPt>
            <c:idx val="3"/>
            <c:bubble3D val="0"/>
            <c:spPr>
              <a:ln w="28575" cap="rnd" cmpd="sng" algn="ctr">
                <a:solidFill>
                  <a:schemeClr val="accent1"/>
                </a:solidFill>
                <a:prstDash val="solid"/>
                <a:round/>
              </a:ln>
            </c:spPr>
          </c:dPt>
          <c:dPt>
            <c:idx val="4"/>
            <c:bubble3D val="0"/>
            <c:spPr>
              <a:ln w="28575" cap="rnd" cmpd="sng" algn="ctr">
                <a:solidFill>
                  <a:schemeClr val="accent1"/>
                </a:solidFill>
                <a:prstDash val="solid"/>
                <a:round/>
              </a:ln>
            </c:spPr>
          </c:dPt>
          <c:dPt>
            <c:idx val="5"/>
            <c:bubble3D val="0"/>
            <c:spPr>
              <a:ln w="28575" cap="rnd" cmpd="sng" algn="ctr">
                <a:solidFill>
                  <a:schemeClr val="accent1"/>
                </a:solidFill>
                <a:prstDash val="solid"/>
                <a:round/>
              </a:ln>
            </c:spPr>
          </c:dPt>
          <c:dPt>
            <c:idx val="6"/>
            <c:bubble3D val="0"/>
            <c:spPr>
              <a:ln w="28575" cap="rnd" cmpd="sng" algn="ctr">
                <a:solidFill>
                  <a:schemeClr val="accent1"/>
                </a:solidFill>
                <a:prstDash val="solid"/>
                <a:round/>
              </a:ln>
            </c:spPr>
          </c:dPt>
          <c:dPt>
            <c:idx val="7"/>
            <c:bubble3D val="0"/>
            <c:spPr>
              <a:ln w="28575" cap="rnd" cmpd="sng" algn="ctr">
                <a:solidFill>
                  <a:schemeClr val="accent1">
                    <a:shade val="95000"/>
                    <a:satMod val="105000"/>
                  </a:schemeClr>
                </a:solidFill>
                <a:prstDash val="solid"/>
                <a:round/>
              </a:ln>
            </c:spPr>
          </c:dPt>
          <c:dPt>
            <c:idx val="8"/>
            <c:marker>
              <c:spPr>
                <a:ln w="9525" cap="flat" cmpd="sng" algn="ctr">
                  <a:solidFill>
                    <a:srgbClr val="0070C0"/>
                  </a:solidFill>
                  <a:prstDash val="solid"/>
                  <a:round/>
                </a:ln>
              </c:spPr>
            </c:marker>
            <c:bubble3D val="0"/>
            <c:spPr>
              <a:ln w="28575" cap="rnd" cmpd="sng" algn="ctr">
                <a:solidFill>
                  <a:srgbClr val="0070C0"/>
                </a:solidFill>
                <a:prstDash val="solid"/>
                <a:round/>
              </a:ln>
            </c:spPr>
          </c:dPt>
          <c:dPt>
            <c:idx val="11"/>
            <c:bubble3D val="0"/>
            <c:spPr>
              <a:ln w="28575" cap="rnd" cmpd="sng" algn="ctr">
                <a:noFill/>
                <a:prstDash val="solid"/>
                <a:round/>
              </a:ln>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[图表.xlsx]全社会固定资产投资!$B$73:$C$85</c:f>
              <c:multiLvlStrCache>
                <c:ptCount val="13"/>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lvl>
                <c:lvl>
                  <c:pt idx="0">
                    <c:v>2022年</c:v>
                  </c:pt>
                  <c:pt idx="11">
                    <c:v>2023年</c:v>
                  </c:pt>
                </c:lvl>
              </c:multiLvlStrCache>
            </c:multiLvlStrRef>
          </c:cat>
          <c:val>
            <c:numRef>
              <c:f>[图表.xlsx]全社会固定资产投资!$D$73:$D$85</c:f>
              <c:numCache>
                <c:formatCode>0.0_ </c:formatCode>
                <c:ptCount val="13"/>
                <c:pt idx="0">
                  <c:v>8.9</c:v>
                </c:pt>
                <c:pt idx="1">
                  <c:v>12.8</c:v>
                </c:pt>
                <c:pt idx="2">
                  <c:v>11.3</c:v>
                </c:pt>
                <c:pt idx="3">
                  <c:v>7.5</c:v>
                </c:pt>
                <c:pt idx="4">
                  <c:v>10.1</c:v>
                </c:pt>
                <c:pt idx="5">
                  <c:v>11.4</c:v>
                </c:pt>
                <c:pt idx="6">
                  <c:v>14.1</c:v>
                </c:pt>
                <c:pt idx="7" c:formatCode="General">
                  <c:v>18.4</c:v>
                </c:pt>
                <c:pt idx="8">
                  <c:v>14.1</c:v>
                </c:pt>
                <c:pt idx="9">
                  <c:v>16.7</c:v>
                </c:pt>
                <c:pt idx="10">
                  <c:v>13</c:v>
                </c:pt>
                <c:pt idx="11">
                  <c:v>1.4</c:v>
                </c:pt>
                <c:pt idx="12">
                  <c:v>11.7657364819452</c:v>
                </c:pt>
              </c:numCache>
            </c:numRef>
          </c:val>
          <c:smooth val="0"/>
        </c:ser>
        <c:dLbls>
          <c:showLegendKey val="0"/>
          <c:showVal val="1"/>
          <c:showCatName val="0"/>
          <c:showSerName val="0"/>
          <c:showPercent val="0"/>
          <c:showBubbleSize val="0"/>
        </c:dLbls>
        <c:marker val="1"/>
        <c:smooth val="0"/>
        <c:axId val="107642880"/>
        <c:axId val="107644416"/>
      </c:lineChart>
      <c:catAx>
        <c:axId val="107642880"/>
        <c:scaling>
          <c:orientation val="minMax"/>
        </c:scaling>
        <c:delete val="0"/>
        <c:axPos val="b"/>
        <c:majorTickMark val="out"/>
        <c:minorTickMark val="none"/>
        <c:tickLblPos val="low"/>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07644416"/>
        <c:crosses val="autoZero"/>
        <c:auto val="1"/>
        <c:lblAlgn val="ctr"/>
        <c:lblOffset val="100"/>
        <c:noMultiLvlLbl val="0"/>
      </c:catAx>
      <c:valAx>
        <c:axId val="107644416"/>
        <c:scaling>
          <c:orientation val="minMax"/>
        </c:scaling>
        <c:delete val="0"/>
        <c:axPos val="l"/>
        <c:majorGridlines>
          <c:spPr>
            <a:ln w="0" cap="flat" cmpd="sng" algn="ctr">
              <a:solidFill>
                <a:schemeClr val="accent1"/>
              </a:solidFill>
              <a:prstDash val="solid"/>
              <a:round/>
            </a:ln>
          </c:spPr>
        </c:majorGridlines>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2880"/>
        <c:crosses val="autoZero"/>
        <c:crossBetween val="midCat"/>
      </c:valAx>
      <c:spPr>
        <a:noFill/>
      </c:spPr>
    </c:plotArea>
    <c:plotVisOnly val="1"/>
    <c:dispBlanksAs val="span"/>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朝阳区统计局</Company>
  <Pages>1</Pages>
  <Words>101</Words>
  <Characters>579</Characters>
  <Lines>4</Lines>
  <Paragraphs>1</Paragraphs>
  <ScaleCrop>false</ScaleCrop>
  <LinksUpToDate>false</LinksUpToDate>
  <CharactersWithSpaces>679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2022-09-19T09:03:00Z</dcterms:created>
  <dc:creator>user</dc:creator>
  <cp:lastModifiedBy>张娇娇</cp:lastModifiedBy>
  <cp:lastPrinted>2022-06-16T06:30:00Z</cp:lastPrinted>
  <dcterms:modified xsi:type="dcterms:W3CDTF">2023-04-24T02:09:14Z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EC66580F6F444C348A8D7941CF940C46</vt:lpwstr>
  </property>
</Properties>
</file>