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354BF">
      <w:pPr>
        <w:spacing w:line="600" w:lineRule="exact"/>
        <w:ind w:firstLine="640" w:firstLineChars="200"/>
        <w:rPr>
          <w:rFonts w:ascii="黑体" w:hAnsi="黑体" w:eastAsia="黑体" w:cs="黑体"/>
          <w:sz w:val="32"/>
          <w:szCs w:val="32"/>
        </w:rPr>
      </w:pPr>
    </w:p>
    <w:p w14:paraId="1B40AF8E">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14:paraId="705DF41B">
      <w:pPr>
        <w:jc w:val="center"/>
        <w:rPr>
          <w:rFonts w:ascii="仿宋_GB2312"/>
          <w:szCs w:val="30"/>
        </w:rPr>
      </w:pPr>
    </w:p>
    <w:p w14:paraId="4C9C9FE0">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4C2E4C75">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14:paraId="0255DE7B">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共北京市朝阳区委办公室、北京市朝阳区人民政府办公室关于印发《中共北京市朝阳区委奥运村街道工作委员会北京市朝阳区人民政府奥运村街道办事处职能配置、内设机构和人员编制规定》的通知(京朝办字【2019】75号)、中共北京市朝阳区委机构编制委员会办公室关于组建街道综合行政执法队的通知(朝编办【2019】34号)、中共北京市朝阳区委机构编制委员会办公室关于调整奥运村街道所属事业单位机构编制事项的通知(朝编办【2019】74号)，奥运村街道办事处设立下列6个内设机构：综合办公室、党群工作办公室、平安建设办公室(司法所)、城市管理办公室、社区建设办公室、民生保障办公室，一个纪律检查工作委员会(简称奥运村街道纪工委)，一个综合行政执法队，三中心：北京市朝阳区奥运村街道便民服务中心、北京市朝阳区奥运村街道市民活动中心、北京市朝阳区奥运村街道市民诉求处置中心。另设有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个社区。</w:t>
      </w:r>
    </w:p>
    <w:p w14:paraId="5634AD62">
      <w:pPr>
        <w:spacing w:line="600" w:lineRule="exact"/>
        <w:ind w:firstLine="640" w:firstLineChars="200"/>
        <w:rPr>
          <w:rFonts w:hint="eastAsia" w:ascii="楷体_GB2312" w:eastAsia="楷体_GB2312"/>
          <w:sz w:val="32"/>
          <w:szCs w:val="32"/>
        </w:rPr>
      </w:pPr>
      <w:r>
        <w:rPr>
          <w:rFonts w:hint="eastAsia" w:ascii="仿宋_GB2312" w:hAnsi="仿宋_GB2312" w:eastAsia="仿宋_GB2312" w:cs="仿宋_GB2312"/>
          <w:sz w:val="32"/>
          <w:szCs w:val="32"/>
        </w:rPr>
        <w:t>奥运村街道办事处是朝阳区政府的派出机关，是基层行政组织，负责本行政区域内有关行政管理工作。主要职责是：贯彻执行党的路线、方针、政策和国家的法律法规，执行上级国家行政机关的决定和命令。负责制订本街道经济和社会发展规划、计划；管理本街道经济工作、财政预算和收支；负责国有资产监督管理；负责有关经济、社会统计工作。负责辖区内市容市貌、环境卫生、绿化美化的管理工作。负责环境综合整治工作；负责组织和监督对违法建筑、违法占用道路、无照经营行为查处工作。负责辖区内社会治安综合治理以及安全生产、交通安全、消防安全和外地来京人员的管理工作。负责社会救济、拥军优属、兵员征集、社区服务、殡葬改革等管理工作。负责计划生育管理工作。负责民事调解和普法教育工作，保障少数民族、妇女、未成年人、老年人和残疾人的合法权益。负责人民防空、防自然灾害和抢险救灾的组织、协调工作。会同有关部门，负责节水、环保工作。负责街道社会化服务的管理工作。负责辖区居民的社会保障工作。负责群众性文化、教育、体育、卫生保健和科普工作。指导居委会工作，促进居委会的组织建设，提高其自治能力。负责检查、督促住宅小区公共配套设施的落实。办理人民群众来信来访，反映人民群众的意见和要求。承办区政府交办的其他事项。</w:t>
      </w:r>
    </w:p>
    <w:p w14:paraId="42B9CDFA">
      <w:pPr>
        <w:numPr>
          <w:ilvl w:val="0"/>
          <w:numId w:val="1"/>
        </w:num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部门整体绩效目标设立情况</w:t>
      </w:r>
    </w:p>
    <w:p w14:paraId="5F5F01B1">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年奥运村街道办事处主要工作任务</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是深入推进党建引领新局面。不断深化街道“一核多元，融合共治”区域化党建工作体系。以纳税千强企业和商务楼宇为抓手，深入开展两新党建工作。着力打造奥运村街道党群服务中心和党建协调委员会有形和无形的区域化党建平台。组建奥运村街道学习贯彻党的二十大精神宣讲团，在群众层面开展“学习二十大 “艺”起向未来”主题活动。</w:t>
      </w:r>
    </w:p>
    <w:p w14:paraId="013BE936">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强化基层治理能力。以双奥优才学院为平台，借助参与式培训、创意沙龙、人才论坛、“头脑风暴”等方式，从学、思、悟、践四个层面展开系统性服务与培训，为干部成长提供锻炼的平台；建立奥运村人才资源库，通过人才学院的培育活动，加强联动互通，推进其参与地区建设；坚持“治、建、管”为核心的治理思路，大力提升街道辖区整体物业服务水平；积极提高住宅小区正常履职业委会占比，推进条件成熟的物管会转化为业委会，扎实做好业委会成立工作。</w:t>
      </w:r>
    </w:p>
    <w:p w14:paraId="2245F007">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三是拓宽优质公共服务。深入开展爱国卫生工作，为顺利完成全国卫生城区复检工作做好准备。继续开展养老服务体系建设，计划新增一家养老驿站，坚持开展养老联合体活动，营造社会敬老氛围。</w:t>
      </w:r>
    </w:p>
    <w:p w14:paraId="38CD8706">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四是推进文明城区建设常态化。将文明城区建设各项指标任务与日常工作相结合，全面推进各项测评任务落实。</w:t>
      </w:r>
    </w:p>
    <w:p w14:paraId="59F3E38F">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是着力双奥文化建设。开展奥运村民间奥林匹克体育大赛之“传承冬奥精神，展现双奥风采”系列活动。举办冰龙舟友谊赛，陆地冰壶球推广及体验联赛等体育活动，鼓励全民参与健身，讲好双奥故事。继续联合北京电视台生活节目中心将已开展十年的奥运社区大舞台升级为：奥运村民间奥林匹克文化大舞台，开展以“奥林匹克”为主题的演出与比赛，10月份正式开展演出与评比活动。</w:t>
      </w:r>
    </w:p>
    <w:p w14:paraId="3987EA5B">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六是做好社区建设、城建城管、综治维稳、民生及其他各项工作。</w:t>
      </w:r>
    </w:p>
    <w:p w14:paraId="5CF3B30E">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奥运村街道办事处部门整体支出绩效目标是根据朝阳区委办、政府办公相关文件，结合街道内中长期规划、年度工作计划、政策要求以及年度主要工作任务设立，反映奥运村街道办事处使用部门预算资金在年度履职中预期达到的总体产出和效果。</w:t>
      </w:r>
    </w:p>
    <w:p w14:paraId="55673437">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奥运村街道办事处目标设立比较贴合街道基层行政组织职能，旨在紧密围绕区委、区政府中心工作和重点任务，积极发挥财政资金在街道工作的重大作用，加大资金统筹力度，强化绩效成本管控，防范财政运行风险，为奥运村街道办事处“十四五”规划和各项事业的高质量发展提供有力支撑。</w:t>
      </w:r>
    </w:p>
    <w:p w14:paraId="7BF8696C">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14:paraId="2ABC4A0C">
      <w:pPr>
        <w:spacing w:line="60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2023年全年预算数</w:t>
      </w:r>
      <w:r>
        <w:rPr>
          <w:rFonts w:hint="eastAsia" w:ascii="仿宋_GB2312" w:hAnsi="仿宋_GB2312" w:eastAsia="仿宋_GB2312" w:cs="仿宋_GB2312"/>
          <w:sz w:val="32"/>
          <w:szCs w:val="32"/>
        </w:rPr>
        <w:t>22,617.16</w:t>
      </w:r>
      <w:r>
        <w:rPr>
          <w:rFonts w:hint="eastAsia" w:ascii="仿宋_GB2312" w:hAnsi="仿宋_GB2312" w:eastAsia="仿宋_GB2312" w:cs="仿宋_GB2312"/>
          <w:color w:val="000000"/>
          <w:kern w:val="0"/>
          <w:sz w:val="32"/>
          <w:szCs w:val="32"/>
        </w:rPr>
        <w:t>万元，其中，基本支出预算数</w:t>
      </w:r>
      <w:r>
        <w:rPr>
          <w:rFonts w:hint="eastAsia" w:ascii="仿宋_GB2312" w:hAnsi="仿宋_GB2312" w:eastAsia="仿宋_GB2312" w:cs="仿宋_GB2312"/>
          <w:sz w:val="32"/>
          <w:szCs w:val="32"/>
        </w:rPr>
        <w:t>5,599.31</w:t>
      </w:r>
      <w:r>
        <w:rPr>
          <w:rFonts w:hint="eastAsia" w:ascii="仿宋_GB2312" w:hAnsi="仿宋_GB2312" w:eastAsia="仿宋_GB2312" w:cs="仿宋_GB2312"/>
          <w:color w:val="000000"/>
          <w:kern w:val="0"/>
          <w:sz w:val="32"/>
          <w:szCs w:val="32"/>
        </w:rPr>
        <w:t>万元，项目支出预算数</w:t>
      </w:r>
      <w:r>
        <w:rPr>
          <w:rFonts w:hint="eastAsia" w:ascii="仿宋_GB2312" w:hAnsi="仿宋_GB2312" w:eastAsia="仿宋_GB2312" w:cs="仿宋_GB2312"/>
          <w:sz w:val="32"/>
          <w:szCs w:val="32"/>
        </w:rPr>
        <w:t>17,017.84</w:t>
      </w:r>
      <w:r>
        <w:rPr>
          <w:rFonts w:hint="eastAsia" w:ascii="仿宋_GB2312" w:hAnsi="仿宋_GB2312" w:eastAsia="仿宋_GB2312" w:cs="仿宋_GB2312"/>
          <w:color w:val="000000"/>
          <w:kern w:val="0"/>
          <w:sz w:val="32"/>
          <w:szCs w:val="32"/>
        </w:rPr>
        <w:t>万元，其他支出预算数</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万元。资金总体支出</w:t>
      </w:r>
      <w:r>
        <w:rPr>
          <w:rFonts w:hint="eastAsia" w:ascii="仿宋_GB2312" w:hAnsi="仿宋_GB2312" w:eastAsia="仿宋_GB2312" w:cs="仿宋_GB2312"/>
          <w:sz w:val="32"/>
          <w:szCs w:val="32"/>
        </w:rPr>
        <w:t>22,617.16</w:t>
      </w:r>
      <w:r>
        <w:rPr>
          <w:rFonts w:hint="eastAsia" w:ascii="仿宋_GB2312" w:hAnsi="仿宋_GB2312" w:eastAsia="仿宋_GB2312" w:cs="仿宋_GB2312"/>
          <w:color w:val="000000"/>
          <w:kern w:val="0"/>
          <w:sz w:val="32"/>
          <w:szCs w:val="32"/>
        </w:rPr>
        <w:t>万元，其中，基本支出</w:t>
      </w:r>
      <w:r>
        <w:rPr>
          <w:rFonts w:hint="eastAsia" w:ascii="仿宋_GB2312" w:hAnsi="仿宋_GB2312" w:eastAsia="仿宋_GB2312" w:cs="仿宋_GB2312"/>
          <w:sz w:val="32"/>
          <w:szCs w:val="32"/>
        </w:rPr>
        <w:t>5,599.31</w:t>
      </w:r>
      <w:r>
        <w:rPr>
          <w:rFonts w:hint="eastAsia" w:ascii="仿宋_GB2312" w:hAnsi="仿宋_GB2312" w:eastAsia="仿宋_GB2312" w:cs="仿宋_GB2312"/>
          <w:color w:val="000000"/>
          <w:kern w:val="0"/>
          <w:sz w:val="32"/>
          <w:szCs w:val="32"/>
        </w:rPr>
        <w:t>万元，项目支出</w:t>
      </w:r>
      <w:r>
        <w:rPr>
          <w:rFonts w:hint="eastAsia" w:ascii="仿宋_GB2312" w:hAnsi="仿宋_GB2312" w:eastAsia="仿宋_GB2312" w:cs="仿宋_GB2312"/>
          <w:sz w:val="32"/>
          <w:szCs w:val="32"/>
        </w:rPr>
        <w:t>17,017.84</w:t>
      </w:r>
      <w:r>
        <w:rPr>
          <w:rFonts w:hint="eastAsia" w:ascii="仿宋_GB2312" w:hAnsi="仿宋_GB2312" w:eastAsia="仿宋_GB2312" w:cs="仿宋_GB2312"/>
          <w:color w:val="000000"/>
          <w:kern w:val="0"/>
          <w:sz w:val="32"/>
          <w:szCs w:val="32"/>
        </w:rPr>
        <w:t>万元，其他支出</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万元。预算执行率为</w:t>
      </w:r>
      <w:r>
        <w:rPr>
          <w:rFonts w:hint="eastAsia" w:ascii="仿宋_GB2312" w:hAnsi="仿宋_GB2312" w:eastAsia="仿宋_GB2312" w:cs="仿宋_GB2312"/>
          <w:color w:val="000000"/>
          <w:kern w:val="0"/>
          <w:sz w:val="32"/>
          <w:szCs w:val="32"/>
          <w:lang w:val="en-US" w:eastAsia="zh-CN"/>
        </w:rPr>
        <w:t>100%</w:t>
      </w:r>
      <w:r>
        <w:rPr>
          <w:rFonts w:hint="eastAsia" w:ascii="仿宋_GB2312" w:hAnsi="仿宋_GB2312" w:eastAsia="仿宋_GB2312" w:cs="仿宋_GB2312"/>
          <w:color w:val="000000"/>
          <w:kern w:val="0"/>
          <w:sz w:val="32"/>
          <w:szCs w:val="32"/>
        </w:rPr>
        <w:t>。</w:t>
      </w:r>
    </w:p>
    <w:p w14:paraId="70F87017">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14:paraId="43F538E6">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14:paraId="22543A69">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14:paraId="17576D34">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u w:val="none"/>
        </w:rPr>
      </w:pPr>
      <w:r>
        <w:rPr>
          <w:rFonts w:hint="eastAsia" w:ascii="仿宋_GB2312" w:hAnsi="仿宋" w:eastAsia="仿宋_GB2312"/>
          <w:b w:val="0"/>
          <w:bCs w:val="0"/>
          <w:sz w:val="32"/>
          <w:szCs w:val="32"/>
          <w:highlight w:val="none"/>
          <w:u w:val="none"/>
          <w:lang w:eastAsia="zh-CN"/>
        </w:rPr>
        <w:t>党建方面：</w:t>
      </w:r>
      <w:r>
        <w:rPr>
          <w:rFonts w:hint="eastAsia" w:ascii="仿宋_GB2312" w:hAnsi="仿宋" w:eastAsia="仿宋_GB2312"/>
          <w:b w:val="0"/>
          <w:bCs w:val="0"/>
          <w:sz w:val="32"/>
          <w:szCs w:val="32"/>
          <w:highlight w:val="none"/>
          <w:u w:val="none"/>
        </w:rPr>
        <w:t>一是压实主体责任，加强从严治党。</w:t>
      </w:r>
      <w:r>
        <w:rPr>
          <w:rFonts w:hint="eastAsia" w:ascii="仿宋_GB2312" w:hAnsi="仿宋" w:eastAsia="仿宋_GB2312"/>
          <w:sz w:val="32"/>
          <w:szCs w:val="32"/>
          <w:highlight w:val="none"/>
          <w:u w:val="none"/>
        </w:rPr>
        <w:t>年初制定《2023年度落实全面从严治党主体责任任务安排》，梳理出12方面51项具体内容；严格落实“三重一大”制度，召开工委（扩大）会64次，主任办公会55次。组织党员干部学习党规党纪、干部案件警示录、上级纪委下发的通报共13次，召开警示教育大会6次，通报典型违纪案件8次。</w:t>
      </w:r>
      <w:r>
        <w:rPr>
          <w:rFonts w:hint="eastAsia" w:ascii="仿宋_GB2312" w:hAnsi="仿宋" w:eastAsia="仿宋_GB2312"/>
          <w:b w:val="0"/>
          <w:bCs w:val="0"/>
          <w:sz w:val="32"/>
          <w:szCs w:val="32"/>
          <w:highlight w:val="none"/>
          <w:u w:val="none"/>
        </w:rPr>
        <w:t>二是突出思想引领，强化政治担当。</w:t>
      </w:r>
      <w:r>
        <w:rPr>
          <w:rFonts w:hint="eastAsia" w:ascii="仿宋_GB2312" w:hAnsi="仿宋" w:eastAsia="仿宋_GB2312"/>
          <w:sz w:val="32"/>
          <w:szCs w:val="32"/>
          <w:highlight w:val="none"/>
          <w:u w:val="none"/>
        </w:rPr>
        <w:t>开展理论学习中心组学习21次，成立街道和社区两级宣讲团，开展百人以上参与的特色宣讲20余次、20人以上理论宣讲活动640次。大力弘扬“四下基层”优良作风，累计开展调研123次，现场发现并解决问题72个。</w:t>
      </w:r>
      <w:r>
        <w:rPr>
          <w:rFonts w:hint="eastAsia" w:ascii="仿宋_GB2312" w:hAnsi="仿宋" w:eastAsia="仿宋_GB2312"/>
          <w:b w:val="0"/>
          <w:bCs w:val="0"/>
          <w:sz w:val="32"/>
          <w:szCs w:val="32"/>
          <w:highlight w:val="none"/>
          <w:u w:val="none"/>
        </w:rPr>
        <w:t>三是重视队伍建设，提升能力水平。</w:t>
      </w:r>
      <w:r>
        <w:rPr>
          <w:rFonts w:hint="eastAsia" w:ascii="仿宋_GB2312" w:hAnsi="仿宋" w:eastAsia="仿宋_GB2312"/>
          <w:sz w:val="32"/>
          <w:szCs w:val="32"/>
          <w:highlight w:val="none"/>
          <w:u w:val="none"/>
        </w:rPr>
        <w:t>共计选拔任用干部21人次，其中职务晋升干部8人、职级晋升干部13人，包含93后正科1人、90后副科1人。</w:t>
      </w:r>
    </w:p>
    <w:p w14:paraId="4C6A4898">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 w:eastAsia="仿宋_GB2312"/>
          <w:sz w:val="32"/>
          <w:szCs w:val="32"/>
          <w:highlight w:val="none"/>
          <w:u w:val="none"/>
        </w:rPr>
      </w:pPr>
      <w:r>
        <w:rPr>
          <w:rFonts w:hint="eastAsia" w:ascii="仿宋_GB2312" w:hAnsi="仿宋" w:eastAsia="仿宋_GB2312"/>
          <w:b w:val="0"/>
          <w:bCs w:val="0"/>
          <w:sz w:val="32"/>
          <w:szCs w:val="32"/>
          <w:highlight w:val="none"/>
          <w:u w:val="none"/>
          <w:lang w:eastAsia="zh-CN"/>
        </w:rPr>
        <w:t>建设治理方面：</w:t>
      </w:r>
      <w:r>
        <w:rPr>
          <w:rFonts w:hint="eastAsia" w:ascii="仿宋_GB2312" w:hAnsi="仿宋" w:eastAsia="仿宋_GB2312"/>
          <w:b w:val="0"/>
          <w:bCs w:val="0"/>
          <w:sz w:val="32"/>
          <w:szCs w:val="32"/>
          <w:highlight w:val="none"/>
          <w:u w:val="none"/>
        </w:rPr>
        <w:t>一是圆满完成全国两会、中国国际服务贸易交易会、中国网球公开赛、第三届“一带一路”高峰论坛等重大活动服务保障工作，</w:t>
      </w:r>
      <w:r>
        <w:rPr>
          <w:rFonts w:hint="eastAsia" w:ascii="仿宋_GB2312" w:hAnsi="仿宋" w:eastAsia="仿宋_GB2312"/>
          <w:sz w:val="32"/>
          <w:szCs w:val="32"/>
          <w:highlight w:val="none"/>
          <w:u w:val="none"/>
        </w:rPr>
        <w:t>全年保障时间近60天。</w:t>
      </w:r>
      <w:r>
        <w:rPr>
          <w:rFonts w:hint="eastAsia" w:ascii="仿宋_GB2312" w:hAnsi="仿宋" w:eastAsia="仿宋_GB2312"/>
          <w:b w:val="0"/>
          <w:bCs w:val="0"/>
          <w:sz w:val="32"/>
          <w:szCs w:val="32"/>
          <w:highlight w:val="none"/>
          <w:u w:val="none"/>
        </w:rPr>
        <w:t>二是聚力提升环境品质。完成10条乱点路段停车秩序</w:t>
      </w:r>
      <w:r>
        <w:rPr>
          <w:rFonts w:hint="eastAsia" w:ascii="仿宋_GB2312" w:hAnsi="仿宋" w:eastAsia="仿宋_GB2312"/>
          <w:sz w:val="32"/>
          <w:szCs w:val="32"/>
          <w:highlight w:val="none"/>
          <w:u w:val="none"/>
        </w:rPr>
        <w:t>整治，规范设置10条道路路侧停车泊位1087个，协调华创生活广场增加错时共享停车位130个。完成11个老旧小区道闸系统的改造建设；完成科学园南里三至七区、理化所小区综合改造和科学园南里东街街头小微绿地改造项目。2023年拆违任务量在街道系统排名第1，于 6月16日完成5000平方米任务目标，全年实际完成拆违任务量达6052.82平方米。</w:t>
      </w:r>
      <w:r>
        <w:rPr>
          <w:rFonts w:hint="eastAsia" w:ascii="仿宋_GB2312" w:hAnsi="仿宋" w:eastAsia="仿宋_GB2312"/>
          <w:b w:val="0"/>
          <w:bCs w:val="0"/>
          <w:sz w:val="32"/>
          <w:szCs w:val="32"/>
          <w:highlight w:val="none"/>
          <w:u w:val="none"/>
        </w:rPr>
        <w:t>三是守好安全发展底线。4月19日以来共出动检查力</w:t>
      </w:r>
      <w:r>
        <w:rPr>
          <w:rFonts w:hint="eastAsia" w:ascii="仿宋_GB2312" w:hAnsi="仿宋" w:eastAsia="仿宋_GB2312"/>
          <w:sz w:val="32"/>
          <w:szCs w:val="32"/>
          <w:highlight w:val="none"/>
          <w:u w:val="none"/>
        </w:rPr>
        <w:t>量4500余人次，检查各类生产经营场所2900余家次，发现各类隐患3000余处，均已完成整改；对89处占压燃气管线点位逐一分析、挨个突破，攻坚阶段由班子成员带队多次进行入户走访，一点一策制定方案，实现隐患清零；违规电动三四轮车淘汰处置第一阶段上账735辆，集中攻坚阶段摸排476辆，累计完成淘汰处置1211辆，现已转入动态清零阶段。</w:t>
      </w:r>
    </w:p>
    <w:p w14:paraId="2E780E34">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宋体" w:eastAsia="仿宋_GB2312" w:cs="宋体"/>
          <w:color w:val="000000"/>
          <w:kern w:val="0"/>
          <w:sz w:val="32"/>
          <w:szCs w:val="32"/>
        </w:rPr>
      </w:pPr>
      <w:r>
        <w:rPr>
          <w:rFonts w:hint="eastAsia" w:ascii="仿宋_GB2312" w:hAnsi="仿宋" w:eastAsia="仿宋_GB2312"/>
          <w:b w:val="0"/>
          <w:bCs w:val="0"/>
          <w:sz w:val="32"/>
          <w:szCs w:val="32"/>
          <w:highlight w:val="none"/>
          <w:u w:val="none"/>
          <w:lang w:eastAsia="zh-CN"/>
        </w:rPr>
        <w:t>民生保障方面：</w:t>
      </w:r>
      <w:r>
        <w:rPr>
          <w:rFonts w:hint="eastAsia" w:ascii="仿宋_GB2312" w:hAnsi="仿宋" w:eastAsia="仿宋_GB2312"/>
          <w:b w:val="0"/>
          <w:bCs w:val="0"/>
          <w:sz w:val="32"/>
          <w:szCs w:val="32"/>
          <w:highlight w:val="none"/>
          <w:u w:val="none"/>
        </w:rPr>
        <w:t>一是扎实推进接诉即办。全年共计受理市民热线各类诉求案件15396件，综合得分78.4分，全区排名24名，街道系统排名17名。二是用心办好民生实事。</w:t>
      </w:r>
      <w:r>
        <w:rPr>
          <w:rFonts w:hint="eastAsia" w:ascii="仿宋_GB2312" w:hAnsi="仿宋" w:eastAsia="仿宋_GB2312"/>
          <w:sz w:val="32"/>
          <w:szCs w:val="32"/>
          <w:highlight w:val="none"/>
          <w:u w:val="none"/>
        </w:rPr>
        <w:t>坚持党建引领物业管理融入基层治理；统筹整合6家医疗机构，打造基层医联体；新增养老助餐点1个、养老床位25张；通过视频协同等技术手段，将街道政务服务能力延伸到17个社区政务服务中心，成为北京市首创的综窗延伸服务模式；推动建设品质提升一刻钟便民生活圈9个。</w:t>
      </w:r>
    </w:p>
    <w:p w14:paraId="069A94B6">
      <w:pPr>
        <w:numPr>
          <w:ilvl w:val="0"/>
          <w:numId w:val="2"/>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质量</w:t>
      </w:r>
    </w:p>
    <w:p w14:paraId="522D4076">
      <w:pPr>
        <w:numPr>
          <w:ilvl w:val="0"/>
          <w:numId w:val="0"/>
        </w:num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奥运村街道在区委区政府的坚强领导下，坚持用习近平新时代中国特色社会主义思想统一思想、统一意志、统一行动，以主题教育为牵引，积极主动融入“五子”联动服务和新发展格局，建立产业促进、科技赋能、双奥文化、社会民生、市域治理五大联盟，依托党群服务中心和“双奥·优才学院”两个平台，利用走动式工作法、网格化管理模式、志愿服务动员机制三个引擎，上下一心、承压奋进，不断推动街道经济社会高质量发展迈上新台阶。</w:t>
      </w:r>
    </w:p>
    <w:p w14:paraId="007C1189">
      <w:pPr>
        <w:numPr>
          <w:ilvl w:val="0"/>
          <w:numId w:val="2"/>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进度</w:t>
      </w:r>
    </w:p>
    <w:p w14:paraId="3FBCE9FC">
      <w:pPr>
        <w:numPr>
          <w:ilvl w:val="0"/>
          <w:numId w:val="0"/>
        </w:num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度，奥运村街道办事处重点工作及重点项目基本按照年初计划实施，全年工作有序开展。并达成了预期目标，2023年全年纳入考核项目预算共4272万元，截止11月30日完成支付4183万元，支出进度完成97.9%，在街道系统排名第9，完成了区财政局要求的95%支出进度任务，较好完成了2023年度街道工作任务。</w:t>
      </w:r>
    </w:p>
    <w:p w14:paraId="071C6C2E">
      <w:pPr>
        <w:numPr>
          <w:ilvl w:val="0"/>
          <w:numId w:val="2"/>
        </w:num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14:paraId="0EE83893">
      <w:pPr>
        <w:numPr>
          <w:ilvl w:val="0"/>
          <w:numId w:val="0"/>
        </w:num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年，奥运村街道办事处实际支出</w:t>
      </w:r>
      <w:r>
        <w:rPr>
          <w:rFonts w:hint="eastAsia" w:ascii="仿宋_GB2312" w:hAnsi="仿宋_GB2312" w:eastAsia="仿宋_GB2312" w:cs="仿宋_GB2312"/>
          <w:sz w:val="32"/>
          <w:szCs w:val="32"/>
        </w:rPr>
        <w:t>22,617.16</w:t>
      </w:r>
      <w:r>
        <w:rPr>
          <w:rFonts w:hint="eastAsia" w:ascii="仿宋_GB2312" w:hAnsi="宋体" w:eastAsia="仿宋_GB2312" w:cs="宋体"/>
          <w:color w:val="000000"/>
          <w:kern w:val="0"/>
          <w:sz w:val="32"/>
          <w:szCs w:val="32"/>
        </w:rPr>
        <w:t>万元，占年度预算总额的100%，未出现超预算列支情况。街道每年申报预算，均按照财政定额标准进行测算，202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产出成本无异常情况。202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 xml:space="preserve">年，街道均严格按照预算金额执行项目，并严格把控过程管理，努力控制成本。各项经费均按照专项资金使用要求，及街道办事处审批规定，由各业务部门负责。                                 </w:t>
      </w:r>
    </w:p>
    <w:p w14:paraId="473EDB20">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14:paraId="4FC32D1F">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14:paraId="3B49F8BE">
      <w:pPr>
        <w:pStyle w:val="2"/>
        <w:ind w:firstLine="560"/>
        <w:rPr>
          <w:rFonts w:hint="eastAsia" w:ascii="仿宋_GB2312" w:hAnsi="仿宋" w:eastAsia="仿宋_GB2312" w:cs="仿宋"/>
          <w:bCs/>
          <w:kern w:val="2"/>
          <w:sz w:val="32"/>
          <w:szCs w:val="32"/>
          <w:lang w:val="en-US" w:eastAsia="zh-CN" w:bidi="ar-SA"/>
        </w:rPr>
      </w:pPr>
      <w:r>
        <w:rPr>
          <w:rFonts w:hint="eastAsia" w:ascii="仿宋_GB2312" w:hAnsi="宋体" w:eastAsia="仿宋_GB2312" w:cs="宋体"/>
          <w:color w:val="000000"/>
          <w:kern w:val="0"/>
          <w:sz w:val="32"/>
          <w:szCs w:val="32"/>
          <w:lang w:eastAsia="zh-CN"/>
        </w:rPr>
        <w:t>我街道项目</w:t>
      </w:r>
      <w:r>
        <w:rPr>
          <w:rFonts w:hint="eastAsia" w:ascii="仿宋_GB2312" w:hAnsi="仿宋" w:eastAsia="仿宋_GB2312" w:cs="仿宋"/>
          <w:bCs/>
          <w:kern w:val="2"/>
          <w:sz w:val="32"/>
          <w:szCs w:val="32"/>
          <w:lang w:val="en-US" w:eastAsia="zh-CN" w:bidi="ar-SA"/>
        </w:rPr>
        <w:t>部门预算资金较好保障了街道、下属事业单位及社区的运转及主要职能工作，能够按照区政府工作要点，保质保量完成工作任务，提升基层治理能力和水平。项目实施产生的经济效益，缺少相关数据资料作为支撑；所产生的经济效益量化需要进一步加强。</w:t>
      </w:r>
    </w:p>
    <w:p w14:paraId="3B5609F7">
      <w:pPr>
        <w:numPr>
          <w:ilvl w:val="0"/>
          <w:numId w:val="3"/>
        </w:num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社会效益</w:t>
      </w:r>
    </w:p>
    <w:p w14:paraId="4A22F97D">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通过各个项目的设立与实施，切实完成街道的各项职责和任务，辖区宜居度持续改善，丰富辖区居民生活。各项目实施发挥了应有的社会效益，基本达到预期设定指标，充分呈现财政资金成效，发挥了应有的社会效益。</w:t>
      </w:r>
    </w:p>
    <w:p w14:paraId="4170058A">
      <w:pPr>
        <w:numPr>
          <w:ilvl w:val="0"/>
          <w:numId w:val="3"/>
        </w:num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环境效益</w:t>
      </w:r>
    </w:p>
    <w:p w14:paraId="67C32881">
      <w:pPr>
        <w:pStyle w:val="2"/>
        <w:numPr>
          <w:ilvl w:val="0"/>
          <w:numId w:val="0"/>
        </w:numPr>
        <w:ind w:firstLine="640" w:firstLineChars="200"/>
      </w:pPr>
      <w:r>
        <w:rPr>
          <w:rFonts w:hint="eastAsia" w:ascii="仿宋_GB2312" w:hAnsi="仿宋" w:eastAsia="仿宋_GB2312"/>
          <w:b w:val="0"/>
          <w:bCs w:val="0"/>
          <w:sz w:val="32"/>
          <w:szCs w:val="32"/>
          <w:highlight w:val="none"/>
          <w:u w:val="none"/>
          <w:lang w:val="en-US" w:eastAsia="zh-CN"/>
        </w:rPr>
        <w:t>2023年我街道环境品质切实提升。</w:t>
      </w:r>
      <w:r>
        <w:rPr>
          <w:rFonts w:hint="eastAsia" w:ascii="仿宋_GB2312" w:hAnsi="仿宋" w:eastAsia="仿宋_GB2312"/>
          <w:sz w:val="32"/>
          <w:szCs w:val="32"/>
          <w:highlight w:val="none"/>
          <w:u w:val="none"/>
        </w:rPr>
        <w:t>完成10条乱点路段停车秩序整治，规范设置道路路侧停车泊位，协调华创生活广场增加错时共享停车位。完成11个老旧小区道闸系统的改造建设；完成科学园南里三至七区、理化所小区综合改造和科学园南里东街街头小微绿地改造项目。</w:t>
      </w:r>
      <w:r>
        <w:rPr>
          <w:rFonts w:hint="eastAsia" w:ascii="仿宋_GB2312" w:hAnsi="仿宋" w:eastAsia="仿宋_GB2312"/>
          <w:sz w:val="32"/>
          <w:szCs w:val="32"/>
          <w:highlight w:val="none"/>
          <w:u w:val="none"/>
          <w:lang w:eastAsia="zh-CN"/>
        </w:rPr>
        <w:t>其中</w:t>
      </w:r>
      <w:r>
        <w:rPr>
          <w:rFonts w:hint="eastAsia" w:ascii="仿宋_GB2312" w:hAnsi="仿宋" w:eastAsia="仿宋_GB2312"/>
          <w:sz w:val="32"/>
          <w:szCs w:val="32"/>
          <w:highlight w:val="none"/>
          <w:u w:val="none"/>
        </w:rPr>
        <w:t>科学园南里东街街头小微绿地改造项目</w:t>
      </w:r>
      <w:r>
        <w:rPr>
          <w:rFonts w:hint="eastAsia" w:ascii="仿宋_GB2312" w:hAnsi="仿宋" w:eastAsia="仿宋_GB2312"/>
          <w:sz w:val="32"/>
          <w:szCs w:val="32"/>
          <w:highlight w:val="none"/>
          <w:u w:val="none"/>
          <w:lang w:eastAsia="zh-CN"/>
        </w:rPr>
        <w:t>通过蓝色的主基调，冬奥元素的流畅空间设计增强了城市公共空间的观赏性，通过植物的重新排列组合，减少了卫生死角，有助于后期维护，同时还植入了雨水花园，并且使用环保材料，潜移默化带给居民低碳环保的理念，提升了居民整体的幸福感和安全感。</w:t>
      </w:r>
    </w:p>
    <w:p w14:paraId="67684714">
      <w:pPr>
        <w:numPr>
          <w:ilvl w:val="0"/>
          <w:numId w:val="3"/>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可持续</w:t>
      </w:r>
      <w:r>
        <w:rPr>
          <w:rFonts w:ascii="仿宋_GB2312" w:hAnsi="宋体" w:eastAsia="仿宋_GB2312" w:cs="宋体"/>
          <w:color w:val="000000"/>
          <w:kern w:val="0"/>
          <w:sz w:val="32"/>
          <w:szCs w:val="32"/>
        </w:rPr>
        <w:t>性影响</w:t>
      </w:r>
    </w:p>
    <w:p w14:paraId="4695AF3B">
      <w:pPr>
        <w:spacing w:line="600" w:lineRule="exact"/>
        <w:ind w:left="105" w:leftChars="50" w:firstLine="480" w:firstLineChars="15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项目的实施具有可持续影响，产生的可持续影响效益基本达到预期设定指标。</w:t>
      </w:r>
    </w:p>
    <w:p w14:paraId="3F14AB8F">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14:paraId="3A625AF9">
      <w:pPr>
        <w:ind w:firstLine="640" w:firstLineChars="200"/>
      </w:pPr>
      <w:r>
        <w:rPr>
          <w:rFonts w:hint="eastAsia" w:ascii="仿宋_GB2312" w:hAnsi="仿宋" w:eastAsia="仿宋_GB2312" w:cs="Times New Roman"/>
          <w:kern w:val="2"/>
          <w:sz w:val="32"/>
          <w:szCs w:val="32"/>
          <w:highlight w:val="none"/>
          <w:u w:val="none"/>
          <w:lang w:val="en-US" w:eastAsia="zh-CN" w:bidi="ar-SA"/>
        </w:rPr>
        <w:t>2023年，奥运村街道办事处项目满意度均已达标，居民满意度较高。</w:t>
      </w:r>
    </w:p>
    <w:p w14:paraId="77CFBEB7">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405025C6">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14:paraId="21F315CE">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14:paraId="6989450F">
      <w:pPr>
        <w:ind w:firstLine="640" w:firstLineChars="200"/>
      </w:pPr>
      <w:r>
        <w:rPr>
          <w:rFonts w:hint="eastAsia" w:ascii="仿宋_GB2312" w:hAnsi="仿宋" w:eastAsia="仿宋_GB2312" w:cs="Times New Roman"/>
          <w:kern w:val="2"/>
          <w:sz w:val="32"/>
          <w:szCs w:val="32"/>
          <w:highlight w:val="none"/>
          <w:u w:val="none"/>
          <w:lang w:val="en-US" w:eastAsia="zh-CN" w:bidi="ar-SA"/>
        </w:rPr>
        <w:t>办事处根据自身工作开展情况制定了预决算管理、预算绩效管理、收支管理、票据管理、专项资金管理、货币资金管理、公务卡管理、采购管理、政府购买服务管理、资产管理、合同管理等方面制度，各项制度相对健全，部门内部财务管理制度及会计核算制度基本完整、合规。23年新印发《奥运村街道办事处工程项目管理制度（修订版），进一步规范街道工程建设项目管理工作。</w:t>
      </w:r>
    </w:p>
    <w:p w14:paraId="38C013DA">
      <w:pPr>
        <w:numPr>
          <w:ilvl w:val="0"/>
          <w:numId w:val="4"/>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资金使用合规性</w:t>
      </w:r>
      <w:r>
        <w:rPr>
          <w:rFonts w:ascii="仿宋_GB2312" w:hAnsi="宋体" w:eastAsia="仿宋_GB2312" w:cs="宋体"/>
          <w:color w:val="000000"/>
          <w:kern w:val="0"/>
          <w:sz w:val="32"/>
          <w:szCs w:val="32"/>
        </w:rPr>
        <w:t>和安全性</w:t>
      </w:r>
    </w:p>
    <w:p w14:paraId="36268120">
      <w:pPr>
        <w:ind w:firstLine="640" w:firstLineChars="200"/>
        <w:rPr>
          <w:rFonts w:hint="eastAsia" w:ascii="仿宋_GB2312" w:hAnsi="仿宋" w:eastAsia="仿宋_GB2312" w:cs="Times New Roman"/>
          <w:kern w:val="2"/>
          <w:sz w:val="32"/>
          <w:szCs w:val="32"/>
          <w:highlight w:val="none"/>
          <w:u w:val="none"/>
          <w:lang w:val="en-US" w:eastAsia="zh-CN" w:bidi="ar-SA"/>
        </w:rPr>
      </w:pPr>
      <w:r>
        <w:rPr>
          <w:rFonts w:hint="eastAsia" w:ascii="仿宋_GB2312" w:hAnsi="仿宋" w:eastAsia="仿宋_GB2312" w:cs="Times New Roman"/>
          <w:kern w:val="2"/>
          <w:sz w:val="32"/>
          <w:szCs w:val="32"/>
          <w:highlight w:val="none"/>
          <w:u w:val="none"/>
          <w:lang w:val="en-US" w:eastAsia="zh-CN" w:bidi="ar-SA"/>
        </w:rPr>
        <w:t>办事处各项资金使用严格按照国家财经法规和街道财务管理制度、收支管理办法规定以及有关专项资金管理办法的规定执行。</w:t>
      </w:r>
    </w:p>
    <w:p w14:paraId="33F023BA">
      <w:pPr>
        <w:pStyle w:val="2"/>
        <w:ind w:firstLine="560"/>
      </w:pPr>
      <w:r>
        <w:rPr>
          <w:rFonts w:hint="eastAsia" w:ascii="仿宋_GB2312" w:hAnsi="仿宋" w:eastAsia="仿宋_GB2312" w:cs="仿宋"/>
          <w:bCs/>
          <w:kern w:val="2"/>
          <w:sz w:val="32"/>
          <w:szCs w:val="32"/>
          <w:lang w:val="en-US" w:eastAsia="zh-CN" w:bidi="ar-SA"/>
        </w:rPr>
        <w:t>在2023年部门预算管理中，项目能够将厉行节约与部门预算管理相结合，从严从紧编制预算，严格控制“三公”</w:t>
      </w:r>
      <w:bookmarkStart w:id="0" w:name="_GoBack"/>
      <w:bookmarkEnd w:id="0"/>
      <w:r>
        <w:rPr>
          <w:rFonts w:hint="eastAsia" w:ascii="仿宋_GB2312" w:hAnsi="仿宋" w:eastAsia="仿宋_GB2312" w:cs="仿宋"/>
          <w:bCs/>
          <w:kern w:val="2"/>
          <w:sz w:val="32"/>
          <w:szCs w:val="32"/>
          <w:lang w:val="en-US" w:eastAsia="zh-CN" w:bidi="ar-SA"/>
        </w:rPr>
        <w:t>经费等一般性支出，通过加大执行环节控制，提高预算资金使用的合规性和安全性，采取的方式方法有：一是严格按照部门预算批复执行，坚持统筹兼顾、指标控制、从严考核的原则，紧紧围绕部门发展需要确定基本支出和项目支出预算，严格执行专项资金管理制度，不挪用和挤占项目资金，确保资金使用安全。二是对属于政府采购项目的支出，严格履行政府采购程序，确保资金使用的安全性和合规性。</w:t>
      </w:r>
    </w:p>
    <w:p w14:paraId="5BEEA176">
      <w:pPr>
        <w:numPr>
          <w:ilvl w:val="0"/>
          <w:numId w:val="4"/>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14:paraId="4D9E96B1">
      <w:pPr>
        <w:pStyle w:val="2"/>
        <w:numPr>
          <w:ilvl w:val="0"/>
          <w:numId w:val="0"/>
        </w:numPr>
        <w:ind w:firstLine="640" w:firstLineChars="200"/>
      </w:pPr>
      <w:r>
        <w:rPr>
          <w:rFonts w:hint="eastAsia" w:ascii="仿宋_GB2312" w:hAnsi="仿宋" w:eastAsia="仿宋_GB2312" w:cs="仿宋"/>
          <w:bCs/>
          <w:kern w:val="2"/>
          <w:sz w:val="32"/>
          <w:szCs w:val="32"/>
          <w:lang w:val="en-US" w:eastAsia="zh-CN" w:bidi="ar-SA"/>
        </w:rPr>
        <w:t>在内控制度建设的基础上，结合预算执行中发现的问题，能够进一步完善财务管理制度。同时，加强会计核算基本工作，保证会计资料准确、完整，部门基础信息管理较好。预算资金的使用与相关的预算财务管理制度相符，同时，符合国家财经法规和财务管理制度规定，以及有关专项资金管理办法的规定。</w:t>
      </w:r>
    </w:p>
    <w:p w14:paraId="7E77CA46">
      <w:pPr>
        <w:numPr>
          <w:ilvl w:val="0"/>
          <w:numId w:val="5"/>
        </w:num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资产管理</w:t>
      </w:r>
    </w:p>
    <w:p w14:paraId="0317DFD7">
      <w:pPr>
        <w:pStyle w:val="2"/>
        <w:numPr>
          <w:ilvl w:val="0"/>
          <w:numId w:val="0"/>
        </w:numPr>
        <w:ind w:firstLine="640" w:firstLineChars="20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在资产管理工作中，按时完成部门资产动态系统的年度报告工作，严格按照资产配置标准配置资产，对不能正常使用并达到最高使用年限的资产进行报废处置。</w:t>
      </w:r>
    </w:p>
    <w:p w14:paraId="6DC88DF2">
      <w:pPr>
        <w:numPr>
          <w:ilvl w:val="0"/>
          <w:numId w:val="0"/>
        </w:numPr>
        <w:spacing w:line="240" w:lineRule="auto"/>
        <w:ind w:leftChars="0" w:firstLine="640" w:firstLineChars="200"/>
      </w:pPr>
      <w:r>
        <w:rPr>
          <w:rFonts w:hint="eastAsia" w:ascii="楷体_GB2312" w:eastAsia="楷体_GB2312"/>
          <w:sz w:val="32"/>
          <w:szCs w:val="32"/>
          <w:lang w:eastAsia="zh-CN"/>
        </w:rPr>
        <w:t>（三）</w:t>
      </w:r>
      <w:r>
        <w:rPr>
          <w:rFonts w:hint="eastAsia" w:ascii="楷体_GB2312" w:eastAsia="楷体_GB2312"/>
          <w:sz w:val="32"/>
          <w:szCs w:val="32"/>
        </w:rPr>
        <w:t>绩效</w:t>
      </w:r>
      <w:r>
        <w:rPr>
          <w:rFonts w:ascii="楷体_GB2312" w:eastAsia="楷体_GB2312"/>
          <w:sz w:val="32"/>
          <w:szCs w:val="32"/>
        </w:rPr>
        <w:t>管理</w:t>
      </w:r>
    </w:p>
    <w:p w14:paraId="33E529CE">
      <w:pPr>
        <w:numPr>
          <w:ilvl w:val="0"/>
          <w:numId w:val="0"/>
        </w:numPr>
        <w:spacing w:line="600" w:lineRule="exact"/>
        <w:ind w:firstLine="640" w:firstLineChars="200"/>
      </w:pPr>
      <w:r>
        <w:rPr>
          <w:rFonts w:hint="eastAsia" w:ascii="仿宋_GB2312" w:hAnsi="仿宋" w:eastAsia="仿宋_GB2312" w:cs="仿宋"/>
          <w:bCs/>
          <w:kern w:val="2"/>
          <w:sz w:val="32"/>
          <w:szCs w:val="32"/>
          <w:lang w:val="en-US" w:eastAsia="zh-CN" w:bidi="ar-SA"/>
        </w:rPr>
        <w:t>在项目管理方面，在项目实施过程中进行定期和不定期检查，对存在不规范的项目及时跟进处理，做到事前控制、事中监督、事后评价，通过规范业务流程，构筑内部监督管理体系。更加重视科学决策，进一步细化项目预算内容和规划目标，针对重点工作内容制定相关专项方案，加强项目可研、中长期计划对部门决策的引领和指导，为合理设定部门整体绩效目标、产出指标、精准编制预算提供可靠依据，服务对象对目前的政策补贴及保障措施等各个方面满意程度较高，满意度均超过了90%。23年办事处更新项目管理制度要求工程实施部门在确定项目之前，应对项目必要性和可行性进行审查，可采取咨询相关业务部门、相关专家或通过基层民主协商方式，确定工程项目。对项目规模、概（预）算、资金来源、质量要求、开工及竣工时间、承建单位的确定形式等进行前期立项调研。调研结束后，起草项目立项请示（或申请），按审批权限，提交街道主要领导审批或集体决策讨论。计划外增加的项目，依据街道集体决策意见立项。30 万元（含）以上的工程项目，应编制项目可行性论证报告。400 万元（含）以上工程项目可聘请第三方编制项目可行性论证报告。加强了项目的事前绩效管理。</w:t>
      </w:r>
    </w:p>
    <w:p w14:paraId="2981554A">
      <w:pPr>
        <w:numPr>
          <w:ilvl w:val="0"/>
          <w:numId w:val="0"/>
        </w:numPr>
        <w:spacing w:line="600" w:lineRule="exact"/>
        <w:ind w:leftChars="200" w:firstLine="320" w:firstLineChars="100"/>
        <w:rPr>
          <w:rFonts w:hint="eastAsia" w:ascii="楷体_GB2312" w:eastAsia="楷体_GB2312"/>
          <w:sz w:val="32"/>
          <w:szCs w:val="32"/>
        </w:rPr>
      </w:pPr>
      <w:r>
        <w:rPr>
          <w:rFonts w:hint="eastAsia" w:ascii="楷体_GB2312" w:eastAsia="楷体_GB2312"/>
          <w:sz w:val="32"/>
          <w:szCs w:val="32"/>
          <w:lang w:eastAsia="zh-CN"/>
        </w:rPr>
        <w:t>（四）</w:t>
      </w:r>
      <w:r>
        <w:rPr>
          <w:rFonts w:hint="eastAsia" w:ascii="楷体_GB2312" w:eastAsia="楷体_GB2312"/>
          <w:sz w:val="32"/>
          <w:szCs w:val="32"/>
        </w:rPr>
        <w:t>结转结余率</w:t>
      </w:r>
    </w:p>
    <w:p w14:paraId="0CC404FF">
      <w:pPr>
        <w:pStyle w:val="2"/>
        <w:numPr>
          <w:ilvl w:val="0"/>
          <w:numId w:val="0"/>
        </w:numPr>
        <w:ind w:leftChars="200" w:firstLine="320" w:firstLineChars="10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2023年我单位财政拨款年末结转结余为0元，</w:t>
      </w:r>
      <w:r>
        <w:rPr>
          <w:rFonts w:hint="eastAsia" w:ascii="楷体_GB2312" w:eastAsia="楷体_GB2312"/>
          <w:sz w:val="32"/>
          <w:szCs w:val="32"/>
        </w:rPr>
        <w:t>结转结余率</w:t>
      </w:r>
      <w:r>
        <w:rPr>
          <w:rFonts w:hint="eastAsia" w:ascii="楷体_GB2312" w:eastAsia="楷体_GB2312"/>
          <w:sz w:val="32"/>
          <w:szCs w:val="32"/>
          <w:lang w:eastAsia="zh-CN"/>
        </w:rPr>
        <w:t>为</w:t>
      </w:r>
      <w:r>
        <w:rPr>
          <w:rFonts w:hint="eastAsia" w:ascii="楷体_GB2312" w:eastAsia="楷体_GB2312"/>
          <w:sz w:val="32"/>
          <w:szCs w:val="32"/>
          <w:lang w:val="en-US" w:eastAsia="zh-CN"/>
        </w:rPr>
        <w:t>0%。</w:t>
      </w:r>
    </w:p>
    <w:p w14:paraId="086C9B9B">
      <w:pPr>
        <w:numPr>
          <w:ilvl w:val="0"/>
          <w:numId w:val="0"/>
        </w:numPr>
        <w:spacing w:line="600" w:lineRule="exact"/>
        <w:ind w:leftChars="200" w:firstLine="320" w:firstLineChars="100"/>
        <w:rPr>
          <w:rFonts w:ascii="楷体_GB2312" w:eastAsia="楷体_GB2312"/>
          <w:sz w:val="32"/>
          <w:szCs w:val="32"/>
        </w:rPr>
      </w:pPr>
      <w:r>
        <w:rPr>
          <w:rFonts w:hint="eastAsia" w:ascii="楷体_GB2312" w:eastAsia="楷体_GB2312"/>
          <w:sz w:val="32"/>
          <w:szCs w:val="32"/>
          <w:lang w:eastAsia="zh-CN"/>
        </w:rPr>
        <w:t>（五）</w:t>
      </w:r>
      <w:r>
        <w:rPr>
          <w:rFonts w:hint="eastAsia" w:ascii="楷体_GB2312" w:eastAsia="楷体_GB2312"/>
          <w:sz w:val="32"/>
          <w:szCs w:val="32"/>
        </w:rPr>
        <w:t>部门</w:t>
      </w:r>
      <w:r>
        <w:rPr>
          <w:rFonts w:ascii="楷体_GB2312" w:eastAsia="楷体_GB2312"/>
          <w:sz w:val="32"/>
          <w:szCs w:val="32"/>
        </w:rPr>
        <w:t>预决算差异率</w:t>
      </w:r>
    </w:p>
    <w:p w14:paraId="21777630">
      <w:pPr>
        <w:ind w:firstLine="640" w:firstLineChars="200"/>
      </w:pPr>
      <w:r>
        <w:rPr>
          <w:rFonts w:hint="eastAsia" w:ascii="仿宋_GB2312" w:hAnsi="仿宋" w:eastAsia="仿宋_GB2312" w:cs="仿宋"/>
          <w:bCs/>
          <w:kern w:val="2"/>
          <w:sz w:val="32"/>
          <w:szCs w:val="32"/>
          <w:lang w:val="en-US" w:eastAsia="zh-CN" w:bidi="ar-SA"/>
        </w:rPr>
        <w:t>2023年年初预算数为13,271.98万元，决算支出数为20,674.42万元，差额为7402.44万元, 部门预决算差异率55.77%。</w:t>
      </w:r>
    </w:p>
    <w:p w14:paraId="038A7DE1">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05627DCD">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14:paraId="7BB91C58">
      <w:pPr>
        <w:ind w:firstLine="640" w:firstLineChars="200"/>
        <w:rPr>
          <w:rFonts w:hint="eastAsia" w:ascii="仿宋_GB2312" w:hAnsi="仿宋" w:eastAsia="仿宋_GB2312" w:cs="仿宋"/>
          <w:bCs/>
          <w:kern w:val="2"/>
          <w:sz w:val="32"/>
          <w:szCs w:val="32"/>
          <w:highlight w:val="none"/>
          <w:lang w:val="en-US" w:eastAsia="zh-CN" w:bidi="ar-SA"/>
        </w:rPr>
      </w:pPr>
      <w:r>
        <w:rPr>
          <w:rFonts w:hint="eastAsia" w:ascii="仿宋_GB2312" w:hAnsi="仿宋" w:eastAsia="仿宋_GB2312" w:cs="仿宋"/>
          <w:bCs/>
          <w:kern w:val="2"/>
          <w:sz w:val="32"/>
          <w:szCs w:val="32"/>
          <w:highlight w:val="none"/>
          <w:lang w:val="en-US" w:eastAsia="zh-CN" w:bidi="ar-SA"/>
        </w:rPr>
        <w:t>根据预算申报以及实际完成情况，街道对2023年财政拨款的92个项目进行了绩效自评。从资金执行情况及绩效指标完成情况来看，各项目均有序开展，基本完成既定目标，通过部门整体绩效目标的执行，一是保障了街道办事处日常办公及各项业务的正常开展。二是实现全面履行办事处的各项职能，保障了各项工作任务稳步推进、按时完成。三是进一步强化公共服务，改善民生，进一步加强环境建设，维护社会稳定，细化社会管理，对社会和谐稳定起到良好的促进作用。我单位对部门整体绩效进行综合评价得分:91分。</w:t>
      </w:r>
    </w:p>
    <w:p w14:paraId="0873F103">
      <w:pPr>
        <w:numPr>
          <w:ilvl w:val="0"/>
          <w:numId w:val="6"/>
        </w:num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存在的问题及原因分析</w:t>
      </w:r>
    </w:p>
    <w:p w14:paraId="0E3F4E65">
      <w:pPr>
        <w:pStyle w:val="2"/>
        <w:numPr>
          <w:ilvl w:val="0"/>
          <w:numId w:val="0"/>
        </w:numPr>
        <w:ind w:firstLine="640" w:firstLineChars="200"/>
      </w:pPr>
      <w:r>
        <w:rPr>
          <w:rFonts w:hint="eastAsia" w:ascii="仿宋_GB2312" w:hAnsi="仿宋" w:eastAsia="仿宋_GB2312" w:cs="仿宋"/>
          <w:bCs/>
          <w:kern w:val="2"/>
          <w:sz w:val="32"/>
          <w:szCs w:val="32"/>
          <w:lang w:val="en-US" w:eastAsia="zh-CN" w:bidi="ar-SA"/>
        </w:rPr>
        <w:t>部门整体绩效总体目标绩效效果指标细化、量化不足，项目决策科学性支撑资料不足；绩效目标申报表填写的不够科学合理，指标设置不完整。</w:t>
      </w:r>
    </w:p>
    <w:p w14:paraId="274FA956">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14:paraId="5623A850">
      <w:pPr>
        <w:pStyle w:val="2"/>
        <w:ind w:firstLine="56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科学合理设置绩效指标，各类指标值要与实际工作相结合，与该专项资金完成的任务量相匹配。结合多种来源经费的规律和特点，做好经费申请和执行的前瞻性工作。及时履行规范的预算调整程序。在预算执行过程中科学预判年度经费需求，合理准确编制项目预算，提高预算执行刚性约束。</w:t>
      </w:r>
    </w:p>
    <w:p w14:paraId="7C504A44">
      <w:r>
        <w:rPr>
          <w:rFonts w:hint="eastAsia" w:ascii="方正小标宋简体" w:eastAsia="方正小标宋简体"/>
          <w:sz w:val="36"/>
          <w:szCs w:val="36"/>
        </w:rPr>
        <w:t xml:space="preserve"> </w:t>
      </w:r>
    </w:p>
    <w:p w14:paraId="078EEF13"/>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93B83">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79670B">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979670B">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14:paraId="19ADC7F4">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FBAD8B"/>
    <w:multiLevelType w:val="singleLevel"/>
    <w:tmpl w:val="65FBAD8B"/>
    <w:lvl w:ilvl="0" w:tentative="0">
      <w:start w:val="2"/>
      <w:numFmt w:val="chineseCounting"/>
      <w:suff w:val="nothing"/>
      <w:lvlText w:val="（%1）"/>
      <w:lvlJc w:val="left"/>
    </w:lvl>
  </w:abstractNum>
  <w:abstractNum w:abstractNumId="1">
    <w:nsid w:val="65FBD2BE"/>
    <w:multiLevelType w:val="singleLevel"/>
    <w:tmpl w:val="65FBD2BE"/>
    <w:lvl w:ilvl="0" w:tentative="0">
      <w:start w:val="2"/>
      <w:numFmt w:val="decimal"/>
      <w:suff w:val="nothing"/>
      <w:lvlText w:val="%1."/>
      <w:lvlJc w:val="left"/>
    </w:lvl>
  </w:abstractNum>
  <w:abstractNum w:abstractNumId="2">
    <w:nsid w:val="65FBE414"/>
    <w:multiLevelType w:val="singleLevel"/>
    <w:tmpl w:val="65FBE414"/>
    <w:lvl w:ilvl="0" w:tentative="0">
      <w:start w:val="2"/>
      <w:numFmt w:val="decimal"/>
      <w:suff w:val="nothing"/>
      <w:lvlText w:val="%1."/>
      <w:lvlJc w:val="left"/>
    </w:lvl>
  </w:abstractNum>
  <w:abstractNum w:abstractNumId="3">
    <w:nsid w:val="65FBEA4F"/>
    <w:multiLevelType w:val="singleLevel"/>
    <w:tmpl w:val="65FBEA4F"/>
    <w:lvl w:ilvl="0" w:tentative="0">
      <w:start w:val="2"/>
      <w:numFmt w:val="decimal"/>
      <w:suff w:val="nothing"/>
      <w:lvlText w:val="%1."/>
      <w:lvlJc w:val="left"/>
    </w:lvl>
  </w:abstractNum>
  <w:abstractNum w:abstractNumId="4">
    <w:nsid w:val="65FBEB68"/>
    <w:multiLevelType w:val="singleLevel"/>
    <w:tmpl w:val="65FBEB68"/>
    <w:lvl w:ilvl="0" w:tentative="0">
      <w:start w:val="2"/>
      <w:numFmt w:val="chineseCounting"/>
      <w:suff w:val="nothing"/>
      <w:lvlText w:val="（%1）"/>
      <w:lvlJc w:val="left"/>
    </w:lvl>
  </w:abstractNum>
  <w:abstractNum w:abstractNumId="5">
    <w:nsid w:val="65FBEEBC"/>
    <w:multiLevelType w:val="singleLevel"/>
    <w:tmpl w:val="65FBEEBC"/>
    <w:lvl w:ilvl="0" w:tentative="0">
      <w:start w:val="2"/>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D39DF"/>
    <w:rsid w:val="001C7834"/>
    <w:rsid w:val="0023434C"/>
    <w:rsid w:val="00465181"/>
    <w:rsid w:val="0057202C"/>
    <w:rsid w:val="005E3946"/>
    <w:rsid w:val="0060746B"/>
    <w:rsid w:val="00826643"/>
    <w:rsid w:val="00954F6E"/>
    <w:rsid w:val="00B03B70"/>
    <w:rsid w:val="00CF07EE"/>
    <w:rsid w:val="00E617B2"/>
    <w:rsid w:val="00F42C33"/>
    <w:rsid w:val="31146CC9"/>
    <w:rsid w:val="313F558F"/>
    <w:rsid w:val="5B1D39DF"/>
    <w:rsid w:val="5E0B0087"/>
    <w:rsid w:val="5EAD1486"/>
    <w:rsid w:val="6E0E5CF7"/>
    <w:rsid w:val="77025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6">
    <w:name w:val="Normal Table"/>
    <w:unhideWhenUsed/>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200" w:firstLineChars="200"/>
    </w:pPr>
  </w:style>
  <w:style w:type="paragraph" w:styleId="3">
    <w:name w:val="Balloon Text"/>
    <w:basedOn w:val="1"/>
    <w:link w:val="9"/>
    <w:unhideWhenUsed/>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20"/>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批注框文本 字符"/>
    <w:basedOn w:val="7"/>
    <w:link w:val="3"/>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78</Words>
  <Characters>448</Characters>
  <Lines>3</Lines>
  <Paragraphs>1</Paragraphs>
  <TotalTime>0</TotalTime>
  <ScaleCrop>false</ScaleCrop>
  <LinksUpToDate>false</LinksUpToDate>
  <CharactersWithSpaces>525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2024-01-18T03:00:00Z</dcterms:created>
  <dc:creator>Administrator</dc:creator>
  <cp:lastModifiedBy>高英</cp:lastModifiedBy>
  <cp:lastPrinted>2024-02-27T01:50:00Z</cp:lastPrinted>
  <dcterms:modified xsi:type="dcterms:W3CDTF">2025-02-28T07:26:45Z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5DF9B4F239A44CD8ADD7410EA4ABC0AE_12</vt:lpwstr>
  </property>
</Properties>
</file>