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6"/>
          <w:szCs w:val="36"/>
        </w:rPr>
        <w:t>部门整体绩效评价报告</w:t>
      </w:r>
    </w:p>
    <w:p>
      <w:pPr>
        <w:jc w:val="center"/>
        <w:rPr>
          <w:rFonts w:ascii="仿宋_GB2312"/>
          <w:szCs w:val="30"/>
        </w:rPr>
      </w:pPr>
    </w:p>
    <w:p>
      <w:pPr>
        <w:spacing w:line="600" w:lineRule="exact"/>
        <w:ind w:firstLine="640" w:firstLineChars="200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一、部门概况</w:t>
      </w:r>
    </w:p>
    <w:p>
      <w:pPr>
        <w:spacing w:line="600" w:lineRule="exact"/>
        <w:ind w:firstLine="640" w:firstLineChars="200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（一）机构设置及职责工作任务情况</w:t>
      </w:r>
    </w:p>
    <w:p>
      <w:pPr>
        <w:pStyle w:val="3"/>
        <w:ind w:firstLine="640" w:firstLineChars="200"/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东湖街道办事处设置以下职能科</w:t>
      </w:r>
      <w:bookmarkStart w:id="0" w:name="_GoBack"/>
      <w:bookmarkEnd w:id="0"/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室：综合办公室、党群工作办公室、平安建设办公室、城市管理办公室、社区建设办公室、民生保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障办公室、纪检监察组、综合行政执法队、市民活动中心、市民诉求处置中心、便民服务中心。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职能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 w:bidi="ar-SA"/>
        </w:rPr>
        <w:t>工作任务主要为：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贯彻执行法律、法规、规章和市、区政府的决定、命令，依法管理基层公共事务。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承担辖区市容环境卫生、绿化美化的管理工作，推进街巷长、河长制工作，组织、协调城市管理综合执法和环境秩序综合治理工作，推进城市精细化管理。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协助依法履行安全生产、消防安全、食品安全、环境保护、劳动保障、流动人口及出租房屋监督管理工作，承担辖区应急、防汛和防灾减灾工作。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4.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参与制定并组织实施社区建设规划和公共服务设施规划，组织辖区单位、居民和志愿者队伍为社区发展服务。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5.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负责社区居民委员会建设，指导社区居民委员会工作，培育发展社区社会组织，指导、监督社区业主委员会。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6.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推进居民自治，及时处理并向上级政府反映居民的意见和要求。动员社会力量参与社区治理，推动形成社区共治合力。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7.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组织开展群众性文化、体育、科普活动，开展法治宣传和社会公德教育，推动社区公益事业发展。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8.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组织开展公共服务，落实人力社保、民政、卫生健康、教育、住房保障、便民服务等政策，维护老年人、妇女、未成年人、残疾人等合法权益。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9.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承办区政府交办的其他事项。</w:t>
      </w:r>
    </w:p>
    <w:p>
      <w:pPr>
        <w:spacing w:line="600" w:lineRule="exact"/>
        <w:ind w:firstLine="640" w:firstLineChars="200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（二）部门整体绩效目标设立情况。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部门整体绩效目标设立需确保目标与职能部门相匹配，从街道实际出发，合理设立预期目标，设立基础为以下四点：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1.主动适应经济新常态，抢抓机遇、攻坚克难，全面做好减人口、稳增长、治环境、惠民生、防风险各项工作。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2.重拳整治环境突出问题，不断提升城市运行保障水平，巩固社会安全稳定局面。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3.始终坚持以人民为中心的发展思想，积极回应百姓期盼，加大民生改善力度，民生福祉持续提升。</w:t>
      </w:r>
    </w:p>
    <w:p>
      <w:pPr>
        <w:pStyle w:val="2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4.提高行政效能，深入推进学习教育常态化、制度化，持续强化基层党组织自身建设和党员干部能力建设，坚持依法行政，加快政府职能转变，不断提高服务发展能力。</w:t>
      </w:r>
    </w:p>
    <w:p>
      <w:pPr>
        <w:pStyle w:val="2"/>
      </w:pPr>
    </w:p>
    <w:p>
      <w:pPr>
        <w:spacing w:line="60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二</w:t>
      </w:r>
      <w:r>
        <w:rPr>
          <w:rFonts w:ascii="黑体" w:hAnsi="黑体" w:eastAsia="黑体" w:cs="宋体"/>
          <w:color w:val="000000"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当年</w:t>
      </w:r>
      <w:r>
        <w:rPr>
          <w:rFonts w:ascii="黑体" w:hAnsi="黑体" w:eastAsia="黑体" w:cs="宋体"/>
          <w:color w:val="000000"/>
          <w:kern w:val="0"/>
          <w:sz w:val="32"/>
          <w:szCs w:val="32"/>
        </w:rPr>
        <w:t>预算执行情况</w:t>
      </w:r>
    </w:p>
    <w:p>
      <w:pPr>
        <w:pStyle w:val="6"/>
        <w:keepNext w:val="0"/>
        <w:keepLines w:val="0"/>
        <w:widowControl/>
        <w:suppressLineNumbers w:val="0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 w:bidi="ar-SA"/>
        </w:rPr>
        <w:t xml:space="preserve">2024年全年预算数15,301.64万元，其中，基本支出预算数4,598.77万元，项目支出预算数10,702.87万元，其他支出预算数0万元。资金总体支出15,301.64万元，其中，基本支出4,598.77万元，项目支出10,702.87万元，其他支出0万元。预算执行率为100%。 </w:t>
      </w:r>
    </w:p>
    <w:p>
      <w:pPr>
        <w:spacing w:line="600" w:lineRule="exact"/>
        <w:ind w:left="105" w:leftChars="50" w:firstLine="480" w:firstLineChars="150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三</w:t>
      </w:r>
      <w:r>
        <w:rPr>
          <w:rFonts w:ascii="黑体" w:hAnsi="黑体" w:eastAsia="黑体" w:cs="宋体"/>
          <w:color w:val="000000"/>
          <w:kern w:val="0"/>
          <w:sz w:val="32"/>
          <w:szCs w:val="32"/>
        </w:rPr>
        <w:t>、整体绩效目标实现情况</w:t>
      </w:r>
    </w:p>
    <w:p>
      <w:pPr>
        <w:spacing w:line="600" w:lineRule="exact"/>
        <w:ind w:left="105" w:leftChars="50" w:firstLine="480" w:firstLineChars="150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（一）产出完成情况分析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开展城市设计和品牌谋划，形成4锚点+6示范+N行动计划项目体系，推动成果转化应用，打造特色大街，</w:t>
      </w:r>
      <w:r>
        <w:rPr>
          <w:rFonts w:ascii="Times New Roman" w:hAnsi="Times New Roman" w:eastAsia="仿宋_GB2312"/>
          <w:kern w:val="0"/>
          <w:sz w:val="32"/>
          <w:szCs w:val="32"/>
        </w:rPr>
        <w:t>实施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人居环境</w:t>
      </w:r>
      <w:r>
        <w:rPr>
          <w:rFonts w:ascii="Times New Roman" w:hAnsi="Times New Roman" w:eastAsia="仿宋_GB2312"/>
          <w:kern w:val="0"/>
          <w:sz w:val="32"/>
          <w:szCs w:val="32"/>
        </w:rPr>
        <w:t>微更新项目36个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，全面提升城市环境面貌。开展地籍调查，形成土地房屋权属矢量数据库，梳理9个待开发地块，深入开展2个地块盘活应用，为优化城市功能、招商引资和民生项目做好储备。以北小河滨水空间整治提升</w:t>
      </w:r>
      <w:r>
        <w:rPr>
          <w:rFonts w:ascii="Times New Roman" w:hAnsi="Times New Roman" w:eastAsia="仿宋_GB2312"/>
          <w:kern w:val="0"/>
          <w:sz w:val="32"/>
          <w:szCs w:val="32"/>
        </w:rPr>
        <w:t>为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契机，推动</w:t>
      </w:r>
      <w:r>
        <w:rPr>
          <w:rFonts w:ascii="Times New Roman" w:hAnsi="Times New Roman" w:eastAsia="仿宋_GB2312"/>
          <w:kern w:val="0"/>
          <w:sz w:val="32"/>
          <w:szCs w:val="32"/>
        </w:rPr>
        <w:t>北小河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周边环境整治及</w:t>
      </w:r>
      <w:r>
        <w:rPr>
          <w:rFonts w:ascii="Times New Roman" w:hAnsi="Times New Roman" w:eastAsia="仿宋_GB2312"/>
          <w:kern w:val="0"/>
          <w:sz w:val="32"/>
          <w:szCs w:val="32"/>
        </w:rPr>
        <w:t xml:space="preserve"> “花园城市”创建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等4个配套</w:t>
      </w:r>
      <w:r>
        <w:rPr>
          <w:rFonts w:ascii="Times New Roman" w:hAnsi="Times New Roman" w:eastAsia="仿宋_GB2312"/>
          <w:kern w:val="0"/>
          <w:sz w:val="32"/>
          <w:szCs w:val="32"/>
        </w:rPr>
        <w:t>项目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建设，营造两岸、四区和八大场景，践行河道复兴带动城市更新理念。以嵌入式服务综合体建设开展社区用房设施提升，</w:t>
      </w:r>
      <w:r>
        <w:rPr>
          <w:rFonts w:ascii="Times New Roman" w:hAnsi="Times New Roman" w:eastAsia="仿宋_GB2312"/>
          <w:kern w:val="0"/>
          <w:sz w:val="32"/>
          <w:szCs w:val="32"/>
        </w:rPr>
        <w:t>补建改建社区服务综合体4处，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展现社区服务新面貌。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开展“七有五性”体检评估，摸清民生短板，建立优化提升项目台账。成立“爱善东湖”公益联盟，有</w:t>
      </w:r>
      <w:r>
        <w:rPr>
          <w:rFonts w:hint="eastAsia" w:ascii="Times New Roman" w:hAnsi="Times New Roman" w:eastAsia="仿宋_GB2312"/>
          <w:sz w:val="32"/>
          <w:szCs w:val="32"/>
        </w:rPr>
        <w:t>26</w:t>
      </w:r>
      <w:r>
        <w:rPr>
          <w:rFonts w:hint="eastAsia" w:ascii="仿宋_GB2312" w:hAnsi="Times New Roman" w:eastAsia="仿宋_GB2312"/>
          <w:sz w:val="32"/>
          <w:szCs w:val="32"/>
        </w:rPr>
        <w:t>家社会积极参与联盟工作，汇聚</w:t>
      </w:r>
      <w:r>
        <w:rPr>
          <w:rFonts w:hint="eastAsia" w:ascii="Times New Roman" w:hAnsi="Times New Roman" w:eastAsia="仿宋_GB2312"/>
          <w:sz w:val="32"/>
          <w:szCs w:val="32"/>
        </w:rPr>
        <w:t>42项资源清单（折合金额200万余元）。设立“爱善东湖”</w:t>
      </w:r>
      <w:r>
        <w:rPr>
          <w:rFonts w:hint="eastAsia" w:ascii="仿宋_GB2312" w:hAnsi="Times New Roman" w:eastAsia="仿宋_GB2312"/>
          <w:sz w:val="32"/>
          <w:szCs w:val="32"/>
        </w:rPr>
        <w:t>公益专项基金，聚焦“老老人”“小小孩”等特殊群体，以</w:t>
      </w:r>
      <w:r>
        <w:rPr>
          <w:rFonts w:hint="eastAsia" w:ascii="Times New Roman" w:hAnsi="Times New Roman" w:eastAsia="仿宋_GB2312"/>
          <w:sz w:val="32"/>
          <w:szCs w:val="32"/>
        </w:rPr>
        <w:t>政府购买+社会助力方式，开展“爱心助餐”等6项精准帮扶服务，</w:t>
      </w:r>
      <w:r>
        <w:rPr>
          <w:rFonts w:ascii="Times New Roman" w:hAnsi="Times New Roman" w:eastAsia="仿宋_GB2312"/>
          <w:sz w:val="32"/>
          <w:szCs w:val="32"/>
        </w:rPr>
        <w:t>覆盖</w:t>
      </w:r>
      <w:r>
        <w:rPr>
          <w:rFonts w:hint="eastAsia" w:ascii="Times New Roman" w:hAnsi="Times New Roman" w:eastAsia="仿宋_GB2312"/>
          <w:sz w:val="32"/>
          <w:szCs w:val="32"/>
        </w:rPr>
        <w:t>212人</w:t>
      </w:r>
      <w:r>
        <w:rPr>
          <w:rFonts w:ascii="Times New Roman" w:hAnsi="Times New Roman" w:eastAsia="仿宋_GB2312"/>
          <w:sz w:val="32"/>
          <w:szCs w:val="32"/>
        </w:rPr>
        <w:t>、</w:t>
      </w:r>
      <w:r>
        <w:rPr>
          <w:rFonts w:hint="eastAsia" w:ascii="Times New Roman" w:hAnsi="Times New Roman" w:eastAsia="仿宋_GB2312"/>
          <w:sz w:val="32"/>
          <w:szCs w:val="32"/>
        </w:rPr>
        <w:t>服务4841人次。加强驿站养老服务管理，</w:t>
      </w:r>
      <w:r>
        <w:rPr>
          <w:rFonts w:ascii="Times New Roman" w:hAnsi="Times New Roman" w:eastAsia="仿宋_GB2312"/>
          <w:sz w:val="32"/>
          <w:szCs w:val="32"/>
        </w:rPr>
        <w:t>建设养老助餐点5处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（二）效果</w:t>
      </w:r>
      <w:r>
        <w:rPr>
          <w:rFonts w:ascii="楷体_GB2312" w:eastAsia="楷体_GB2312"/>
          <w:sz w:val="32"/>
          <w:szCs w:val="32"/>
        </w:rPr>
        <w:t>实现情况分析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eastAsia="仿宋_GB2312"/>
          <w:b w:val="0"/>
          <w:bCs/>
          <w:sz w:val="32"/>
          <w:szCs w:val="32"/>
        </w:rPr>
      </w:pPr>
      <w:r>
        <w:rPr>
          <w:rFonts w:hint="eastAsia" w:ascii="仿宋_GB2312" w:eastAsia="仿宋_GB2312"/>
          <w:b w:val="0"/>
          <w:bCs/>
          <w:sz w:val="32"/>
          <w:szCs w:val="32"/>
        </w:rPr>
        <w:t>进一步优化营商环境，深化东湖企业服务基地建设，</w:t>
      </w:r>
      <w:r>
        <w:rPr>
          <w:rFonts w:ascii="Times New Roman" w:hAnsi="Times New Roman" w:eastAsia="仿宋_GB2312"/>
          <w:b w:val="0"/>
          <w:bCs/>
          <w:sz w:val="32"/>
          <w:szCs w:val="32"/>
        </w:rPr>
        <w:t>建立工作台账，推出</w:t>
      </w:r>
      <w:r>
        <w:rPr>
          <w:rFonts w:hint="eastAsia" w:eastAsia="仿宋_GB2312"/>
          <w:b w:val="0"/>
          <w:bCs/>
          <w:sz w:val="32"/>
          <w:szCs w:val="32"/>
        </w:rPr>
        <w:t>“</w:t>
      </w:r>
      <w:r>
        <w:rPr>
          <w:rFonts w:ascii="Times New Roman" w:hAnsi="Times New Roman" w:eastAsia="仿宋_GB2312"/>
          <w:b w:val="0"/>
          <w:bCs/>
          <w:sz w:val="32"/>
          <w:szCs w:val="32"/>
        </w:rPr>
        <w:t>楼宇专属管家</w:t>
      </w:r>
      <w:r>
        <w:rPr>
          <w:rFonts w:hint="eastAsia" w:eastAsia="仿宋_GB2312"/>
          <w:b w:val="0"/>
          <w:bCs/>
          <w:sz w:val="32"/>
          <w:szCs w:val="32"/>
        </w:rPr>
        <w:t>”</w:t>
      </w:r>
      <w:r>
        <w:rPr>
          <w:rFonts w:ascii="Times New Roman" w:hAnsi="Times New Roman" w:eastAsia="仿宋_GB2312"/>
          <w:b w:val="0"/>
          <w:bCs/>
          <w:sz w:val="32"/>
          <w:szCs w:val="32"/>
        </w:rPr>
        <w:t>服务</w:t>
      </w:r>
      <w:r>
        <w:rPr>
          <w:rFonts w:hint="eastAsia" w:ascii="Times New Roman" w:eastAsia="仿宋_GB2312"/>
          <w:b w:val="0"/>
          <w:bCs/>
          <w:sz w:val="32"/>
          <w:szCs w:val="32"/>
        </w:rPr>
        <w:t>。2024年，</w:t>
      </w:r>
      <w:r>
        <w:rPr>
          <w:rFonts w:hint="eastAsia" w:ascii="仿宋_GB2312" w:hAnsi="Times New Roman" w:eastAsia="仿宋_GB2312"/>
          <w:b w:val="0"/>
          <w:bCs/>
          <w:kern w:val="0"/>
          <w:sz w:val="32"/>
          <w:szCs w:val="32"/>
        </w:rPr>
        <w:t>服务</w:t>
      </w:r>
      <w:r>
        <w:rPr>
          <w:rFonts w:hint="eastAsia" w:ascii="Times New Roman" w:hAnsi="Times New Roman" w:eastAsia="仿宋_GB2312"/>
          <w:b w:val="0"/>
          <w:bCs/>
          <w:kern w:val="0"/>
          <w:sz w:val="32"/>
          <w:szCs w:val="32"/>
        </w:rPr>
        <w:t>92</w:t>
      </w:r>
      <w:r>
        <w:rPr>
          <w:rFonts w:hint="eastAsia" w:ascii="仿宋_GB2312" w:hAnsi="Times New Roman" w:eastAsia="仿宋_GB2312"/>
          <w:b w:val="0"/>
          <w:bCs/>
          <w:kern w:val="0"/>
          <w:sz w:val="32"/>
          <w:szCs w:val="32"/>
        </w:rPr>
        <w:t>家单位，办理事项</w:t>
      </w:r>
      <w:r>
        <w:rPr>
          <w:rFonts w:hint="eastAsia" w:ascii="Times New Roman" w:hAnsi="Times New Roman" w:eastAsia="仿宋_GB2312"/>
          <w:b w:val="0"/>
          <w:bCs/>
          <w:kern w:val="0"/>
          <w:sz w:val="32"/>
          <w:szCs w:val="32"/>
        </w:rPr>
        <w:t>198</w:t>
      </w:r>
      <w:r>
        <w:rPr>
          <w:rFonts w:hint="eastAsia" w:ascii="仿宋_GB2312" w:hAnsi="Times New Roman" w:eastAsia="仿宋_GB2312"/>
          <w:b w:val="0"/>
          <w:bCs/>
          <w:kern w:val="0"/>
          <w:sz w:val="32"/>
          <w:szCs w:val="32"/>
        </w:rPr>
        <w:t>个。</w:t>
      </w:r>
      <w:r>
        <w:rPr>
          <w:rFonts w:hint="eastAsia" w:eastAsia="仿宋_GB2312"/>
          <w:b w:val="0"/>
          <w:bCs/>
          <w:sz w:val="32"/>
          <w:szCs w:val="32"/>
        </w:rPr>
        <w:t>充分发挥辖区资源优势，以科技服务业为主导，加强跟踪服务，高效推进招商引资。</w:t>
      </w:r>
      <w:r>
        <w:rPr>
          <w:rFonts w:hint="eastAsia" w:ascii="仿宋_GB2312" w:hAnsi="Times New Roman" w:eastAsia="仿宋_GB2312"/>
          <w:b w:val="0"/>
          <w:bCs/>
          <w:kern w:val="0"/>
          <w:sz w:val="32"/>
          <w:szCs w:val="32"/>
        </w:rPr>
        <w:t>以经济专班为抓手，深入开展经济平台数据分析研判，建立商务楼宇空间推介机制，走访企业</w:t>
      </w:r>
      <w:r>
        <w:rPr>
          <w:rFonts w:hint="eastAsia" w:ascii="Times New Roman" w:hAnsi="Times New Roman" w:eastAsia="仿宋_GB2312"/>
          <w:b w:val="0"/>
          <w:bCs/>
          <w:kern w:val="0"/>
          <w:sz w:val="32"/>
          <w:szCs w:val="32"/>
        </w:rPr>
        <w:t>960余</w:t>
      </w:r>
      <w:r>
        <w:rPr>
          <w:rFonts w:hint="eastAsia" w:ascii="仿宋_GB2312" w:hAnsi="Times New Roman" w:eastAsia="仿宋_GB2312"/>
          <w:b w:val="0"/>
          <w:bCs/>
          <w:kern w:val="0"/>
          <w:sz w:val="32"/>
          <w:szCs w:val="32"/>
        </w:rPr>
        <w:t>家，招商入库企业</w:t>
      </w:r>
      <w:r>
        <w:rPr>
          <w:rFonts w:hint="eastAsia" w:ascii="Times New Roman" w:hAnsi="Times New Roman" w:eastAsia="仿宋_GB2312"/>
          <w:b w:val="0"/>
          <w:bCs/>
          <w:kern w:val="0"/>
          <w:sz w:val="32"/>
          <w:szCs w:val="32"/>
        </w:rPr>
        <w:t>33</w:t>
      </w:r>
      <w:r>
        <w:rPr>
          <w:rFonts w:hint="eastAsia" w:ascii="仿宋_GB2312" w:hAnsi="Times New Roman" w:eastAsia="仿宋_GB2312"/>
          <w:b w:val="0"/>
          <w:bCs/>
          <w:kern w:val="0"/>
          <w:sz w:val="32"/>
          <w:szCs w:val="32"/>
        </w:rPr>
        <w:t>家，超额完成指标任务。</w:t>
      </w:r>
    </w:p>
    <w:p>
      <w:pPr>
        <w:spacing w:line="600" w:lineRule="exact"/>
        <w:ind w:left="105" w:leftChars="50" w:firstLine="480" w:firstLineChars="15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b w:val="0"/>
          <w:bCs/>
          <w:kern w:val="0"/>
          <w:sz w:val="32"/>
          <w:szCs w:val="32"/>
        </w:rPr>
        <w:t>激发城市消费活力，推动</w:t>
      </w:r>
      <w:r>
        <w:rPr>
          <w:rFonts w:hint="eastAsia" w:ascii="Times New Roman" w:hAnsi="Times New Roman" w:eastAsia="仿宋_GB2312"/>
          <w:b w:val="0"/>
          <w:bCs/>
          <w:kern w:val="0"/>
          <w:sz w:val="32"/>
          <w:szCs w:val="32"/>
        </w:rPr>
        <w:t>14</w:t>
      </w:r>
      <w:r>
        <w:rPr>
          <w:rFonts w:hint="eastAsia" w:ascii="仿宋_GB2312" w:hAnsi="Times New Roman" w:eastAsia="仿宋_GB2312"/>
          <w:b w:val="0"/>
          <w:bCs/>
          <w:kern w:val="0"/>
          <w:sz w:val="32"/>
          <w:szCs w:val="32"/>
        </w:rPr>
        <w:t>号线商圈带建设，深化多主体协同推动商圈建设的“东湖模式”。</w:t>
      </w:r>
      <w:r>
        <w:rPr>
          <w:rFonts w:ascii="Times New Roman" w:hAnsi="Times New Roman" w:eastAsia="仿宋_GB2312"/>
          <w:b w:val="0"/>
          <w:bCs/>
          <w:sz w:val="32"/>
          <w:szCs w:val="32"/>
        </w:rPr>
        <w:t>联动“消博会”引进“潮品牌进东湖”，打造儿童灯光节</w:t>
      </w:r>
      <w:r>
        <w:rPr>
          <w:rFonts w:hint="eastAsia" w:eastAsia="仿宋_GB2312"/>
          <w:b w:val="0"/>
          <w:bCs/>
          <w:sz w:val="32"/>
          <w:szCs w:val="32"/>
        </w:rPr>
        <w:t>，</w:t>
      </w:r>
      <w:r>
        <w:rPr>
          <w:rFonts w:ascii="Times New Roman" w:hAnsi="Times New Roman" w:eastAsia="仿宋_GB2312"/>
          <w:b w:val="0"/>
          <w:bCs/>
          <w:sz w:val="32"/>
          <w:szCs w:val="32"/>
        </w:rPr>
        <w:t>持续推动消费业态</w:t>
      </w:r>
      <w:r>
        <w:rPr>
          <w:rFonts w:hint="eastAsia" w:ascii="Times New Roman" w:hAnsi="Times New Roman" w:eastAsia="仿宋_GB2312"/>
          <w:b w:val="0"/>
          <w:bCs/>
          <w:sz w:val="32"/>
          <w:szCs w:val="32"/>
        </w:rPr>
        <w:t>转型</w:t>
      </w:r>
      <w:r>
        <w:rPr>
          <w:rFonts w:ascii="Times New Roman" w:hAnsi="Times New Roman" w:eastAsia="仿宋_GB2312"/>
          <w:b w:val="0"/>
          <w:bCs/>
          <w:sz w:val="32"/>
          <w:szCs w:val="32"/>
        </w:rPr>
        <w:t>。</w:t>
      </w:r>
      <w:r>
        <w:rPr>
          <w:rFonts w:hint="eastAsia" w:ascii="Times New Roman" w:hAnsi="Times New Roman" w:eastAsia="仿宋_GB2312"/>
          <w:b w:val="0"/>
          <w:bCs/>
          <w:sz w:val="32"/>
          <w:szCs w:val="32"/>
        </w:rPr>
        <w:t>截止11月，地区</w:t>
      </w:r>
      <w:r>
        <w:rPr>
          <w:rFonts w:ascii="Times New Roman" w:hAnsi="Times New Roman" w:eastAsia="仿宋_GB2312"/>
          <w:b w:val="0"/>
          <w:bCs/>
          <w:sz w:val="32"/>
          <w:szCs w:val="32"/>
        </w:rPr>
        <w:t>社会消费品零售总额64亿元，同比增长14.6%。</w:t>
      </w:r>
    </w:p>
    <w:p>
      <w:pPr>
        <w:spacing w:line="600" w:lineRule="exact"/>
        <w:ind w:left="105" w:leftChars="50" w:firstLine="480" w:firstLineChars="150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四</w:t>
      </w:r>
      <w:r>
        <w:rPr>
          <w:rFonts w:ascii="黑体" w:hAnsi="黑体" w:eastAsia="黑体" w:cs="宋体"/>
          <w:color w:val="000000"/>
          <w:kern w:val="0"/>
          <w:sz w:val="32"/>
          <w:szCs w:val="32"/>
        </w:rPr>
        <w:t>、预算管理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情况分</w:t>
      </w:r>
      <w:r>
        <w:rPr>
          <w:rFonts w:ascii="黑体" w:hAnsi="黑体" w:eastAsia="黑体" w:cs="宋体"/>
          <w:color w:val="000000"/>
          <w:kern w:val="0"/>
          <w:sz w:val="32"/>
          <w:szCs w:val="32"/>
        </w:rPr>
        <w:t>析</w:t>
      </w:r>
    </w:p>
    <w:p>
      <w:pPr>
        <w:spacing w:line="600" w:lineRule="exact"/>
        <w:ind w:left="105" w:leftChars="50" w:firstLine="480" w:firstLineChars="15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（一）财务管理</w:t>
      </w:r>
    </w:p>
    <w:p>
      <w:pPr>
        <w:spacing w:line="600" w:lineRule="exact"/>
        <w:ind w:left="105" w:leftChars="50" w:firstLine="480" w:firstLineChars="15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1.财务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管理制度健全性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sz w:val="32"/>
          <w:szCs w:val="32"/>
          <w:lang w:val="en-US" w:eastAsia="zh-CN"/>
        </w:rPr>
        <w:t>我街道近年不断完善单位内部控制制度，及时更新预算管理、收入管理、支出管理、采购管理、资产管理、工程项目管理、合同管理等内控流程，财务管理制度健全。</w:t>
      </w:r>
    </w:p>
    <w:p>
      <w:pPr>
        <w:spacing w:line="600" w:lineRule="exact"/>
        <w:ind w:left="105" w:leftChars="50" w:firstLine="480" w:firstLineChars="15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2.资金使用合规性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和安全性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sz w:val="32"/>
          <w:szCs w:val="32"/>
          <w:lang w:val="en-US" w:eastAsia="zh-CN"/>
        </w:rPr>
        <w:t>我街道资金使用合法合规，支出时严格审核资金用途，确保资金按均按照本单位资金支出审批要求履行相关程序，并确保按预算批复用途使用，保证安全性。</w:t>
      </w:r>
    </w:p>
    <w:p>
      <w:pPr>
        <w:spacing w:line="600" w:lineRule="exact"/>
        <w:ind w:left="105" w:leftChars="50" w:firstLine="480" w:firstLineChars="15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会计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基础信息完善性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sz w:val="32"/>
          <w:szCs w:val="32"/>
          <w:lang w:val="en-US" w:eastAsia="zh-CN"/>
        </w:rPr>
        <w:t>我街道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会计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基础信息完善性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较好，按时进行预算填报、预决算公开、账务处理、编制财务报告等工作，会计基础资料真实完整。</w:t>
      </w:r>
    </w:p>
    <w:p>
      <w:pPr>
        <w:numPr>
          <w:ilvl w:val="0"/>
          <w:numId w:val="1"/>
        </w:numPr>
        <w:spacing w:line="600" w:lineRule="exact"/>
        <w:ind w:left="105" w:leftChars="50" w:firstLine="480" w:firstLineChars="150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资产管理</w:t>
      </w:r>
    </w:p>
    <w:p>
      <w:pPr>
        <w:pStyle w:val="2"/>
        <w:numPr>
          <w:ilvl w:val="0"/>
          <w:numId w:val="0"/>
        </w:num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严格按照北京市朝阳区财政局《朝阳区行政事业单位固定资产配置管理暂行办法》等规定购置资产，在取得时及时录入资产管理系统，准时上报资产报表，并与财务做好月对账工作，确保各项资产及时入账。按期开展</w:t>
      </w:r>
      <w:r>
        <w:rPr>
          <w:rFonts w:hint="eastAsia" w:ascii="宋体" w:hAnsi="宋体" w:eastAsia="仿宋_GB2312"/>
          <w:sz w:val="32"/>
          <w:szCs w:val="28"/>
          <w:highlight w:val="none"/>
          <w:lang w:val="en-US" w:eastAsia="zh-CN"/>
        </w:rPr>
        <w:t>资产清查、盘点、核对、处理工作，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做到账实相符。</w:t>
      </w:r>
    </w:p>
    <w:p>
      <w:pPr>
        <w:numPr>
          <w:ilvl w:val="0"/>
          <w:numId w:val="1"/>
        </w:numPr>
        <w:spacing w:line="600" w:lineRule="exact"/>
        <w:ind w:left="105" w:leftChars="50" w:firstLine="480" w:firstLineChars="15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绩效</w:t>
      </w:r>
      <w:r>
        <w:rPr>
          <w:rFonts w:ascii="楷体_GB2312" w:eastAsia="楷体_GB2312"/>
          <w:sz w:val="32"/>
          <w:szCs w:val="32"/>
        </w:rPr>
        <w:t>管理</w:t>
      </w:r>
    </w:p>
    <w:p>
      <w:pPr>
        <w:pStyle w:val="2"/>
        <w:numPr>
          <w:ilvl w:val="0"/>
          <w:numId w:val="0"/>
        </w:numPr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为做好绩效全流程管理工作，预算编制初期我街道组织各项目负责人研读</w:t>
      </w:r>
      <w:r>
        <w:rPr>
          <w:rFonts w:hint="eastAsia" w:ascii="宋体" w:hAnsi="宋体" w:eastAsia="仿宋_GB2312"/>
          <w:sz w:val="32"/>
          <w:szCs w:val="28"/>
          <w:highlight w:val="none"/>
          <w:lang w:val="en-US" w:eastAsia="zh-CN"/>
        </w:rPr>
        <w:t>《北京市财政局关于印发〈北京市预算绩效目标管理办法〉的通知》，编制绩效目标申报表，提高绩效目标编制质量和资金使用效益，在绩效编制时取得较好效果。中期绩效监控收集2024年1-6月所有项目的绩效目标执行情况，实现执行进度与目标实现程度“双监控”，将产生偏差现象分析得到的问题在下半年实施中逐步修正。年度结束后对预算项目开展了绩效自评，指导下一年度绩效工作推进，加强项目精细化管理。</w:t>
      </w:r>
    </w:p>
    <w:p>
      <w:pPr>
        <w:numPr>
          <w:ilvl w:val="0"/>
          <w:numId w:val="1"/>
        </w:numPr>
        <w:spacing w:line="600" w:lineRule="exact"/>
        <w:ind w:left="105" w:leftChars="50" w:firstLine="480" w:firstLineChars="150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结转结余率</w:t>
      </w:r>
    </w:p>
    <w:p>
      <w:pPr>
        <w:pStyle w:val="2"/>
        <w:numPr>
          <w:ilvl w:val="0"/>
          <w:numId w:val="0"/>
        </w:numPr>
        <w:ind w:leftChars="200" w:firstLine="210" w:firstLineChars="100"/>
        <w:rPr>
          <w:rFonts w:hint="eastAsia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 w:ascii="宋体" w:hAnsi="宋体" w:eastAsia="仿宋_GB2312" w:cs="Times New Roman"/>
          <w:kern w:val="2"/>
          <w:sz w:val="32"/>
          <w:szCs w:val="28"/>
          <w:highlight w:val="none"/>
          <w:lang w:val="en-US" w:eastAsia="zh-CN" w:bidi="ar-SA"/>
        </w:rPr>
        <w:t>2024</w:t>
      </w:r>
      <w:r>
        <w:rPr>
          <w:rFonts w:hint="eastAsia" w:ascii="宋体" w:hAnsi="宋体" w:eastAsia="仿宋_GB2312" w:cs="Times New Roman"/>
          <w:kern w:val="2"/>
          <w:sz w:val="32"/>
          <w:szCs w:val="28"/>
          <w:highlight w:val="none"/>
          <w:lang w:val="en-US" w:eastAsia="zh-Hans" w:bidi="ar-SA"/>
        </w:rPr>
        <w:t>年</w:t>
      </w:r>
      <w:r>
        <w:rPr>
          <w:rFonts w:hint="eastAsia" w:ascii="宋体" w:hAnsi="宋体" w:eastAsia="仿宋_GB2312" w:cs="Times New Roman"/>
          <w:kern w:val="2"/>
          <w:sz w:val="32"/>
          <w:szCs w:val="28"/>
          <w:highlight w:val="none"/>
          <w:lang w:val="en-US" w:eastAsia="zh-CN" w:bidi="ar-SA"/>
        </w:rPr>
        <w:t>我街道</w:t>
      </w:r>
      <w:r>
        <w:rPr>
          <w:rFonts w:hint="eastAsia" w:ascii="宋体" w:hAnsi="宋体" w:eastAsia="仿宋_GB2312" w:cs="Times New Roman"/>
          <w:kern w:val="2"/>
          <w:sz w:val="32"/>
          <w:szCs w:val="28"/>
          <w:highlight w:val="none"/>
          <w:lang w:val="en-US" w:eastAsia="zh-Hans" w:bidi="ar-SA"/>
        </w:rPr>
        <w:t>部门资金结转结余率为</w:t>
      </w:r>
      <w:r>
        <w:rPr>
          <w:rFonts w:hint="eastAsia" w:ascii="宋体" w:hAnsi="宋体" w:eastAsia="仿宋_GB2312" w:cs="Times New Roman"/>
          <w:kern w:val="2"/>
          <w:sz w:val="32"/>
          <w:szCs w:val="28"/>
          <w:highlight w:val="none"/>
          <w:lang w:val="en-US" w:eastAsia="zh-CN" w:bidi="ar-SA"/>
        </w:rPr>
        <w:t>0.</w:t>
      </w:r>
    </w:p>
    <w:p>
      <w:pPr>
        <w:numPr>
          <w:ilvl w:val="0"/>
          <w:numId w:val="1"/>
        </w:numPr>
        <w:spacing w:line="600" w:lineRule="exact"/>
        <w:ind w:left="105" w:leftChars="50" w:firstLine="480" w:firstLineChars="15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部门</w:t>
      </w:r>
      <w:r>
        <w:rPr>
          <w:rFonts w:ascii="楷体_GB2312" w:eastAsia="楷体_GB2312"/>
          <w:sz w:val="32"/>
          <w:szCs w:val="32"/>
        </w:rPr>
        <w:t>预决算差异率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宋体" w:hAnsi="宋体" w:eastAsia="仿宋_GB2312" w:cs="Times New Roman"/>
          <w:sz w:val="32"/>
          <w:szCs w:val="28"/>
          <w:highlight w:val="none"/>
          <w:lang w:val="en-US" w:eastAsia="zh-CN"/>
        </w:rPr>
        <w:t>2024年我街道全年预算数为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 w:bidi="ar-SA"/>
        </w:rPr>
        <w:t>15,301.64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万元</w:t>
      </w:r>
      <w:r>
        <w:rPr>
          <w:rFonts w:hint="eastAsia" w:ascii="宋体" w:hAnsi="宋体" w:eastAsia="仿宋_GB2312" w:cs="Times New Roman"/>
          <w:sz w:val="32"/>
          <w:szCs w:val="28"/>
          <w:highlight w:val="none"/>
          <w:lang w:val="en-US" w:eastAsia="zh-CN"/>
        </w:rPr>
        <w:t>，部门年度决算数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 w:bidi="ar-SA"/>
        </w:rPr>
        <w:t>15,301.64</w:t>
      </w:r>
      <w:r>
        <w:rPr>
          <w:rFonts w:hint="eastAsia" w:ascii="宋体" w:hAnsi="宋体" w:eastAsia="仿宋_GB2312" w:cs="Times New Roman"/>
          <w:sz w:val="32"/>
          <w:szCs w:val="28"/>
          <w:highlight w:val="none"/>
          <w:lang w:val="en-US" w:eastAsia="zh-CN"/>
        </w:rPr>
        <w:t>为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万元</w:t>
      </w:r>
      <w:r>
        <w:rPr>
          <w:rFonts w:hint="eastAsia" w:ascii="宋体" w:hAnsi="宋体" w:eastAsia="仿宋_GB2312" w:cs="Times New Roman"/>
          <w:sz w:val="32"/>
          <w:szCs w:val="28"/>
          <w:highlight w:val="none"/>
          <w:lang w:val="en-US" w:eastAsia="zh-CN"/>
        </w:rPr>
        <w:t>，部门资金预决算差异率0，部门预决算差异率控制情况较好。</w:t>
      </w:r>
    </w:p>
    <w:p>
      <w:pPr>
        <w:spacing w:line="600" w:lineRule="exact"/>
        <w:ind w:left="105" w:leftChars="50" w:firstLine="480" w:firstLineChars="15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五、总体</w:t>
      </w:r>
      <w:r>
        <w:rPr>
          <w:rFonts w:ascii="黑体" w:hAnsi="黑体" w:eastAsia="黑体"/>
          <w:sz w:val="32"/>
          <w:szCs w:val="32"/>
        </w:rPr>
        <w:t>评价结论</w:t>
      </w:r>
    </w:p>
    <w:p>
      <w:pPr>
        <w:spacing w:line="600" w:lineRule="exact"/>
        <w:ind w:left="105" w:leftChars="50" w:firstLine="480" w:firstLineChars="150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（一）评价</w:t>
      </w:r>
      <w:r>
        <w:rPr>
          <w:rFonts w:ascii="楷体_GB2312" w:eastAsia="楷体_GB2312"/>
          <w:sz w:val="32"/>
          <w:szCs w:val="32"/>
        </w:rPr>
        <w:t>得分</w:t>
      </w:r>
      <w:r>
        <w:rPr>
          <w:rFonts w:hint="eastAsia" w:ascii="楷体_GB2312" w:eastAsia="楷体_GB2312"/>
          <w:sz w:val="32"/>
          <w:szCs w:val="32"/>
        </w:rPr>
        <w:t>情况</w:t>
      </w:r>
    </w:p>
    <w:p>
      <w:pPr>
        <w:pStyle w:val="2"/>
        <w:ind w:left="0" w:leftChars="0" w:firstLine="640" w:firstLineChars="200"/>
      </w:pPr>
      <w:r>
        <w:rPr>
          <w:rFonts w:hint="eastAsia" w:ascii="宋体" w:hAnsi="宋体" w:eastAsia="仿宋_GB2312" w:cs="Times New Roman"/>
          <w:kern w:val="2"/>
          <w:sz w:val="32"/>
          <w:szCs w:val="28"/>
          <w:highlight w:val="none"/>
          <w:lang w:val="en-US" w:eastAsia="zh-CN" w:bidi="ar-SA"/>
        </w:rPr>
        <w:t>经综合自评，2024年东湖街道部门整体绩效评价得分为98.2分，综合评价等级为“优”。</w:t>
      </w:r>
    </w:p>
    <w:p>
      <w:pPr>
        <w:numPr>
          <w:ilvl w:val="0"/>
          <w:numId w:val="2"/>
        </w:numPr>
        <w:spacing w:line="600" w:lineRule="exact"/>
        <w:ind w:left="105" w:leftChars="50" w:firstLine="480" w:firstLineChars="150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存在的问题及原因分析</w:t>
      </w:r>
    </w:p>
    <w:p>
      <w:pPr>
        <w:pStyle w:val="2"/>
        <w:numPr>
          <w:ilvl w:val="0"/>
          <w:numId w:val="0"/>
        </w:numPr>
        <w:ind w:firstLine="640" w:firstLineChars="200"/>
      </w:pPr>
      <w:r>
        <w:rPr>
          <w:rFonts w:hint="eastAsia" w:ascii="宋体" w:hAnsi="宋体" w:eastAsia="仿宋_GB2312" w:cs="Times New Roman"/>
          <w:kern w:val="2"/>
          <w:sz w:val="32"/>
          <w:szCs w:val="28"/>
          <w:highlight w:val="none"/>
          <w:lang w:val="en-US" w:eastAsia="zh-CN" w:bidi="ar-SA"/>
        </w:rPr>
        <w:t>部分绩效目标未有针对性的细化，科学合理性有待进一步提升。</w:t>
      </w:r>
    </w:p>
    <w:p>
      <w:pPr>
        <w:numPr>
          <w:ilvl w:val="0"/>
          <w:numId w:val="3"/>
        </w:numPr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措施建议</w:t>
      </w:r>
    </w:p>
    <w:p>
      <w:pPr>
        <w:ind w:firstLine="640" w:firstLineChars="200"/>
        <w:rPr>
          <w:rFonts w:hint="eastAsia" w:ascii="宋体" w:hAnsi="宋体" w:eastAsia="仿宋_GB2312" w:cs="Times New Roman"/>
          <w:kern w:val="2"/>
          <w:sz w:val="32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仿宋_GB2312" w:cs="Times New Roman"/>
          <w:kern w:val="2"/>
          <w:sz w:val="32"/>
          <w:szCs w:val="28"/>
          <w:highlight w:val="none"/>
          <w:lang w:val="en-US" w:eastAsia="zh-CN" w:bidi="ar-SA"/>
        </w:rPr>
        <w:t>将进一步完善前期部门整体绩效目标设置，加强部门整体绩效目标填报研究，结合项目实际情况，合理制定绩效目标。</w:t>
      </w:r>
    </w:p>
    <w:p>
      <w:pPr>
        <w:pStyle w:val="2"/>
        <w:numPr>
          <w:ilvl w:val="0"/>
          <w:numId w:val="0"/>
        </w:num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843078"/>
    <w:multiLevelType w:val="singleLevel"/>
    <w:tmpl w:val="D784307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D909043E"/>
    <w:multiLevelType w:val="singleLevel"/>
    <w:tmpl w:val="D909043E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312B4CF"/>
    <w:multiLevelType w:val="singleLevel"/>
    <w:tmpl w:val="5312B4CF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2YmM5ZTJkZmZhZTIxZmFhYTFlYWZmZmUzNDQ4N2YifQ=="/>
    <w:docVar w:name="KSO_WPS_MARK_KEY" w:val="c6c8889c-de08-4e05-af23-c12f6a30e831"/>
  </w:docVars>
  <w:rsids>
    <w:rsidRoot w:val="5B1D39DF"/>
    <w:rsid w:val="001C7834"/>
    <w:rsid w:val="0057202C"/>
    <w:rsid w:val="005E3946"/>
    <w:rsid w:val="00B03B70"/>
    <w:rsid w:val="00CF07EE"/>
    <w:rsid w:val="00E617B2"/>
    <w:rsid w:val="00F42C33"/>
    <w:rsid w:val="09DC77FF"/>
    <w:rsid w:val="0AF62277"/>
    <w:rsid w:val="10AF4A06"/>
    <w:rsid w:val="18FA4263"/>
    <w:rsid w:val="1A3A7BAD"/>
    <w:rsid w:val="1ABC044C"/>
    <w:rsid w:val="1CFA34F8"/>
    <w:rsid w:val="1D8334AF"/>
    <w:rsid w:val="1EA9518B"/>
    <w:rsid w:val="22342FBD"/>
    <w:rsid w:val="234436D4"/>
    <w:rsid w:val="255D778F"/>
    <w:rsid w:val="2B9B5E5B"/>
    <w:rsid w:val="2F321339"/>
    <w:rsid w:val="307A0735"/>
    <w:rsid w:val="35822FE8"/>
    <w:rsid w:val="36322ECD"/>
    <w:rsid w:val="3D2757A1"/>
    <w:rsid w:val="3DFA317F"/>
    <w:rsid w:val="410127AD"/>
    <w:rsid w:val="41B32B19"/>
    <w:rsid w:val="47D12ED9"/>
    <w:rsid w:val="47D62826"/>
    <w:rsid w:val="4A2F3EE7"/>
    <w:rsid w:val="58412429"/>
    <w:rsid w:val="58810003"/>
    <w:rsid w:val="5B1D39DF"/>
    <w:rsid w:val="5C5B0B6B"/>
    <w:rsid w:val="5CC203EA"/>
    <w:rsid w:val="5E423AFE"/>
    <w:rsid w:val="613025C6"/>
    <w:rsid w:val="69C91FDD"/>
    <w:rsid w:val="70E231B1"/>
    <w:rsid w:val="7CD6006E"/>
    <w:rsid w:val="7F941D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nhideWhenUsed="0" w:uiPriority="0" w:semiHidden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200" w:firstLineChars="200"/>
    </w:pPr>
  </w:style>
  <w:style w:type="paragraph" w:styleId="3">
    <w:name w:val="Body Text"/>
    <w:basedOn w:val="1"/>
    <w:next w:val="1"/>
    <w:autoRedefine/>
    <w:qFormat/>
    <w:uiPriority w:val="0"/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semiHidden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页眉 字符"/>
    <w:basedOn w:val="8"/>
    <w:link w:val="5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2693</Words>
  <Characters>2841</Characters>
  <Lines>3</Lines>
  <Paragraphs>1</Paragraphs>
  <TotalTime>56</TotalTime>
  <ScaleCrop>false</ScaleCrop>
  <LinksUpToDate>false</LinksUpToDate>
  <CharactersWithSpaces>2859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2024-01-18T03:00:00Z</dcterms:created>
  <dc:creator>Administrator</dc:creator>
  <cp:lastModifiedBy>云 rachel</cp:lastModifiedBy>
  <cp:lastPrinted>2025-02-13T06:28:00Z</cp:lastPrinted>
  <dcterms:modified xsi:type="dcterms:W3CDTF">2025-08-29T08:42:32Z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AEFC7248F95A48A49524BEEDB3D24061_12</vt:lpwstr>
  </property>
</Properties>
</file>