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文创实验区管委会2023年部门整体绩效评价报告</w:t>
      </w:r>
    </w:p>
    <w:p>
      <w:pPr>
        <w:spacing w:line="580" w:lineRule="exact"/>
        <w:ind w:firstLine="200"/>
        <w:jc w:val="center"/>
        <w:rPr>
          <w:szCs w:val="30"/>
        </w:rPr>
      </w:pPr>
    </w:p>
    <w:p>
      <w:pPr>
        <w:spacing w:line="58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一、部门概况</w:t>
      </w:r>
    </w:p>
    <w:p>
      <w:pPr>
        <w:spacing w:line="58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（一）机构设置及职责工作任务情况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中共北京市朝阳区委国家文化产业创新实验区工作委员会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简称文创实验区党工委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是区委派出机构，北京朝阳国家文化产业创新实验区管理委员会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简称文创实验区管委会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是区政府派出机构，加挂北京国家广告产业园区管理办公室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简称广告园区管理办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牌子。文创实验区党工委与文创实验区管委会合署办公，为正处级。文创实验区党工委、文创实验区管委会贯彻落实党中央关于国家</w:t>
      </w:r>
      <w:bookmarkStart w:id="0" w:name="_GoBack"/>
      <w:bookmarkEnd w:id="0"/>
      <w:r>
        <w:rPr>
          <w:rFonts w:eastAsia="仿宋_GB2312"/>
          <w:sz w:val="32"/>
          <w:szCs w:val="32"/>
        </w:rPr>
        <w:t>文化产业创新实验区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不含北京商务中心区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文化产业发展工作的方针政策、决策部署和市委、区委有关工作要求，在履行职责过程中坚持和加强党对国家文化产业创新实验区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不含北京商务中心区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工作的集中统一领导。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文创实验区管委会内设机构6个，分别为综合部、产业发展部、政策规划部、园区服务部、798艺术区管理服务办公室、党建工作部。下属事业单位1家，为北京市朝阳区文化创意产业发展中心。</w:t>
      </w:r>
    </w:p>
    <w:p>
      <w:pPr>
        <w:spacing w:line="58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（二）部门整体绩效目标设立情况</w:t>
      </w:r>
    </w:p>
    <w:p>
      <w:pPr>
        <w:spacing w:line="58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根据绩效管理相关规定，文创实验区管委会在申报2023年度预算时，依据部门职责，围绕年度重点工作，合理确定年度绩效目标，坚持做到绩效目标涵盖各业务部门职责及工作要点，目标与职责任务匹配一致。2023年度部门整体绩效目标为：提升文化深度赋能城市发展水平，不断推动文化产业贡献度水平和社会效益、经济效益双效统一、双效提升，全力服务首都全国文化中心建设，为全国文化产业创新发展进一步探索经验、作出示范。</w:t>
      </w:r>
    </w:p>
    <w:p>
      <w:pPr>
        <w:spacing w:line="58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二、当年预算执行情况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2023年全年预算数</w:t>
      </w:r>
      <w:r>
        <w:rPr>
          <w:rFonts w:hint="eastAsia" w:eastAsia="仿宋_GB2312"/>
          <w:color w:val="000000"/>
          <w:kern w:val="0"/>
          <w:sz w:val="32"/>
          <w:szCs w:val="32"/>
        </w:rPr>
        <w:t>14800.03</w:t>
      </w:r>
      <w:r>
        <w:rPr>
          <w:rFonts w:eastAsia="仿宋_GB2312"/>
          <w:color w:val="000000"/>
          <w:kern w:val="0"/>
          <w:sz w:val="32"/>
          <w:szCs w:val="32"/>
        </w:rPr>
        <w:t>万元，其中，基本支出预算数</w:t>
      </w:r>
      <w:r>
        <w:rPr>
          <w:rFonts w:hint="eastAsia" w:eastAsia="仿宋_GB2312"/>
          <w:color w:val="000000"/>
          <w:kern w:val="0"/>
          <w:sz w:val="32"/>
          <w:szCs w:val="32"/>
        </w:rPr>
        <w:t>966.73</w:t>
      </w:r>
      <w:r>
        <w:rPr>
          <w:rFonts w:eastAsia="仿宋_GB2312"/>
          <w:color w:val="000000"/>
          <w:kern w:val="0"/>
          <w:sz w:val="32"/>
          <w:szCs w:val="32"/>
        </w:rPr>
        <w:t>万元，项目支出预算数13833.</w:t>
      </w:r>
      <w:r>
        <w:rPr>
          <w:rFonts w:hint="eastAsia" w:eastAsia="仿宋_GB2312"/>
          <w:color w:val="000000"/>
          <w:kern w:val="0"/>
          <w:sz w:val="32"/>
          <w:szCs w:val="32"/>
        </w:rPr>
        <w:t>30</w:t>
      </w:r>
      <w:r>
        <w:rPr>
          <w:rFonts w:eastAsia="仿宋_GB2312"/>
          <w:color w:val="000000"/>
          <w:kern w:val="0"/>
          <w:sz w:val="32"/>
          <w:szCs w:val="32"/>
        </w:rPr>
        <w:t>万元。资金总体支出14775.63万元，其中，基本支出966.73万元，项目支出13808.90万元。预算执行率为</w:t>
      </w:r>
      <w:r>
        <w:rPr>
          <w:rFonts w:hint="eastAsia" w:eastAsia="仿宋_GB2312"/>
          <w:color w:val="000000"/>
          <w:kern w:val="0"/>
          <w:sz w:val="32"/>
          <w:szCs w:val="32"/>
        </w:rPr>
        <w:t>99.8%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三、整体绩效目标实现情况</w:t>
      </w:r>
    </w:p>
    <w:p>
      <w:pPr>
        <w:spacing w:line="580" w:lineRule="exact"/>
        <w:ind w:left="105" w:leftChars="50"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2023年，</w:t>
      </w:r>
      <w:r>
        <w:rPr>
          <w:rFonts w:eastAsia="仿宋_GB2312"/>
          <w:sz w:val="32"/>
          <w:szCs w:val="32"/>
        </w:rPr>
        <w:t>文创实验区管委会</w:t>
      </w:r>
      <w:r>
        <w:rPr>
          <w:rFonts w:hint="eastAsia" w:eastAsia="仿宋_GB2312"/>
          <w:sz w:val="32"/>
          <w:szCs w:val="32"/>
        </w:rPr>
        <w:t>部门预算资金较好地保障了部门运转及各项工作顺利开展。文创实验区党工委、文创实验区管委会坚持</w:t>
      </w:r>
      <w:r>
        <w:rPr>
          <w:rFonts w:eastAsia="仿宋_GB2312"/>
          <w:kern w:val="0"/>
          <w:sz w:val="32"/>
          <w:szCs w:val="32"/>
        </w:rPr>
        <w:t>以习近平新时代中国特色社会主义思想为指导，深入学习贯彻党的二十大精神，认真贯彻习近平总书记对北京重要讲话精神，</w:t>
      </w:r>
      <w:r>
        <w:rPr>
          <w:rFonts w:hint="eastAsia" w:eastAsia="仿宋_GB2312"/>
          <w:color w:val="000000"/>
          <w:kern w:val="0"/>
          <w:sz w:val="32"/>
          <w:szCs w:val="32"/>
        </w:rPr>
        <w:t>聚焦朝阳区“1234”发展战略和“五宜”朝阳建设，坚持科技赋能文化创新、文化赋能城市发展，持续推进优结构、强服务、提质效三大任务，以园区品质提升、企业梯次培育、文化菁英引育和文化精品培育四大计划为重要抓手，不断推动文化产业贡献度水平和社会效益、经济效益双效统一、双效提升，全区文化产业高质量发展取得显著成效，服务首都建设“全国文化中心”的贡献显著提高，引领全国文化产业创新发展的作用显著显现。2023年1-12月，全区2487家规模以上文化企业实现收入3145.0亿元，占全市比重为15.2%，同比增长9.4%，居全市第二。产业结构持续优化。全区规模以上文化新业态特征较为明显的16个行业实现收入1212.0亿元，占全区规模以上文化产业比重为38.5%。文体娱行业文体娱行业实现收入664.6亿元，同比增长7.4%，占全市比重达到28.5%，收入规模保持全市第一。</w:t>
      </w:r>
    </w:p>
    <w:p>
      <w:pPr>
        <w:tabs>
          <w:tab w:val="left" w:pos="5082"/>
        </w:tabs>
        <w:spacing w:line="580" w:lineRule="exact"/>
        <w:ind w:left="105" w:leftChars="50"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四、预算管理情况分析</w:t>
      </w:r>
    </w:p>
    <w:p>
      <w:pPr>
        <w:spacing w:line="580" w:lineRule="exact"/>
        <w:ind w:left="105" w:leftChars="50"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为规范文创实验区管委会财务行为，提高财务管理水平，文创实验区管委会根据财务管理相关规定，结合本单位工作实际，不断完善制度机制、优化工作流程，夯实财务管理基础，形成了涵盖预算管理、支出管理、审批程序、固定资产、政府采购等较为健全的财务管理制度体系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始终严格按照部门预算管理要求，强化资金使用管理，做到专款专用，合理合规使用各项资金。贯彻落实全面预算绩效管理要求，深化全过程预算绩效管理，建立涵盖绩效目标编制、绩效运行监控、绩效评价的“全过程、全覆盖”绩效管理工作流程并严格执行。按要求设定部门整体及各项目的绩效目标，对全部项目开展预算绩效监控及评价工作，进一步提高项目的规范化、科学化、精细化管理水平，为充分发挥财政资金使用效益提供了指导建议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年，</w:t>
      </w:r>
      <w:r>
        <w:rPr>
          <w:rFonts w:hint="eastAsia" w:eastAsia="仿宋_GB2312"/>
          <w:color w:val="000000"/>
          <w:kern w:val="0"/>
          <w:sz w:val="32"/>
          <w:szCs w:val="32"/>
        </w:rPr>
        <w:t>年初部门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>数11,253.55</w:t>
      </w:r>
      <w:r>
        <w:rPr>
          <w:rFonts w:eastAsia="仿宋_GB2312"/>
          <w:color w:val="000000"/>
          <w:kern w:val="0"/>
          <w:sz w:val="32"/>
          <w:szCs w:val="32"/>
        </w:rPr>
        <w:t>万元，决算</w:t>
      </w:r>
      <w:r>
        <w:rPr>
          <w:rFonts w:hint="eastAsia" w:eastAsia="仿宋_GB2312"/>
          <w:color w:val="000000"/>
          <w:kern w:val="0"/>
          <w:sz w:val="32"/>
          <w:szCs w:val="32"/>
        </w:rPr>
        <w:t>数</w:t>
      </w:r>
      <w:r>
        <w:rPr>
          <w:rFonts w:eastAsia="仿宋_GB2312"/>
          <w:color w:val="000000"/>
          <w:kern w:val="0"/>
          <w:sz w:val="32"/>
          <w:szCs w:val="32"/>
        </w:rPr>
        <w:t>14,800.03万元，部门预决算差异率为</w:t>
      </w:r>
      <w:r>
        <w:rPr>
          <w:rFonts w:hint="eastAsia" w:eastAsia="仿宋_GB2312"/>
          <w:color w:val="000000"/>
          <w:kern w:val="0"/>
          <w:sz w:val="32"/>
          <w:szCs w:val="32"/>
        </w:rPr>
        <w:t>31.51</w:t>
      </w:r>
      <w:r>
        <w:rPr>
          <w:rFonts w:eastAsia="仿宋_GB2312"/>
          <w:color w:val="000000"/>
          <w:kern w:val="0"/>
          <w:sz w:val="32"/>
          <w:szCs w:val="32"/>
        </w:rPr>
        <w:t>%。</w:t>
      </w:r>
      <w:r>
        <w:rPr>
          <w:rFonts w:hint="eastAsia" w:eastAsia="仿宋_GB2312"/>
          <w:color w:val="000000"/>
          <w:kern w:val="0"/>
          <w:sz w:val="32"/>
          <w:szCs w:val="32"/>
        </w:rPr>
        <w:t>年末结转和结余24.39万元，结转结余率0.16%。</w:t>
      </w:r>
    </w:p>
    <w:p>
      <w:pPr>
        <w:spacing w:line="580" w:lineRule="exact"/>
        <w:ind w:left="105" w:leftChars="50"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五、总体评价结论</w:t>
      </w:r>
    </w:p>
    <w:p>
      <w:pPr>
        <w:spacing w:line="580" w:lineRule="exact"/>
        <w:ind w:left="105" w:leftChars="50" w:firstLine="640" w:firstLineChars="200"/>
        <w:rPr>
          <w:rFonts w:eastAsia="楷体_GB2312"/>
          <w:i/>
          <w:sz w:val="32"/>
          <w:szCs w:val="32"/>
        </w:rPr>
      </w:pPr>
      <w:r>
        <w:rPr>
          <w:rFonts w:eastAsia="楷体_GB2312"/>
          <w:sz w:val="32"/>
          <w:szCs w:val="32"/>
        </w:rPr>
        <w:t>（一）评价得分情况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文创实验区管委会部门整体绩效评价得分为99.99分。</w:t>
      </w:r>
    </w:p>
    <w:p>
      <w:pPr>
        <w:spacing w:line="580" w:lineRule="exact"/>
        <w:ind w:left="105" w:leftChars="50"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（二）存在的问题及原因分析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无。</w:t>
      </w:r>
    </w:p>
    <w:p>
      <w:pPr>
        <w:spacing w:line="58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六、措施建议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下一步，文创实验区管委会将继续学习贯彻落实预算绩效管理相关规定，进一步强化预算绩效管理理念及目标导向，更好地发挥积极财政政策作用，</w:t>
      </w:r>
      <w:r>
        <w:rPr>
          <w:rFonts w:hint="eastAsia" w:ascii="仿宋_GB2312" w:eastAsia="仿宋_GB2312"/>
          <w:sz w:val="32"/>
          <w:szCs w:val="32"/>
        </w:rPr>
        <w:t>提升财政资金的使用效益。</w:t>
      </w:r>
    </w:p>
    <w:p>
      <w:pPr>
        <w:spacing w:line="580" w:lineRule="exact"/>
        <w:ind w:firstLine="20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6 -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1D39DF"/>
    <w:rsid w:val="000047C6"/>
    <w:rsid w:val="00040B89"/>
    <w:rsid w:val="000A5137"/>
    <w:rsid w:val="000E4583"/>
    <w:rsid w:val="000E49BF"/>
    <w:rsid w:val="000F5F69"/>
    <w:rsid w:val="00107818"/>
    <w:rsid w:val="001143D5"/>
    <w:rsid w:val="00114BA8"/>
    <w:rsid w:val="00144021"/>
    <w:rsid w:val="00147C85"/>
    <w:rsid w:val="00190328"/>
    <w:rsid w:val="001C7834"/>
    <w:rsid w:val="0023434C"/>
    <w:rsid w:val="003A34ED"/>
    <w:rsid w:val="00416861"/>
    <w:rsid w:val="00465181"/>
    <w:rsid w:val="004D4859"/>
    <w:rsid w:val="005027F8"/>
    <w:rsid w:val="00520CCF"/>
    <w:rsid w:val="0057202C"/>
    <w:rsid w:val="005C4F4E"/>
    <w:rsid w:val="005E3946"/>
    <w:rsid w:val="005F2DF1"/>
    <w:rsid w:val="00604713"/>
    <w:rsid w:val="0060746B"/>
    <w:rsid w:val="006A1D5D"/>
    <w:rsid w:val="006A5B0D"/>
    <w:rsid w:val="006B231C"/>
    <w:rsid w:val="00735856"/>
    <w:rsid w:val="00743117"/>
    <w:rsid w:val="0079387E"/>
    <w:rsid w:val="007E49FD"/>
    <w:rsid w:val="007F7991"/>
    <w:rsid w:val="00816C22"/>
    <w:rsid w:val="00826643"/>
    <w:rsid w:val="00865D32"/>
    <w:rsid w:val="008A48FC"/>
    <w:rsid w:val="009114FE"/>
    <w:rsid w:val="0092349A"/>
    <w:rsid w:val="00933989"/>
    <w:rsid w:val="00954F6E"/>
    <w:rsid w:val="00975E80"/>
    <w:rsid w:val="00A4379A"/>
    <w:rsid w:val="00A51FA8"/>
    <w:rsid w:val="00AE20AE"/>
    <w:rsid w:val="00B03B70"/>
    <w:rsid w:val="00B36A28"/>
    <w:rsid w:val="00B40272"/>
    <w:rsid w:val="00B51DE9"/>
    <w:rsid w:val="00BF643A"/>
    <w:rsid w:val="00CC554C"/>
    <w:rsid w:val="00CF07EE"/>
    <w:rsid w:val="00D3254C"/>
    <w:rsid w:val="00DB5B99"/>
    <w:rsid w:val="00E25B9A"/>
    <w:rsid w:val="00E3041F"/>
    <w:rsid w:val="00E37FD1"/>
    <w:rsid w:val="00E617B2"/>
    <w:rsid w:val="00ED72B9"/>
    <w:rsid w:val="00F42C33"/>
    <w:rsid w:val="00F7776E"/>
    <w:rsid w:val="00F951D1"/>
    <w:rsid w:val="00F95E00"/>
    <w:rsid w:val="00F97F0C"/>
    <w:rsid w:val="5B1D39DF"/>
    <w:rsid w:val="6E0E5CF7"/>
    <w:rsid w:val="77E6632A"/>
    <w:rsid w:val="7DFF8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after="120" w:line="440" w:lineRule="exact"/>
    </w:pPr>
    <w:rPr>
      <w:rFonts w:eastAsia="仿宋_GB2312"/>
      <w:sz w:val="32"/>
    </w:rPr>
  </w:style>
  <w:style w:type="paragraph" w:styleId="3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485</Words>
  <Characters>2765</Characters>
  <Lines>23</Lines>
  <Paragraphs>6</Paragraphs>
  <TotalTime>1</TotalTime>
  <ScaleCrop>false</ScaleCrop>
  <LinksUpToDate>false</LinksUpToDate>
  <CharactersWithSpaces>3244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2024-01-18T11:00:00Z</dcterms:created>
  <dc:creator>Administrator</dc:creator>
  <cp:lastModifiedBy>uos</cp:lastModifiedBy>
  <cp:lastPrinted>2024-03-21T10:16:00Z</cp:lastPrinted>
  <dcterms:modified xsi:type="dcterms:W3CDTF">2024-08-15T09:29:29Z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