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eastAsia="方正小标宋简体"/>
          <w:sz w:val="44"/>
          <w:szCs w:val="44"/>
        </w:rPr>
      </w:pPr>
      <w:r>
        <w:rPr>
          <w:rFonts w:hint="eastAsia" w:ascii="方正小标宋简体" w:eastAsia="方正小标宋简体"/>
          <w:sz w:val="44"/>
          <w:szCs w:val="44"/>
          <w:lang w:val="en-US" w:eastAsia="zh-CN"/>
        </w:rPr>
        <w:t>太阳宫乡2023年度</w:t>
      </w:r>
      <w:r>
        <w:rPr>
          <w:rFonts w:hint="eastAsia" w:ascii="方正小标宋简体" w:eastAsia="方正小标宋简体"/>
          <w:sz w:val="44"/>
          <w:szCs w:val="44"/>
        </w:rPr>
        <w:t>部门整体</w:t>
      </w:r>
    </w:p>
    <w:p>
      <w:pPr>
        <w:spacing w:line="560" w:lineRule="exact"/>
        <w:jc w:val="center"/>
        <w:rPr>
          <w:rFonts w:ascii="方正小标宋简体" w:eastAsia="方正小标宋简体"/>
          <w:sz w:val="44"/>
          <w:szCs w:val="44"/>
        </w:rPr>
      </w:pPr>
      <w:r>
        <w:rPr>
          <w:rFonts w:hint="eastAsia" w:ascii="方正小标宋简体" w:eastAsia="方正小标宋简体"/>
          <w:sz w:val="44"/>
          <w:szCs w:val="44"/>
        </w:rPr>
        <w:t>绩效评价报告</w:t>
      </w:r>
    </w:p>
    <w:p>
      <w:pPr>
        <w:pStyle w:val="5"/>
      </w:pPr>
    </w:p>
    <w:p>
      <w:pPr>
        <w:spacing w:line="600" w:lineRule="exact"/>
        <w:ind w:firstLine="640" w:firstLineChars="200"/>
        <w:rPr>
          <w:rFonts w:ascii="黑体" w:hAnsi="黑体" w:eastAsia="黑体" w:cs="宋体"/>
          <w:color w:val="000000"/>
          <w:kern w:val="0"/>
          <w:sz w:val="32"/>
          <w:szCs w:val="32"/>
        </w:rPr>
      </w:pPr>
      <w:r>
        <w:rPr>
          <w:rFonts w:hint="eastAsia" w:ascii="黑体" w:hAnsi="黑体" w:eastAsia="黑体" w:cs="宋体"/>
          <w:color w:val="000000"/>
          <w:kern w:val="0"/>
          <w:sz w:val="32"/>
          <w:szCs w:val="32"/>
        </w:rPr>
        <w:t>一、部门概况</w:t>
      </w:r>
    </w:p>
    <w:p>
      <w:pPr>
        <w:spacing w:line="600" w:lineRule="exact"/>
        <w:ind w:firstLine="640" w:firstLineChars="200"/>
        <w:rPr>
          <w:rFonts w:hint="eastAsia" w:ascii="楷体_GB2312" w:eastAsia="楷体_GB2312"/>
          <w:sz w:val="32"/>
          <w:szCs w:val="32"/>
        </w:rPr>
      </w:pPr>
      <w:r>
        <w:rPr>
          <w:rFonts w:hint="eastAsia" w:ascii="楷体_GB2312" w:eastAsia="楷体_GB2312"/>
          <w:sz w:val="32"/>
          <w:szCs w:val="32"/>
        </w:rPr>
        <w:t>（一）机构设置及职责工作任务情况</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根据中共北京市委机构编制委员会印发的《关于本市乡镇机构改革的指导意见》和中共北京市朝阳区委机构编制委员会印发的《北京市朝阳区乡（地区）机构改革实施方案》有关精神，结合太阳宫乡（地区）实际，综合设置为7个办公室，分别为：综合办公室、党群工作办公室（人大工作办公室）、平安建设办公室（人民武装部、司法所）、城乡建设办公室、民生保障办公室、社区建设办公室、经济发展办公室（统计所）。除上述7个机构外，还设有纪检监察机构、综合行政执法队、便民服务中心（退役军人服务站）、市民活动中心（党群活动中心）、市民诉求处置中心（综治中心）、社会公共事务服务中心、农村合作经济经营管理站。</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太阳宫地区主要职责：1.乡党委（地区党工委）主要职责：（1）宣传和执行党的路线、方针、政策，宣传和执行党中央、市委、区委及本乡党员代表大会的决议，及时向区委报告辖区有关情况、反映问题、提出意见建议。（2）讨论并决定本乡（地区）经济建设、政治建设、文化建设、社会建设、生态文明建设和党的建设以及乡村振兴中的重大问题。需由乡（地区）政权机关或者集体经济组织决定的重要事项，经乡党委（地区党工委）研究讨论后，由乡（地区）政权机关或者集体经济组织依照法律和有关规定作出决定。（3）履行全面从严治党主体责任，全面推进辖区党的政治建设、思想建设、组织建设、作风建设、纪律建设，把制度建设贯穿其中，组织协调反腐败工作。（4）领导乡（地区）政权机关、群团组织和其他各类组织，加强指导和规范，支持和保证这些机关和组织依照国家法律法规以及各自章程履行职责。（5）加强乡党委（地区党工委）自身建设和村（社区）党组织建设，以及其他隶属乡党委（地区党工委）的党组织建设，抓好发展党员工作，加强党员队伍建设。维护和执行党的纪律，监督党员干部和其他任何工作人员严格遵守国家法律法规。（6）按照干部管理权限，负责对干部的教育、培训、选拔、考核和监督工作。协助管理市、区有关部门驻乡（地区）单位的干部。做好人才服务和引进工作。（7）领导本乡（地区）的基层治理，加强社会主义民主法治建设和精神文明建设，加强社会治安综合治理，做好生态环保、美丽乡村建设、民生保障、民族宗教等工作。（8）承办区委交办的其他事项。2.乡人民代表大会主要职责：按照有关法律规定执行。3.乡政府（地区办事处）的主要职责：（1）贯彻执行法律、法规、规章和市、区政府的决定、命令，执行本级人民代表大会的决议，发布决定和命令。（2）执行本行政区域内的经济和社会发展计划、预算，管理本行政区域内的经济、教育、科学、文化、卫生、体育事业和财政、民政、司法行政、计划生育等行政工作。（3）保护社会主义全民所有的财产和劳动群众集体所有的财产，保护公民私人所有的合法财产，维护社会秩序，保障公民的人身权利、民主权利和其他权利。（4）保护各种经济组织的合法权益。（5）保障少数民族的权利和尊重少数民族的风俗习惯。（6）保障宪法和法律赋予妇女的男女平等、同工同酬和婚姻自由等各项权利。（7）推进村（社区）发展建设，指导村民委员会、社区居民委员会工作，支持和促进依法自治，完善服务功能，提升治理水平；组织动员辖区单位和各类组织参与基层治理工作，统筹辖区资源，实现共建共治共享。（8）承办区政府交办的其他事项。</w:t>
      </w:r>
    </w:p>
    <w:p>
      <w:pPr>
        <w:numPr>
          <w:ilvl w:val="0"/>
          <w:numId w:val="1"/>
        </w:numPr>
        <w:spacing w:line="600" w:lineRule="exact"/>
        <w:ind w:firstLine="640" w:firstLineChars="200"/>
        <w:rPr>
          <w:rFonts w:hint="eastAsia" w:ascii="楷体_GB2312" w:eastAsia="楷体_GB2312"/>
          <w:sz w:val="32"/>
          <w:szCs w:val="32"/>
          <w:highlight w:val="none"/>
        </w:rPr>
      </w:pPr>
      <w:r>
        <w:rPr>
          <w:rFonts w:hint="eastAsia" w:ascii="楷体_GB2312" w:eastAsia="楷体_GB2312"/>
          <w:sz w:val="32"/>
          <w:szCs w:val="32"/>
          <w:highlight w:val="none"/>
        </w:rPr>
        <w:t>部门整体绩效目标设立情况</w:t>
      </w:r>
    </w:p>
    <w:p>
      <w:pPr>
        <w:spacing w:after="120"/>
        <w:ind w:firstLine="640" w:firstLineChars="200"/>
        <w:rPr>
          <w:rFonts w:hint="eastAsia" w:ascii="仿宋_GB2312" w:hAnsi="仿宋" w:eastAsia="仿宋_GB2312" w:cs="仿宋"/>
          <w:bCs/>
          <w:sz w:val="28"/>
          <w:szCs w:val="28"/>
          <w:lang w:val="en-US" w:eastAsia="zh-CN"/>
        </w:rPr>
      </w:pPr>
      <w:r>
        <w:rPr>
          <w:rFonts w:hint="eastAsia" w:ascii="仿宋_GB2312" w:hAnsi="仿宋" w:eastAsia="仿宋_GB2312" w:cs="仿宋"/>
          <w:bCs/>
          <w:sz w:val="32"/>
          <w:szCs w:val="32"/>
        </w:rPr>
        <w:t>按照</w:t>
      </w:r>
      <w:r>
        <w:rPr>
          <w:rFonts w:hint="eastAsia" w:ascii="仿宋_GB2312" w:hAnsi="仿宋" w:eastAsia="仿宋_GB2312" w:cs="仿宋"/>
          <w:bCs/>
          <w:sz w:val="32"/>
          <w:szCs w:val="32"/>
          <w:lang w:val="en-US" w:eastAsia="zh-CN"/>
        </w:rPr>
        <w:t>我地区主要</w:t>
      </w:r>
      <w:r>
        <w:rPr>
          <w:rFonts w:hint="eastAsia" w:ascii="仿宋_GB2312" w:hAnsi="仿宋" w:eastAsia="仿宋_GB2312" w:cs="仿宋"/>
          <w:bCs/>
          <w:sz w:val="32"/>
          <w:szCs w:val="32"/>
        </w:rPr>
        <w:t>职责及年初工作计划，根据《北京市项目支出绩效评价管理办法》（京财绩效〔2020〕2146号）</w:t>
      </w:r>
      <w:r>
        <w:rPr>
          <w:rFonts w:hint="eastAsia" w:ascii="仿宋_GB2312" w:hAnsi="仿宋" w:eastAsia="仿宋_GB2312" w:cs="仿宋"/>
          <w:bCs/>
          <w:sz w:val="32"/>
          <w:szCs w:val="32"/>
          <w:lang w:eastAsia="zh-CN"/>
        </w:rPr>
        <w:t>，</w:t>
      </w:r>
      <w:r>
        <w:rPr>
          <w:rFonts w:hint="eastAsia" w:ascii="仿宋_GB2312" w:hAnsi="仿宋" w:eastAsia="仿宋_GB2312" w:cs="仿宋"/>
          <w:bCs/>
          <w:sz w:val="32"/>
          <w:szCs w:val="32"/>
        </w:rPr>
        <w:t>为提高预算管理水平，检验经费支出预期目标实现程度，</w:t>
      </w:r>
      <w:bookmarkStart w:id="0" w:name="_Hlk53567156"/>
      <w:r>
        <w:rPr>
          <w:rFonts w:hint="eastAsia" w:ascii="仿宋_GB2312" w:hAnsi="仿宋" w:eastAsia="仿宋_GB2312" w:cs="仿宋"/>
          <w:bCs/>
          <w:sz w:val="32"/>
          <w:szCs w:val="32"/>
        </w:rPr>
        <w:t>考核经费支出效率和综合效果，</w:t>
      </w:r>
      <w:bookmarkEnd w:id="0"/>
      <w:r>
        <w:rPr>
          <w:rFonts w:hint="eastAsia" w:ascii="仿宋_GB2312" w:hAnsi="仿宋" w:eastAsia="仿宋_GB2312" w:cs="仿宋"/>
          <w:bCs/>
          <w:sz w:val="32"/>
          <w:szCs w:val="32"/>
          <w:lang w:val="en-US" w:eastAsia="zh-CN"/>
        </w:rPr>
        <w:t>我部门</w:t>
      </w:r>
      <w:r>
        <w:rPr>
          <w:rFonts w:hint="eastAsia" w:ascii="仿宋_GB2312" w:hAnsi="仿宋" w:eastAsia="仿宋_GB2312" w:cs="仿宋"/>
          <w:bCs/>
          <w:sz w:val="32"/>
          <w:szCs w:val="32"/>
        </w:rPr>
        <w:t>组织相关</w:t>
      </w:r>
      <w:r>
        <w:rPr>
          <w:rFonts w:hint="eastAsia" w:ascii="仿宋_GB2312" w:hAnsi="仿宋" w:eastAsia="仿宋_GB2312" w:cs="仿宋"/>
          <w:bCs/>
          <w:sz w:val="32"/>
          <w:szCs w:val="32"/>
          <w:lang w:val="en-US" w:eastAsia="zh-CN"/>
        </w:rPr>
        <w:t>单位</w:t>
      </w:r>
      <w:r>
        <w:rPr>
          <w:rFonts w:hint="eastAsia" w:ascii="仿宋_GB2312" w:hAnsi="仿宋" w:eastAsia="仿宋_GB2312" w:cs="仿宋"/>
          <w:bCs/>
          <w:sz w:val="32"/>
          <w:szCs w:val="32"/>
        </w:rPr>
        <w:t>有序开展绩效评价工作，在预算申报时合理确定绩效指标，涵盖各业务</w:t>
      </w:r>
      <w:r>
        <w:rPr>
          <w:rFonts w:hint="eastAsia" w:ascii="仿宋_GB2312" w:hAnsi="仿宋" w:eastAsia="仿宋_GB2312" w:cs="仿宋"/>
          <w:bCs/>
          <w:sz w:val="32"/>
          <w:szCs w:val="32"/>
          <w:lang w:val="en-US" w:eastAsia="zh-CN"/>
        </w:rPr>
        <w:t>单位</w:t>
      </w:r>
      <w:r>
        <w:rPr>
          <w:rFonts w:hint="eastAsia" w:ascii="仿宋_GB2312" w:hAnsi="仿宋" w:eastAsia="仿宋_GB2312" w:cs="仿宋"/>
          <w:bCs/>
          <w:sz w:val="32"/>
          <w:szCs w:val="32"/>
        </w:rPr>
        <w:t>职责及工作要点，目标与职责任务匹配一致，</w:t>
      </w:r>
      <w:r>
        <w:rPr>
          <w:rFonts w:hint="eastAsia" w:ascii="仿宋_GB2312" w:hAnsi="仿宋" w:eastAsia="仿宋_GB2312" w:cs="仿宋"/>
          <w:bCs/>
          <w:sz w:val="32"/>
          <w:szCs w:val="32"/>
          <w:lang w:eastAsia="zh-CN"/>
        </w:rPr>
        <w:t>初步建立绩效评价体系。通过</w:t>
      </w:r>
      <w:r>
        <w:rPr>
          <w:rFonts w:hint="eastAsia" w:ascii="仿宋_GB2312" w:hAnsi="仿宋" w:eastAsia="仿宋_GB2312" w:cs="仿宋"/>
          <w:bCs/>
          <w:sz w:val="32"/>
          <w:szCs w:val="32"/>
          <w:lang w:val="en-US" w:eastAsia="zh-CN"/>
        </w:rPr>
        <w:t>建立绩效</w:t>
      </w:r>
      <w:r>
        <w:rPr>
          <w:rFonts w:hint="eastAsia" w:ascii="仿宋_GB2312" w:hAnsi="仿宋" w:eastAsia="仿宋_GB2312" w:cs="仿宋"/>
          <w:bCs/>
          <w:sz w:val="32"/>
          <w:szCs w:val="32"/>
          <w:lang w:eastAsia="zh-CN"/>
        </w:rPr>
        <w:t>制度</w:t>
      </w:r>
      <w:r>
        <w:rPr>
          <w:rFonts w:hint="eastAsia" w:ascii="仿宋_GB2312" w:hAnsi="仿宋" w:eastAsia="仿宋_GB2312" w:cs="仿宋"/>
          <w:bCs/>
          <w:sz w:val="32"/>
          <w:szCs w:val="32"/>
          <w:lang w:val="en-US" w:eastAsia="zh-CN"/>
        </w:rPr>
        <w:t>并做好绩效工作相关</w:t>
      </w:r>
      <w:r>
        <w:rPr>
          <w:rFonts w:hint="eastAsia" w:ascii="仿宋_GB2312" w:hAnsi="仿宋" w:eastAsia="仿宋_GB2312" w:cs="仿宋"/>
          <w:bCs/>
          <w:sz w:val="32"/>
          <w:szCs w:val="32"/>
          <w:lang w:eastAsia="zh-CN"/>
        </w:rPr>
        <w:t>培训，</w:t>
      </w:r>
      <w:r>
        <w:rPr>
          <w:rFonts w:hint="eastAsia" w:ascii="仿宋_GB2312" w:hAnsi="仿宋" w:eastAsia="仿宋_GB2312" w:cs="仿宋"/>
          <w:bCs/>
          <w:sz w:val="32"/>
          <w:szCs w:val="32"/>
        </w:rPr>
        <w:t>提高</w:t>
      </w:r>
      <w:r>
        <w:rPr>
          <w:rFonts w:hint="eastAsia" w:ascii="仿宋_GB2312" w:hAnsi="仿宋" w:eastAsia="仿宋_GB2312" w:cs="仿宋"/>
          <w:bCs/>
          <w:sz w:val="32"/>
          <w:szCs w:val="32"/>
          <w:lang w:eastAsia="zh-CN"/>
        </w:rPr>
        <w:t>全员预算资金绩效管理意识，</w:t>
      </w:r>
      <w:r>
        <w:rPr>
          <w:rFonts w:hint="eastAsia" w:ascii="仿宋_GB2312" w:hAnsi="仿宋" w:eastAsia="仿宋_GB2312" w:cs="仿宋"/>
          <w:bCs/>
          <w:sz w:val="32"/>
          <w:szCs w:val="32"/>
        </w:rPr>
        <w:t>将绩效理念融入预算编制、执行、监督全过程。</w:t>
      </w:r>
      <w:r>
        <w:rPr>
          <w:rFonts w:hint="eastAsia" w:ascii="仿宋_GB2312" w:hAnsi="仿宋" w:eastAsia="仿宋_GB2312" w:cs="仿宋"/>
          <w:bCs/>
          <w:sz w:val="32"/>
          <w:szCs w:val="32"/>
          <w:lang w:val="en-US" w:eastAsia="zh-CN"/>
        </w:rPr>
        <w:t>我部门深入贯彻落实习近平新时代中国特色社会主义思想和党的二十大精神，扎实开展主题教育，坚决落实区委区政府和乡党委的决策部署，聚焦“四乡”建设，做好深化产业转型升级、提升城市精细化治理水平、保障和改善民生、做好地区基层治理、维护社会秩序等各项工作，整体绩效目标设立全面、合理。</w:t>
      </w:r>
    </w:p>
    <w:p>
      <w:pPr>
        <w:spacing w:line="600" w:lineRule="exact"/>
        <w:ind w:firstLine="640" w:firstLineChars="200"/>
        <w:rPr>
          <w:rFonts w:ascii="黑体" w:hAnsi="黑体" w:eastAsia="黑体" w:cs="宋体"/>
          <w:color w:val="000000"/>
          <w:kern w:val="0"/>
          <w:sz w:val="32"/>
          <w:szCs w:val="32"/>
        </w:rPr>
      </w:pPr>
      <w:r>
        <w:rPr>
          <w:rFonts w:hint="eastAsia" w:ascii="黑体" w:hAnsi="黑体" w:eastAsia="黑体" w:cs="宋体"/>
          <w:color w:val="000000"/>
          <w:kern w:val="0"/>
          <w:sz w:val="32"/>
          <w:szCs w:val="32"/>
        </w:rPr>
        <w:t>二</w:t>
      </w:r>
      <w:r>
        <w:rPr>
          <w:rFonts w:ascii="黑体" w:hAnsi="黑体" w:eastAsia="黑体" w:cs="宋体"/>
          <w:color w:val="000000"/>
          <w:kern w:val="0"/>
          <w:sz w:val="32"/>
          <w:szCs w:val="32"/>
        </w:rPr>
        <w:t>、</w:t>
      </w:r>
      <w:r>
        <w:rPr>
          <w:rFonts w:hint="eastAsia" w:ascii="黑体" w:hAnsi="黑体" w:eastAsia="黑体" w:cs="宋体"/>
          <w:color w:val="000000"/>
          <w:kern w:val="0"/>
          <w:sz w:val="32"/>
          <w:szCs w:val="32"/>
        </w:rPr>
        <w:t>当年</w:t>
      </w:r>
      <w:r>
        <w:rPr>
          <w:rFonts w:ascii="黑体" w:hAnsi="黑体" w:eastAsia="黑体" w:cs="宋体"/>
          <w:color w:val="000000"/>
          <w:kern w:val="0"/>
          <w:sz w:val="32"/>
          <w:szCs w:val="32"/>
        </w:rPr>
        <w:t>预算执行情况</w:t>
      </w:r>
    </w:p>
    <w:p>
      <w:pPr>
        <w:spacing w:line="600" w:lineRule="exact"/>
        <w:ind w:firstLine="640" w:firstLineChars="200"/>
        <w:rPr>
          <w:rFonts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rPr>
        <w:t>202</w:t>
      </w:r>
      <w:r>
        <w:rPr>
          <w:rFonts w:ascii="仿宋_GB2312" w:hAnsi="宋体" w:eastAsia="仿宋_GB2312" w:cs="宋体"/>
          <w:color w:val="000000"/>
          <w:kern w:val="0"/>
          <w:sz w:val="32"/>
          <w:szCs w:val="32"/>
          <w:highlight w:val="none"/>
        </w:rPr>
        <w:t>3</w:t>
      </w:r>
      <w:r>
        <w:rPr>
          <w:rFonts w:hint="eastAsia" w:ascii="仿宋_GB2312" w:hAnsi="宋体" w:eastAsia="仿宋_GB2312" w:cs="宋体"/>
          <w:color w:val="000000"/>
          <w:kern w:val="0"/>
          <w:sz w:val="32"/>
          <w:szCs w:val="32"/>
          <w:highlight w:val="none"/>
        </w:rPr>
        <w:t>年</w:t>
      </w:r>
      <w:r>
        <w:rPr>
          <w:rFonts w:ascii="仿宋_GB2312" w:hAnsi="宋体" w:eastAsia="仿宋_GB2312" w:cs="宋体"/>
          <w:color w:val="000000"/>
          <w:kern w:val="0"/>
          <w:sz w:val="32"/>
          <w:szCs w:val="32"/>
          <w:highlight w:val="none"/>
        </w:rPr>
        <w:t>全年</w:t>
      </w:r>
      <w:r>
        <w:rPr>
          <w:rFonts w:hint="eastAsia" w:ascii="仿宋_GB2312" w:hAnsi="宋体" w:eastAsia="仿宋_GB2312" w:cs="宋体"/>
          <w:color w:val="000000"/>
          <w:kern w:val="0"/>
          <w:sz w:val="32"/>
          <w:szCs w:val="32"/>
          <w:highlight w:val="none"/>
        </w:rPr>
        <w:t>预算数</w:t>
      </w:r>
      <w:r>
        <w:rPr>
          <w:rFonts w:hint="eastAsia" w:ascii="仿宋_GB2312" w:hAnsi="宋体" w:eastAsia="仿宋_GB2312" w:cs="宋体"/>
          <w:color w:val="000000"/>
          <w:kern w:val="0"/>
          <w:sz w:val="32"/>
          <w:szCs w:val="32"/>
          <w:highlight w:val="none"/>
          <w:lang w:val="en-US" w:eastAsia="zh-CN"/>
        </w:rPr>
        <w:t>23187.018390</w:t>
      </w:r>
      <w:r>
        <w:rPr>
          <w:rFonts w:hint="eastAsia" w:ascii="仿宋_GB2312" w:hAnsi="宋体" w:eastAsia="仿宋_GB2312" w:cs="宋体"/>
          <w:color w:val="000000"/>
          <w:kern w:val="0"/>
          <w:sz w:val="32"/>
          <w:szCs w:val="32"/>
          <w:highlight w:val="none"/>
        </w:rPr>
        <w:t>万元</w:t>
      </w:r>
      <w:r>
        <w:rPr>
          <w:rFonts w:ascii="仿宋_GB2312" w:hAnsi="宋体" w:eastAsia="仿宋_GB2312" w:cs="宋体"/>
          <w:color w:val="000000"/>
          <w:kern w:val="0"/>
          <w:sz w:val="32"/>
          <w:szCs w:val="32"/>
          <w:highlight w:val="none"/>
        </w:rPr>
        <w:t>，</w:t>
      </w:r>
      <w:r>
        <w:rPr>
          <w:rFonts w:hint="eastAsia" w:ascii="仿宋_GB2312" w:hAnsi="宋体" w:eastAsia="仿宋_GB2312" w:cs="宋体"/>
          <w:color w:val="000000"/>
          <w:kern w:val="0"/>
          <w:sz w:val="32"/>
          <w:szCs w:val="32"/>
          <w:highlight w:val="none"/>
        </w:rPr>
        <w:t>其中</w:t>
      </w:r>
      <w:r>
        <w:rPr>
          <w:rFonts w:ascii="仿宋_GB2312" w:hAnsi="宋体" w:eastAsia="仿宋_GB2312" w:cs="宋体"/>
          <w:color w:val="000000"/>
          <w:kern w:val="0"/>
          <w:sz w:val="32"/>
          <w:szCs w:val="32"/>
          <w:highlight w:val="none"/>
        </w:rPr>
        <w:t>，基本</w:t>
      </w:r>
      <w:r>
        <w:rPr>
          <w:rFonts w:hint="eastAsia" w:ascii="仿宋_GB2312" w:hAnsi="宋体" w:eastAsia="仿宋_GB2312" w:cs="宋体"/>
          <w:color w:val="000000"/>
          <w:kern w:val="0"/>
          <w:sz w:val="32"/>
          <w:szCs w:val="32"/>
          <w:highlight w:val="none"/>
        </w:rPr>
        <w:t>支出</w:t>
      </w:r>
      <w:r>
        <w:rPr>
          <w:rFonts w:ascii="仿宋_GB2312" w:hAnsi="宋体" w:eastAsia="仿宋_GB2312" w:cs="宋体"/>
          <w:color w:val="000000"/>
          <w:kern w:val="0"/>
          <w:sz w:val="32"/>
          <w:szCs w:val="32"/>
          <w:highlight w:val="none"/>
        </w:rPr>
        <w:t>预算数</w:t>
      </w:r>
      <w:r>
        <w:rPr>
          <w:rFonts w:hint="eastAsia" w:ascii="仿宋_GB2312" w:hAnsi="宋体" w:eastAsia="仿宋_GB2312" w:cs="宋体"/>
          <w:color w:val="000000"/>
          <w:kern w:val="0"/>
          <w:sz w:val="32"/>
          <w:szCs w:val="32"/>
          <w:highlight w:val="none"/>
          <w:lang w:val="en-US" w:eastAsia="zh-CN"/>
        </w:rPr>
        <w:t>5275.741749</w:t>
      </w:r>
      <w:r>
        <w:rPr>
          <w:rFonts w:ascii="仿宋_GB2312" w:hAnsi="宋体" w:eastAsia="仿宋_GB2312" w:cs="宋体"/>
          <w:color w:val="000000"/>
          <w:kern w:val="0"/>
          <w:sz w:val="32"/>
          <w:szCs w:val="32"/>
          <w:highlight w:val="none"/>
        </w:rPr>
        <w:t>万元，</w:t>
      </w:r>
      <w:r>
        <w:rPr>
          <w:rFonts w:hint="eastAsia" w:ascii="仿宋_GB2312" w:hAnsi="宋体" w:eastAsia="仿宋_GB2312" w:cs="宋体"/>
          <w:color w:val="000000"/>
          <w:kern w:val="0"/>
          <w:sz w:val="32"/>
          <w:szCs w:val="32"/>
          <w:highlight w:val="none"/>
        </w:rPr>
        <w:t>项目支出预算数</w:t>
      </w:r>
      <w:r>
        <w:rPr>
          <w:rFonts w:hint="eastAsia" w:ascii="仿宋_GB2312" w:hAnsi="宋体" w:eastAsia="仿宋_GB2312" w:cs="宋体"/>
          <w:color w:val="000000"/>
          <w:kern w:val="0"/>
          <w:sz w:val="32"/>
          <w:szCs w:val="32"/>
          <w:highlight w:val="none"/>
          <w:lang w:val="en-US" w:eastAsia="zh-CN"/>
        </w:rPr>
        <w:t>17911.276641</w:t>
      </w:r>
      <w:r>
        <w:rPr>
          <w:rFonts w:ascii="仿宋_GB2312" w:hAnsi="宋体" w:eastAsia="仿宋_GB2312" w:cs="宋体"/>
          <w:color w:val="000000"/>
          <w:kern w:val="0"/>
          <w:sz w:val="32"/>
          <w:szCs w:val="32"/>
          <w:highlight w:val="none"/>
        </w:rPr>
        <w:t>万元</w:t>
      </w:r>
      <w:r>
        <w:rPr>
          <w:rFonts w:hint="eastAsia" w:ascii="仿宋_GB2312" w:hAnsi="宋体" w:eastAsia="仿宋_GB2312" w:cs="宋体"/>
          <w:color w:val="000000"/>
          <w:kern w:val="0"/>
          <w:sz w:val="32"/>
          <w:szCs w:val="32"/>
          <w:highlight w:val="none"/>
        </w:rPr>
        <w:t>。</w:t>
      </w:r>
      <w:r>
        <w:rPr>
          <w:rFonts w:ascii="仿宋_GB2312" w:hAnsi="宋体" w:eastAsia="仿宋_GB2312" w:cs="宋体"/>
          <w:color w:val="000000"/>
          <w:kern w:val="0"/>
          <w:sz w:val="32"/>
          <w:szCs w:val="32"/>
          <w:highlight w:val="none"/>
        </w:rPr>
        <w:t>资金总体</w:t>
      </w:r>
      <w:r>
        <w:rPr>
          <w:rFonts w:hint="eastAsia" w:ascii="仿宋_GB2312" w:hAnsi="宋体" w:eastAsia="仿宋_GB2312" w:cs="宋体"/>
          <w:color w:val="000000"/>
          <w:kern w:val="0"/>
          <w:sz w:val="32"/>
          <w:szCs w:val="32"/>
          <w:highlight w:val="none"/>
        </w:rPr>
        <w:t>支出</w:t>
      </w:r>
      <w:r>
        <w:rPr>
          <w:rFonts w:hint="eastAsia" w:ascii="仿宋_GB2312" w:hAnsi="宋体" w:eastAsia="仿宋_GB2312" w:cs="宋体"/>
          <w:color w:val="000000"/>
          <w:kern w:val="0"/>
          <w:sz w:val="32"/>
          <w:szCs w:val="32"/>
          <w:highlight w:val="none"/>
          <w:lang w:val="en-US" w:eastAsia="zh-CN"/>
        </w:rPr>
        <w:t>23101.313452</w:t>
      </w:r>
      <w:r>
        <w:rPr>
          <w:rFonts w:ascii="仿宋_GB2312" w:hAnsi="宋体" w:eastAsia="仿宋_GB2312" w:cs="宋体"/>
          <w:color w:val="000000"/>
          <w:kern w:val="0"/>
          <w:sz w:val="32"/>
          <w:szCs w:val="32"/>
          <w:highlight w:val="none"/>
        </w:rPr>
        <w:t>万元，其中，基本支出</w:t>
      </w:r>
      <w:r>
        <w:rPr>
          <w:rFonts w:hint="eastAsia" w:ascii="仿宋_GB2312" w:hAnsi="宋体" w:eastAsia="仿宋_GB2312" w:cs="宋体"/>
          <w:color w:val="000000"/>
          <w:kern w:val="0"/>
          <w:sz w:val="32"/>
          <w:szCs w:val="32"/>
          <w:highlight w:val="none"/>
          <w:lang w:val="en-US" w:eastAsia="zh-CN"/>
        </w:rPr>
        <w:t>5275.741749</w:t>
      </w:r>
      <w:r>
        <w:rPr>
          <w:rFonts w:ascii="仿宋_GB2312" w:hAnsi="宋体" w:eastAsia="仿宋_GB2312" w:cs="宋体"/>
          <w:color w:val="000000"/>
          <w:kern w:val="0"/>
          <w:sz w:val="32"/>
          <w:szCs w:val="32"/>
          <w:highlight w:val="none"/>
        </w:rPr>
        <w:t>万元，项目</w:t>
      </w:r>
      <w:r>
        <w:rPr>
          <w:rFonts w:hint="eastAsia" w:ascii="仿宋_GB2312" w:hAnsi="宋体" w:eastAsia="仿宋_GB2312" w:cs="宋体"/>
          <w:color w:val="000000"/>
          <w:kern w:val="0"/>
          <w:sz w:val="32"/>
          <w:szCs w:val="32"/>
          <w:highlight w:val="none"/>
        </w:rPr>
        <w:t>支出</w:t>
      </w:r>
      <w:r>
        <w:rPr>
          <w:rFonts w:hint="eastAsia" w:ascii="仿宋_GB2312" w:hAnsi="宋体" w:eastAsia="仿宋_GB2312" w:cs="宋体"/>
          <w:color w:val="000000"/>
          <w:kern w:val="0"/>
          <w:sz w:val="32"/>
          <w:szCs w:val="32"/>
          <w:highlight w:val="none"/>
          <w:lang w:val="en-US" w:eastAsia="zh-CN"/>
        </w:rPr>
        <w:t>17825.571703</w:t>
      </w:r>
      <w:r>
        <w:rPr>
          <w:rFonts w:ascii="仿宋_GB2312" w:hAnsi="宋体" w:eastAsia="仿宋_GB2312" w:cs="宋体"/>
          <w:color w:val="000000"/>
          <w:kern w:val="0"/>
          <w:sz w:val="32"/>
          <w:szCs w:val="32"/>
          <w:highlight w:val="none"/>
        </w:rPr>
        <w:t>万元。</w:t>
      </w:r>
      <w:r>
        <w:rPr>
          <w:rFonts w:hint="eastAsia" w:ascii="仿宋_GB2312" w:hAnsi="宋体" w:eastAsia="仿宋_GB2312" w:cs="宋体"/>
          <w:color w:val="000000"/>
          <w:kern w:val="0"/>
          <w:sz w:val="32"/>
          <w:szCs w:val="32"/>
          <w:highlight w:val="none"/>
        </w:rPr>
        <w:t>预算</w:t>
      </w:r>
      <w:r>
        <w:rPr>
          <w:rFonts w:ascii="仿宋_GB2312" w:hAnsi="宋体" w:eastAsia="仿宋_GB2312" w:cs="宋体"/>
          <w:color w:val="000000"/>
          <w:kern w:val="0"/>
          <w:sz w:val="32"/>
          <w:szCs w:val="32"/>
          <w:highlight w:val="none"/>
        </w:rPr>
        <w:t>执行率为</w:t>
      </w:r>
      <w:r>
        <w:rPr>
          <w:rFonts w:hint="eastAsia" w:ascii="仿宋_GB2312" w:hAnsi="宋体" w:eastAsia="仿宋_GB2312" w:cs="宋体"/>
          <w:color w:val="000000"/>
          <w:kern w:val="0"/>
          <w:sz w:val="32"/>
          <w:szCs w:val="32"/>
          <w:highlight w:val="none"/>
          <w:lang w:val="en-US" w:eastAsia="zh-CN"/>
        </w:rPr>
        <w:t>99.63%</w:t>
      </w:r>
      <w:r>
        <w:rPr>
          <w:rFonts w:hint="eastAsia" w:ascii="仿宋_GB2312" w:hAnsi="宋体" w:eastAsia="仿宋_GB2312" w:cs="宋体"/>
          <w:color w:val="000000"/>
          <w:kern w:val="0"/>
          <w:sz w:val="32"/>
          <w:szCs w:val="32"/>
          <w:highlight w:val="none"/>
        </w:rPr>
        <w:t>。</w:t>
      </w:r>
    </w:p>
    <w:p>
      <w:pPr>
        <w:spacing w:line="600" w:lineRule="exact"/>
        <w:ind w:left="105" w:leftChars="50" w:firstLine="480" w:firstLineChars="150"/>
        <w:rPr>
          <w:rFonts w:ascii="黑体" w:hAnsi="黑体" w:eastAsia="黑体" w:cs="宋体"/>
          <w:color w:val="000000"/>
          <w:kern w:val="0"/>
          <w:sz w:val="32"/>
          <w:szCs w:val="32"/>
        </w:rPr>
      </w:pPr>
      <w:r>
        <w:rPr>
          <w:rFonts w:hint="eastAsia" w:ascii="黑体" w:hAnsi="黑体" w:eastAsia="黑体" w:cs="宋体"/>
          <w:color w:val="000000"/>
          <w:kern w:val="0"/>
          <w:sz w:val="32"/>
          <w:szCs w:val="32"/>
        </w:rPr>
        <w:t>三</w:t>
      </w:r>
      <w:r>
        <w:rPr>
          <w:rFonts w:ascii="黑体" w:hAnsi="黑体" w:eastAsia="黑体" w:cs="宋体"/>
          <w:color w:val="000000"/>
          <w:kern w:val="0"/>
          <w:sz w:val="32"/>
          <w:szCs w:val="32"/>
        </w:rPr>
        <w:t>、整体绩效目标实现情况</w:t>
      </w:r>
    </w:p>
    <w:p>
      <w:pPr>
        <w:spacing w:line="600" w:lineRule="exact"/>
        <w:ind w:left="105" w:leftChars="50" w:firstLine="480" w:firstLineChars="150"/>
        <w:rPr>
          <w:rFonts w:ascii="楷体_GB2312" w:eastAsia="楷体_GB2312"/>
          <w:sz w:val="32"/>
          <w:szCs w:val="32"/>
          <w:highlight w:val="none"/>
        </w:rPr>
      </w:pPr>
      <w:r>
        <w:rPr>
          <w:rFonts w:hint="eastAsia" w:ascii="楷体_GB2312" w:eastAsia="楷体_GB2312"/>
          <w:sz w:val="32"/>
          <w:szCs w:val="32"/>
          <w:highlight w:val="none"/>
        </w:rPr>
        <w:t>（一）产出完成情况分析</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rPr>
        <w:t>1.产出数量</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lang w:val="en-US" w:eastAsia="zh-CN"/>
        </w:rPr>
        <w:t>截至2023年底，保障了行政编制在职人员88人，事业编制在职人员49人、其他人员283人的基本支出，能够保证机关各单位正常运转，基本支出和项目支出资金拨付标准符合相关法律法规及本部门本单位规章制度。</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rPr>
        <w:t>2.产出质量</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lang w:val="en-US" w:eastAsia="zh-CN"/>
        </w:rPr>
        <w:t>保障人员支出、做好机关正常运行维护服务；</w:t>
      </w:r>
      <w:r>
        <w:rPr>
          <w:rFonts w:hint="eastAsia" w:ascii="仿宋_GB2312" w:hAnsi="宋体" w:eastAsia="仿宋_GB2312" w:cs="宋体"/>
          <w:color w:val="000000"/>
          <w:kern w:val="0"/>
          <w:sz w:val="32"/>
          <w:szCs w:val="32"/>
          <w:highlight w:val="none"/>
          <w:lang w:eastAsia="zh-CN"/>
        </w:rPr>
        <w:t>做好地区</w:t>
      </w:r>
      <w:r>
        <w:rPr>
          <w:rFonts w:hint="eastAsia" w:ascii="仿宋_GB2312" w:hAnsi="宋体" w:eastAsia="仿宋_GB2312" w:cs="宋体"/>
          <w:color w:val="000000"/>
          <w:kern w:val="0"/>
          <w:sz w:val="32"/>
          <w:szCs w:val="32"/>
          <w:highlight w:val="none"/>
          <w:lang w:val="en-US" w:eastAsia="zh-CN"/>
        </w:rPr>
        <w:t>经济建设和第五次全国经济普查以及地区</w:t>
      </w:r>
      <w:r>
        <w:rPr>
          <w:rFonts w:hint="eastAsia" w:ascii="仿宋_GB2312" w:hAnsi="宋体" w:eastAsia="仿宋_GB2312" w:cs="宋体"/>
          <w:color w:val="000000"/>
          <w:kern w:val="0"/>
          <w:sz w:val="32"/>
          <w:szCs w:val="32"/>
          <w:highlight w:val="none"/>
          <w:lang w:eastAsia="zh-CN"/>
        </w:rPr>
        <w:t>财政、财务工作；保障基层党组织有效履职和正常运转，</w:t>
      </w:r>
      <w:r>
        <w:rPr>
          <w:rFonts w:hint="eastAsia" w:ascii="仿宋_GB2312" w:hAnsi="宋体" w:eastAsia="仿宋_GB2312" w:cs="宋体"/>
          <w:color w:val="000000"/>
          <w:kern w:val="0"/>
          <w:sz w:val="32"/>
          <w:szCs w:val="32"/>
          <w:highlight w:val="none"/>
          <w:lang w:val="en-US" w:eastAsia="zh-CN"/>
        </w:rPr>
        <w:t xml:space="preserve">提升基层党组织的组织力、凝聚力、号召力；维护地区安全稳定；加强环境整治，整体提高地区环境卫生；保障地区民生建设；开展丰富多彩的文化体育活动等。 </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lang w:val="en-US" w:eastAsia="zh-CN"/>
        </w:rPr>
        <w:t>3.</w:t>
      </w:r>
      <w:r>
        <w:rPr>
          <w:rFonts w:hint="eastAsia" w:ascii="仿宋_GB2312" w:hAnsi="宋体" w:eastAsia="仿宋_GB2312" w:cs="宋体"/>
          <w:color w:val="000000"/>
          <w:kern w:val="0"/>
          <w:sz w:val="32"/>
          <w:szCs w:val="32"/>
          <w:highlight w:val="none"/>
        </w:rPr>
        <w:t>产出进度</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rPr>
        <w:t>严格按照年初制定的全年工作计划，</w:t>
      </w:r>
      <w:r>
        <w:rPr>
          <w:rFonts w:hint="eastAsia" w:ascii="仿宋_GB2312" w:hAnsi="宋体" w:eastAsia="仿宋_GB2312" w:cs="宋体"/>
          <w:color w:val="000000"/>
          <w:kern w:val="0"/>
          <w:sz w:val="32"/>
          <w:szCs w:val="32"/>
          <w:highlight w:val="none"/>
          <w:lang w:eastAsia="zh-CN"/>
        </w:rPr>
        <w:t>在上级各</w:t>
      </w:r>
      <w:r>
        <w:rPr>
          <w:rFonts w:hint="eastAsia" w:ascii="仿宋_GB2312" w:hAnsi="宋体" w:eastAsia="仿宋_GB2312" w:cs="宋体"/>
          <w:color w:val="000000"/>
          <w:kern w:val="0"/>
          <w:sz w:val="32"/>
          <w:szCs w:val="32"/>
          <w:highlight w:val="none"/>
        </w:rPr>
        <w:t>部门的大力支持下，各项工作稳步推进，全年工作进度落实执行情况良好。</w:t>
      </w:r>
    </w:p>
    <w:p>
      <w:pPr>
        <w:spacing w:line="600" w:lineRule="exact"/>
        <w:ind w:firstLine="640" w:firstLineChars="200"/>
        <w:rPr>
          <w:rFonts w:hint="eastAsia"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lang w:val="en-US" w:eastAsia="zh-CN"/>
        </w:rPr>
        <w:t>4.</w:t>
      </w:r>
      <w:r>
        <w:rPr>
          <w:rFonts w:hint="eastAsia" w:ascii="仿宋_GB2312" w:hAnsi="宋体" w:eastAsia="仿宋_GB2312" w:cs="宋体"/>
          <w:color w:val="000000"/>
          <w:kern w:val="0"/>
          <w:sz w:val="32"/>
          <w:szCs w:val="32"/>
          <w:highlight w:val="none"/>
        </w:rPr>
        <w:t xml:space="preserve">产出成本          </w:t>
      </w:r>
    </w:p>
    <w:p>
      <w:pPr>
        <w:spacing w:line="600" w:lineRule="exact"/>
        <w:ind w:firstLine="640" w:firstLineChars="200"/>
        <w:rPr>
          <w:rFonts w:ascii="仿宋_GB2312" w:hAnsi="宋体" w:eastAsia="仿宋_GB2312" w:cs="宋体"/>
          <w:color w:val="000000"/>
          <w:kern w:val="0"/>
          <w:sz w:val="32"/>
          <w:szCs w:val="32"/>
          <w:highlight w:val="none"/>
        </w:rPr>
      </w:pPr>
      <w:r>
        <w:rPr>
          <w:rFonts w:hint="eastAsia" w:ascii="仿宋_GB2312" w:hAnsi="宋体" w:eastAsia="仿宋_GB2312" w:cs="宋体"/>
          <w:color w:val="000000"/>
          <w:kern w:val="0"/>
          <w:sz w:val="32"/>
          <w:szCs w:val="32"/>
          <w:highlight w:val="none"/>
          <w:lang w:val="en-US" w:eastAsia="zh-CN"/>
        </w:rPr>
        <w:t>2023年太阳宫乡</w:t>
      </w:r>
      <w:r>
        <w:rPr>
          <w:rFonts w:hint="eastAsia" w:ascii="仿宋_GB2312" w:hAnsi="宋体" w:eastAsia="仿宋_GB2312" w:cs="宋体"/>
          <w:color w:val="000000"/>
          <w:kern w:val="0"/>
          <w:sz w:val="32"/>
          <w:szCs w:val="32"/>
          <w:highlight w:val="none"/>
        </w:rPr>
        <w:t>资金总体</w:t>
      </w:r>
      <w:r>
        <w:rPr>
          <w:rFonts w:hint="eastAsia" w:ascii="仿宋_GB2312" w:hAnsi="宋体" w:eastAsia="仿宋_GB2312" w:cs="宋体"/>
          <w:color w:val="000000"/>
          <w:kern w:val="0"/>
          <w:sz w:val="32"/>
          <w:szCs w:val="32"/>
          <w:highlight w:val="none"/>
        </w:rPr>
        <w:t>支出</w:t>
      </w:r>
      <w:r>
        <w:rPr>
          <w:rFonts w:hint="eastAsia" w:ascii="仿宋_GB2312" w:hAnsi="宋体" w:eastAsia="仿宋_GB2312" w:cs="宋体"/>
          <w:color w:val="000000"/>
          <w:kern w:val="0"/>
          <w:sz w:val="32"/>
          <w:szCs w:val="32"/>
          <w:highlight w:val="none"/>
          <w:lang w:val="en-US" w:eastAsia="zh-CN"/>
        </w:rPr>
        <w:t>23101.313452</w:t>
      </w:r>
      <w:r>
        <w:rPr>
          <w:rFonts w:hint="eastAsia" w:ascii="仿宋_GB2312" w:hAnsi="宋体" w:eastAsia="仿宋_GB2312" w:cs="宋体"/>
          <w:color w:val="000000"/>
          <w:kern w:val="0"/>
          <w:sz w:val="32"/>
          <w:szCs w:val="32"/>
          <w:highlight w:val="none"/>
        </w:rPr>
        <w:t>万元</w:t>
      </w:r>
      <w:r>
        <w:rPr>
          <w:rFonts w:hint="eastAsia" w:ascii="仿宋_GB2312" w:hAnsi="宋体" w:eastAsia="仿宋_GB2312" w:cs="宋体"/>
          <w:color w:val="000000"/>
          <w:kern w:val="0"/>
          <w:sz w:val="32"/>
          <w:szCs w:val="32"/>
          <w:highlight w:val="none"/>
          <w:lang w:eastAsia="zh-CN"/>
        </w:rPr>
        <w:t>。</w:t>
      </w:r>
      <w:r>
        <w:rPr>
          <w:rFonts w:hint="eastAsia" w:ascii="仿宋_GB2312" w:hAnsi="宋体" w:eastAsia="仿宋_GB2312" w:cs="宋体"/>
          <w:color w:val="000000"/>
          <w:kern w:val="0"/>
          <w:sz w:val="32"/>
          <w:szCs w:val="32"/>
          <w:highlight w:val="none"/>
        </w:rPr>
        <w:t xml:space="preserve">            </w:t>
      </w:r>
      <w:r>
        <w:rPr>
          <w:rFonts w:hint="eastAsia" w:ascii="仿宋_GB2312" w:hAnsi="宋体" w:eastAsia="仿宋_GB2312" w:cs="宋体"/>
          <w:color w:val="000000"/>
          <w:kern w:val="0"/>
          <w:sz w:val="32"/>
          <w:szCs w:val="32"/>
          <w:highlight w:val="none"/>
        </w:rPr>
        <w:t xml:space="preserve">                    </w:t>
      </w:r>
    </w:p>
    <w:p>
      <w:pPr>
        <w:spacing w:line="600" w:lineRule="exact"/>
        <w:ind w:left="105" w:leftChars="50" w:firstLine="480" w:firstLineChars="150"/>
        <w:rPr>
          <w:rFonts w:ascii="楷体_GB2312" w:eastAsia="楷体_GB2312"/>
          <w:sz w:val="32"/>
          <w:szCs w:val="32"/>
          <w:highlight w:val="none"/>
        </w:rPr>
      </w:pPr>
      <w:r>
        <w:rPr>
          <w:rFonts w:hint="eastAsia" w:ascii="楷体_GB2312" w:eastAsia="楷体_GB2312"/>
          <w:sz w:val="32"/>
          <w:szCs w:val="32"/>
          <w:highlight w:val="none"/>
        </w:rPr>
        <w:t>（二）效果</w:t>
      </w:r>
      <w:r>
        <w:rPr>
          <w:rFonts w:ascii="楷体_GB2312" w:eastAsia="楷体_GB2312"/>
          <w:sz w:val="32"/>
          <w:szCs w:val="32"/>
          <w:highlight w:val="none"/>
        </w:rPr>
        <w:t>实现情况分析</w:t>
      </w:r>
    </w:p>
    <w:p>
      <w:pPr>
        <w:spacing w:line="600" w:lineRule="exact"/>
        <w:ind w:left="105" w:leftChars="50" w:firstLine="480" w:firstLineChars="150"/>
        <w:rPr>
          <w:rFonts w:ascii="仿宋_GB2312" w:hAnsi="宋体" w:eastAsia="仿宋_GB2312" w:cs="宋体"/>
          <w:b w:val="0"/>
          <w:bCs w:val="0"/>
          <w:color w:val="000000"/>
          <w:kern w:val="0"/>
          <w:sz w:val="32"/>
          <w:szCs w:val="32"/>
          <w:highlight w:val="none"/>
        </w:rPr>
      </w:pPr>
      <w:r>
        <w:rPr>
          <w:rFonts w:hint="eastAsia" w:ascii="仿宋_GB2312" w:hAnsi="宋体" w:eastAsia="仿宋_GB2312" w:cs="宋体"/>
          <w:b w:val="0"/>
          <w:bCs w:val="0"/>
          <w:color w:val="000000"/>
          <w:kern w:val="0"/>
          <w:sz w:val="32"/>
          <w:szCs w:val="32"/>
          <w:highlight w:val="none"/>
        </w:rPr>
        <w:t>1.经济</w:t>
      </w:r>
      <w:r>
        <w:rPr>
          <w:rFonts w:ascii="仿宋_GB2312" w:hAnsi="宋体" w:eastAsia="仿宋_GB2312" w:cs="宋体"/>
          <w:b w:val="0"/>
          <w:bCs w:val="0"/>
          <w:color w:val="000000"/>
          <w:kern w:val="0"/>
          <w:sz w:val="32"/>
          <w:szCs w:val="32"/>
          <w:highlight w:val="none"/>
        </w:rPr>
        <w:t>效益</w:t>
      </w:r>
    </w:p>
    <w:p>
      <w:pPr>
        <w:spacing w:line="600" w:lineRule="exact"/>
        <w:ind w:left="105" w:leftChars="50" w:firstLine="480" w:firstLineChars="150"/>
        <w:rPr>
          <w:b w:val="0"/>
          <w:bCs w:val="0"/>
          <w:sz w:val="32"/>
          <w:szCs w:val="32"/>
          <w:highlight w:val="none"/>
        </w:rPr>
      </w:pPr>
      <w:r>
        <w:rPr>
          <w:rFonts w:hint="eastAsia" w:ascii="仿宋_GB2312" w:hAnsi="仿宋_GB2312" w:eastAsia="仿宋_GB2312" w:cs="仿宋_GB2312"/>
          <w:b w:val="0"/>
          <w:bCs w:val="0"/>
          <w:kern w:val="0"/>
          <w:sz w:val="32"/>
          <w:szCs w:val="32"/>
          <w:highlight w:val="none"/>
          <w:lang w:val="en-US" w:eastAsia="zh-CN" w:bidi="ar-SA"/>
        </w:rPr>
        <w:t>坚持“科技+商务”双轮驱动，产业发展与集体经济双向发力，招商引资与税源建设双管齐下，全年实现区级财政收入8.8亿元，同比增长11.4%，集体经济总收入1.75亿元。经济运行蓄势回升。聚焦打造经济新地标</w:t>
      </w:r>
      <w:r>
        <w:rPr>
          <w:rFonts w:hint="default" w:ascii="仿宋_GB2312" w:hAnsi="仿宋_GB2312" w:eastAsia="仿宋_GB2312" w:cs="仿宋_GB2312"/>
          <w:b w:val="0"/>
          <w:bCs w:val="0"/>
          <w:kern w:val="0"/>
          <w:sz w:val="32"/>
          <w:szCs w:val="32"/>
          <w:highlight w:val="none"/>
          <w:lang w:val="en-US" w:eastAsia="zh-CN" w:bidi="ar-SA"/>
        </w:rPr>
        <w:t>，</w:t>
      </w:r>
      <w:r>
        <w:rPr>
          <w:rFonts w:hint="eastAsia" w:ascii="仿宋_GB2312" w:hAnsi="仿宋_GB2312" w:eastAsia="仿宋_GB2312" w:cs="仿宋_GB2312"/>
          <w:b w:val="0"/>
          <w:bCs w:val="0"/>
          <w:kern w:val="0"/>
          <w:sz w:val="32"/>
          <w:szCs w:val="32"/>
          <w:highlight w:val="none"/>
          <w:lang w:val="en-US" w:eastAsia="zh-CN" w:bidi="ar-SA"/>
        </w:rPr>
        <w:t>盘活</w:t>
      </w:r>
      <w:r>
        <w:rPr>
          <w:rFonts w:hint="default" w:ascii="仿宋_GB2312" w:hAnsi="仿宋_GB2312" w:eastAsia="仿宋_GB2312" w:cs="仿宋_GB2312"/>
          <w:b w:val="0"/>
          <w:bCs w:val="0"/>
          <w:kern w:val="0"/>
          <w:sz w:val="32"/>
          <w:szCs w:val="32"/>
          <w:highlight w:val="none"/>
          <w:lang w:val="en-US" w:eastAsia="zh-CN" w:bidi="ar-SA"/>
        </w:rPr>
        <w:t>太阳宫广场等存量产业空间</w:t>
      </w:r>
      <w:r>
        <w:rPr>
          <w:rFonts w:hint="eastAsia" w:ascii="仿宋_GB2312" w:hAnsi="仿宋_GB2312" w:eastAsia="仿宋_GB2312" w:cs="仿宋_GB2312"/>
          <w:b w:val="0"/>
          <w:bCs w:val="0"/>
          <w:kern w:val="0"/>
          <w:sz w:val="32"/>
          <w:szCs w:val="32"/>
          <w:highlight w:val="none"/>
          <w:lang w:val="en-US" w:eastAsia="zh-CN" w:bidi="ar-SA"/>
        </w:rPr>
        <w:t>资源，企业入驻率达95%。产业发展提质增效，集体经济持续向好</w:t>
      </w:r>
      <w:r>
        <w:rPr>
          <w:rFonts w:hint="default" w:ascii="仿宋_GB2312" w:hAnsi="仿宋_GB2312" w:eastAsia="仿宋_GB2312" w:cs="仿宋_GB2312"/>
          <w:b w:val="0"/>
          <w:bCs w:val="0"/>
          <w:kern w:val="0"/>
          <w:sz w:val="32"/>
          <w:szCs w:val="32"/>
          <w:highlight w:val="none"/>
          <w:lang w:val="en-US" w:eastAsia="zh-CN" w:bidi="ar-SA"/>
        </w:rPr>
        <w:t>，有序推进乡级</w:t>
      </w:r>
      <w:r>
        <w:rPr>
          <w:rFonts w:hint="eastAsia" w:ascii="仿宋_GB2312" w:hAnsi="仿宋_GB2312" w:eastAsia="仿宋_GB2312" w:cs="仿宋_GB2312"/>
          <w:b w:val="0"/>
          <w:bCs w:val="0"/>
          <w:kern w:val="0"/>
          <w:sz w:val="32"/>
          <w:szCs w:val="32"/>
          <w:highlight w:val="none"/>
          <w:lang w:val="en-US" w:eastAsia="zh-CN" w:bidi="ar-SA"/>
        </w:rPr>
        <w:t>集体</w:t>
      </w:r>
      <w:r>
        <w:rPr>
          <w:rFonts w:hint="default" w:ascii="仿宋_GB2312" w:hAnsi="仿宋_GB2312" w:eastAsia="仿宋_GB2312" w:cs="仿宋_GB2312"/>
          <w:b w:val="0"/>
          <w:bCs w:val="0"/>
          <w:kern w:val="0"/>
          <w:sz w:val="32"/>
          <w:szCs w:val="32"/>
          <w:highlight w:val="none"/>
          <w:lang w:val="en-US" w:eastAsia="zh-CN" w:bidi="ar-SA"/>
        </w:rPr>
        <w:t>产权制度改革</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稳妥推进</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撤村建居</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w:t>
      </w:r>
    </w:p>
    <w:p>
      <w:pPr>
        <w:numPr>
          <w:numId w:val="0"/>
        </w:numPr>
        <w:spacing w:line="600" w:lineRule="exact"/>
        <w:ind w:firstLine="640" w:firstLineChars="200"/>
        <w:rPr>
          <w:rFonts w:hint="eastAsia" w:ascii="仿宋_GB2312" w:hAnsi="宋体" w:eastAsia="仿宋_GB2312" w:cs="宋体"/>
          <w:b w:val="0"/>
          <w:bCs w:val="0"/>
          <w:color w:val="000000"/>
          <w:kern w:val="0"/>
          <w:sz w:val="32"/>
          <w:szCs w:val="32"/>
          <w:highlight w:val="none"/>
        </w:rPr>
      </w:pPr>
      <w:r>
        <w:rPr>
          <w:rFonts w:hint="eastAsia" w:ascii="仿宋_GB2312" w:hAnsi="宋体" w:eastAsia="仿宋_GB2312" w:cs="宋体"/>
          <w:b w:val="0"/>
          <w:bCs w:val="0"/>
          <w:color w:val="000000"/>
          <w:kern w:val="0"/>
          <w:sz w:val="32"/>
          <w:szCs w:val="32"/>
          <w:highlight w:val="none"/>
          <w:lang w:val="en-US" w:eastAsia="zh-CN"/>
        </w:rPr>
        <w:t>2.</w:t>
      </w:r>
      <w:r>
        <w:rPr>
          <w:rFonts w:hint="eastAsia" w:ascii="仿宋_GB2312" w:hAnsi="宋体" w:eastAsia="仿宋_GB2312" w:cs="宋体"/>
          <w:b w:val="0"/>
          <w:bCs w:val="0"/>
          <w:color w:val="000000"/>
          <w:kern w:val="0"/>
          <w:sz w:val="32"/>
          <w:szCs w:val="32"/>
          <w:highlight w:val="none"/>
        </w:rPr>
        <w:t>社会效益</w:t>
      </w:r>
    </w:p>
    <w:p>
      <w:pPr>
        <w:pStyle w:val="10"/>
        <w:keepNext w:val="0"/>
        <w:keepLines w:val="0"/>
        <w:pageBreakBefore w:val="0"/>
        <w:kinsoku/>
        <w:wordWrap/>
        <w:overflowPunct/>
        <w:topLinePunct w:val="0"/>
        <w:bidi w:val="0"/>
        <w:spacing w:line="560" w:lineRule="exact"/>
        <w:jc w:val="both"/>
        <w:textAlignment w:val="auto"/>
        <w:rPr>
          <w:rFonts w:hint="default" w:ascii="仿宋_GB2312" w:hAnsi="仿宋_GB2312" w:eastAsia="仿宋_GB2312" w:cs="仿宋_GB2312"/>
          <w:b w:val="0"/>
          <w:bCs w:val="0"/>
          <w:kern w:val="0"/>
          <w:sz w:val="32"/>
          <w:szCs w:val="32"/>
          <w:highlight w:val="none"/>
          <w:lang w:val="en-US" w:eastAsia="zh-CN" w:bidi="ar-SA"/>
        </w:rPr>
      </w:pPr>
      <w:r>
        <w:rPr>
          <w:rFonts w:hint="default" w:ascii="仿宋_GB2312" w:hAnsi="仿宋_GB2312" w:eastAsia="仿宋_GB2312" w:cs="仿宋_GB2312"/>
          <w:b w:val="0"/>
          <w:bCs w:val="0"/>
          <w:kern w:val="0"/>
          <w:sz w:val="32"/>
          <w:szCs w:val="32"/>
          <w:highlight w:val="none"/>
          <w:lang w:val="en-US" w:eastAsia="zh-CN" w:bidi="ar-SA"/>
        </w:rPr>
        <w:t>全面贯彻落实党的二十大精神，</w:t>
      </w:r>
      <w:r>
        <w:rPr>
          <w:rFonts w:hint="eastAsia" w:ascii="仿宋_GB2312" w:hAnsi="仿宋_GB2312" w:eastAsia="仿宋_GB2312" w:cs="仿宋_GB2312"/>
          <w:b w:val="0"/>
          <w:bCs w:val="0"/>
          <w:kern w:val="0"/>
          <w:sz w:val="32"/>
          <w:szCs w:val="32"/>
          <w:highlight w:val="none"/>
          <w:lang w:val="en-US" w:eastAsia="zh-CN" w:bidi="ar-SA"/>
        </w:rPr>
        <w:t>统筹发展和安全</w:t>
      </w:r>
      <w:r>
        <w:rPr>
          <w:rFonts w:hint="default" w:ascii="仿宋_GB2312" w:hAnsi="仿宋_GB2312" w:eastAsia="仿宋_GB2312" w:cs="仿宋_GB2312"/>
          <w:b w:val="0"/>
          <w:bCs w:val="0"/>
          <w:kern w:val="0"/>
          <w:sz w:val="32"/>
          <w:szCs w:val="32"/>
          <w:highlight w:val="none"/>
          <w:lang w:val="en-US" w:eastAsia="zh-CN" w:bidi="ar-SA"/>
        </w:rPr>
        <w:t>，坚持重大安保与常态化治理相结合，平安建设水平不断提升</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全面贯彻总体国家安全观，圆满完成全国</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两会</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服贸会</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一带一路</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等安保维稳工作</w:t>
      </w:r>
      <w:r>
        <w:rPr>
          <w:rFonts w:hint="eastAsia" w:ascii="仿宋_GB2312" w:hAnsi="仿宋_GB2312" w:eastAsia="仿宋_GB2312" w:cs="仿宋_GB2312"/>
          <w:b w:val="0"/>
          <w:bCs w:val="0"/>
          <w:kern w:val="0"/>
          <w:sz w:val="32"/>
          <w:szCs w:val="32"/>
          <w:highlight w:val="none"/>
          <w:lang w:val="en-US" w:eastAsia="zh-CN" w:bidi="ar-SA"/>
        </w:rPr>
        <w:t>，扎实推</w:t>
      </w:r>
      <w:r>
        <w:rPr>
          <w:rFonts w:hint="default" w:ascii="仿宋_GB2312" w:hAnsi="仿宋_GB2312" w:eastAsia="仿宋_GB2312" w:cs="仿宋_GB2312"/>
          <w:b w:val="0"/>
          <w:bCs w:val="0"/>
          <w:kern w:val="0"/>
          <w:sz w:val="32"/>
          <w:szCs w:val="32"/>
          <w:highlight w:val="none"/>
          <w:lang w:val="en-US" w:eastAsia="zh-CN" w:bidi="ar-SA"/>
        </w:rPr>
        <w:t>进</w:t>
      </w:r>
      <w:r>
        <w:rPr>
          <w:rFonts w:hint="eastAsia" w:ascii="仿宋_GB2312" w:hAnsi="仿宋_GB2312" w:eastAsia="仿宋_GB2312" w:cs="仿宋_GB2312"/>
          <w:b w:val="0"/>
          <w:bCs w:val="0"/>
          <w:kern w:val="0"/>
          <w:sz w:val="32"/>
          <w:szCs w:val="32"/>
          <w:highlight w:val="none"/>
          <w:lang w:val="en-US" w:eastAsia="zh-CN" w:bidi="ar-SA"/>
        </w:rPr>
        <w:t>“平安太阳宫”建设。以精耕细作彰显城市内涵</w:t>
      </w:r>
      <w:r>
        <w:rPr>
          <w:rFonts w:hint="eastAsia" w:ascii="仿宋_GB2312" w:hAnsi="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深化接诉即办案件三级纵向督办机制，全面提升诉求处置能力</w:t>
      </w:r>
      <w:r>
        <w:rPr>
          <w:rFonts w:hint="eastAsia" w:ascii="仿宋_GB2312" w:hAnsi="仿宋_GB2312" w:eastAsia="仿宋_GB2312" w:cs="仿宋_GB2312"/>
          <w:b w:val="0"/>
          <w:bCs w:val="0"/>
          <w:kern w:val="0"/>
          <w:sz w:val="32"/>
          <w:szCs w:val="32"/>
          <w:highlight w:val="none"/>
          <w:lang w:val="en-US" w:eastAsia="zh-CN" w:bidi="ar-SA"/>
        </w:rPr>
        <w:t>，有效</w:t>
      </w:r>
      <w:r>
        <w:rPr>
          <w:rFonts w:hint="default" w:ascii="仿宋_GB2312" w:hAnsi="仿宋_GB2312" w:eastAsia="仿宋_GB2312" w:cs="仿宋_GB2312"/>
          <w:b w:val="0"/>
          <w:bCs w:val="0"/>
          <w:kern w:val="0"/>
          <w:sz w:val="32"/>
          <w:szCs w:val="32"/>
          <w:highlight w:val="none"/>
          <w:lang w:val="en-US" w:eastAsia="zh-CN" w:bidi="ar-SA"/>
        </w:rPr>
        <w:t>提高诉求办理质效。</w:t>
      </w:r>
      <w:r>
        <w:rPr>
          <w:rFonts w:hint="eastAsia" w:ascii="仿宋_GB2312" w:hAnsi="仿宋_GB2312" w:eastAsia="仿宋_GB2312" w:cs="仿宋_GB2312"/>
          <w:b w:val="0"/>
          <w:bCs w:val="0"/>
          <w:kern w:val="0"/>
          <w:sz w:val="32"/>
          <w:szCs w:val="32"/>
          <w:highlight w:val="none"/>
          <w:lang w:val="en-US" w:eastAsia="zh-CN" w:bidi="ar-SA"/>
        </w:rPr>
        <w:t>切实</w:t>
      </w:r>
      <w:r>
        <w:rPr>
          <w:rFonts w:hint="default" w:ascii="仿宋_GB2312" w:hAnsi="仿宋_GB2312" w:eastAsia="仿宋_GB2312" w:cs="仿宋_GB2312"/>
          <w:b w:val="0"/>
          <w:bCs w:val="0"/>
          <w:kern w:val="0"/>
          <w:sz w:val="32"/>
          <w:szCs w:val="32"/>
          <w:highlight w:val="none"/>
          <w:lang w:val="en-US" w:eastAsia="zh-CN" w:bidi="ar-SA"/>
        </w:rPr>
        <w:t>提升物业企业服务水平。</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rightChars="0" w:firstLine="640" w:firstLineChars="200"/>
        <w:jc w:val="both"/>
        <w:textAlignment w:val="auto"/>
        <w:outlineLvl w:val="0"/>
        <w:rPr>
          <w:rFonts w:hint="eastAsia" w:ascii="仿宋_GB2312" w:hAnsi="宋体" w:eastAsia="仿宋_GB2312" w:cs="宋体"/>
          <w:b w:val="0"/>
          <w:bCs w:val="0"/>
          <w:color w:val="000000"/>
          <w:kern w:val="0"/>
          <w:sz w:val="32"/>
          <w:szCs w:val="32"/>
          <w:highlight w:val="none"/>
        </w:rPr>
      </w:pPr>
      <w:r>
        <w:rPr>
          <w:rFonts w:hint="eastAsia" w:ascii="仿宋_GB2312" w:hAnsi="仿宋_GB2312" w:eastAsia="仿宋_GB2312" w:cs="仿宋_GB2312"/>
          <w:b w:val="0"/>
          <w:bCs w:val="0"/>
          <w:kern w:val="0"/>
          <w:sz w:val="32"/>
          <w:szCs w:val="32"/>
          <w:highlight w:val="none"/>
          <w:lang w:val="en-US" w:eastAsia="zh-CN" w:bidi="ar-SA"/>
        </w:rPr>
        <w:t>3.</w:t>
      </w:r>
      <w:r>
        <w:rPr>
          <w:rFonts w:hint="eastAsia" w:ascii="仿宋_GB2312" w:hAnsi="宋体" w:eastAsia="仿宋_GB2312" w:cs="宋体"/>
          <w:b w:val="0"/>
          <w:bCs w:val="0"/>
          <w:color w:val="000000"/>
          <w:kern w:val="0"/>
          <w:sz w:val="32"/>
          <w:szCs w:val="32"/>
          <w:highlight w:val="none"/>
        </w:rPr>
        <w:t>环境效益</w:t>
      </w:r>
    </w:p>
    <w:p>
      <w:pPr>
        <w:numPr>
          <w:numId w:val="0"/>
        </w:numPr>
        <w:spacing w:line="600" w:lineRule="exact"/>
        <w:ind w:firstLine="640" w:firstLineChars="200"/>
        <w:rPr>
          <w:rFonts w:hint="eastAsia" w:ascii="仿宋_GB2312" w:hAnsi="仿宋_GB2312" w:eastAsia="仿宋_GB2312" w:cs="仿宋_GB2312"/>
          <w:b w:val="0"/>
          <w:bCs w:val="0"/>
          <w:kern w:val="0"/>
          <w:sz w:val="32"/>
          <w:szCs w:val="32"/>
          <w:highlight w:val="none"/>
          <w:lang w:val="en-US" w:eastAsia="zh-CN" w:bidi="ar-SA"/>
        </w:rPr>
      </w:pPr>
      <w:r>
        <w:rPr>
          <w:rFonts w:hint="eastAsia" w:ascii="仿宋_GB2312" w:hAnsi="仿宋_GB2312" w:eastAsia="仿宋_GB2312" w:cs="仿宋_GB2312"/>
          <w:b w:val="0"/>
          <w:bCs w:val="0"/>
          <w:kern w:val="0"/>
          <w:sz w:val="32"/>
          <w:szCs w:val="32"/>
          <w:highlight w:val="none"/>
          <w:lang w:val="en-US" w:eastAsia="zh-CN" w:bidi="ar-SA"/>
        </w:rPr>
        <w:t>绘好城市建设“工笔画”，聚焦违法建设、交通乱象等各类痼疾顽症，城市面貌显著改善。以整洁秩序升级城市品质</w:t>
      </w:r>
      <w:r>
        <w:rPr>
          <w:rFonts w:hint="default" w:ascii="仿宋_GB2312" w:hAnsi="仿宋_GB2312" w:eastAsia="仿宋_GB2312" w:cs="仿宋_GB2312"/>
          <w:b w:val="0"/>
          <w:bCs w:val="0"/>
          <w:kern w:val="0"/>
          <w:sz w:val="32"/>
          <w:szCs w:val="32"/>
          <w:highlight w:val="none"/>
          <w:lang w:val="en-US" w:eastAsia="zh-CN" w:bidi="ar-SA"/>
        </w:rPr>
        <w:t>，圆满完成</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疏整促</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任务</w:t>
      </w:r>
      <w:r>
        <w:rPr>
          <w:rFonts w:hint="eastAsia" w:ascii="仿宋_GB2312" w:hAnsi="仿宋_GB2312" w:eastAsia="仿宋_GB2312" w:cs="仿宋_GB2312"/>
          <w:b w:val="0"/>
          <w:bCs w:val="0"/>
          <w:kern w:val="0"/>
          <w:sz w:val="32"/>
          <w:szCs w:val="32"/>
          <w:highlight w:val="none"/>
          <w:lang w:val="en-US" w:eastAsia="zh-CN" w:bidi="ar-SA"/>
        </w:rPr>
        <w:t>。积极推动</w:t>
      </w:r>
      <w:r>
        <w:rPr>
          <w:rFonts w:hint="default" w:ascii="仿宋_GB2312" w:hAnsi="仿宋_GB2312" w:eastAsia="仿宋_GB2312" w:cs="仿宋_GB2312"/>
          <w:b w:val="0"/>
          <w:bCs w:val="0"/>
          <w:kern w:val="0"/>
          <w:sz w:val="32"/>
          <w:szCs w:val="32"/>
          <w:highlight w:val="none"/>
          <w:lang w:val="en-US" w:eastAsia="zh-CN" w:bidi="ar-SA"/>
        </w:rPr>
        <w:t>解决违法停车和交通拥堵现象，有效</w:t>
      </w:r>
      <w:r>
        <w:rPr>
          <w:rFonts w:hint="eastAsia" w:ascii="仿宋_GB2312" w:hAnsi="仿宋_GB2312" w:eastAsia="仿宋_GB2312" w:cs="仿宋_GB2312"/>
          <w:b w:val="0"/>
          <w:bCs w:val="0"/>
          <w:kern w:val="0"/>
          <w:sz w:val="32"/>
          <w:szCs w:val="32"/>
          <w:highlight w:val="none"/>
          <w:lang w:val="en-US" w:eastAsia="zh-CN" w:bidi="ar-SA"/>
        </w:rPr>
        <w:t>改善</w:t>
      </w:r>
      <w:r>
        <w:rPr>
          <w:rFonts w:hint="default" w:ascii="仿宋_GB2312" w:hAnsi="仿宋_GB2312" w:eastAsia="仿宋_GB2312" w:cs="仿宋_GB2312"/>
          <w:b w:val="0"/>
          <w:bCs w:val="0"/>
          <w:kern w:val="0"/>
          <w:sz w:val="32"/>
          <w:szCs w:val="32"/>
          <w:highlight w:val="none"/>
          <w:lang w:val="en-US" w:eastAsia="zh-CN" w:bidi="ar-SA"/>
        </w:rPr>
        <w:t>交通环境。保持良好街面秩序，</w:t>
      </w:r>
      <w:r>
        <w:rPr>
          <w:rFonts w:hint="eastAsia" w:ascii="仿宋_GB2312" w:hAnsi="仿宋_GB2312" w:eastAsia="仿宋_GB2312" w:cs="仿宋_GB2312"/>
          <w:b w:val="0"/>
          <w:bCs w:val="0"/>
          <w:kern w:val="0"/>
          <w:sz w:val="32"/>
          <w:szCs w:val="32"/>
          <w:highlight w:val="none"/>
          <w:lang w:val="en-US" w:eastAsia="zh-CN" w:bidi="ar-SA"/>
        </w:rPr>
        <w:t>城市空间品质不断提升</w:t>
      </w:r>
      <w:r>
        <w:rPr>
          <w:rFonts w:hint="default" w:ascii="仿宋_GB2312" w:hAnsi="仿宋_GB2312" w:eastAsia="仿宋_GB2312" w:cs="仿宋_GB2312"/>
          <w:b w:val="0"/>
          <w:bCs w:val="0"/>
          <w:kern w:val="0"/>
          <w:sz w:val="32"/>
          <w:szCs w:val="32"/>
          <w:highlight w:val="none"/>
          <w:lang w:val="en-US" w:eastAsia="zh-CN" w:bidi="ar-SA"/>
        </w:rPr>
        <w:t>。打造太阳宫公园、体育休闲公园</w:t>
      </w:r>
      <w:r>
        <w:rPr>
          <w:rFonts w:hint="eastAsia" w:ascii="仿宋_GB2312" w:hAnsi="仿宋_GB2312" w:eastAsia="仿宋_GB2312" w:cs="仿宋_GB2312"/>
          <w:b w:val="0"/>
          <w:bCs w:val="0"/>
          <w:kern w:val="0"/>
          <w:sz w:val="32"/>
          <w:szCs w:val="32"/>
          <w:highlight w:val="none"/>
          <w:lang w:val="en-US" w:eastAsia="zh-CN" w:bidi="ar-SA"/>
        </w:rPr>
        <w:t>2处</w:t>
      </w:r>
      <w:r>
        <w:rPr>
          <w:rFonts w:hint="default" w:ascii="仿宋_GB2312" w:hAnsi="仿宋_GB2312" w:eastAsia="仿宋_GB2312" w:cs="仿宋_GB2312"/>
          <w:b w:val="0"/>
          <w:bCs w:val="0"/>
          <w:kern w:val="0"/>
          <w:sz w:val="32"/>
          <w:szCs w:val="32"/>
          <w:highlight w:val="none"/>
          <w:lang w:val="en-US" w:eastAsia="zh-CN" w:bidi="ar-SA"/>
        </w:rPr>
        <w:t>无界公园，擦亮</w:t>
      </w:r>
      <w:r>
        <w:rPr>
          <w:rFonts w:hint="eastAsia" w:ascii="仿宋_GB2312" w:hAnsi="仿宋_GB2312" w:eastAsia="仿宋_GB2312" w:cs="仿宋_GB2312"/>
          <w:b w:val="0"/>
          <w:bCs w:val="0"/>
          <w:kern w:val="0"/>
          <w:sz w:val="32"/>
          <w:szCs w:val="32"/>
          <w:highlight w:val="none"/>
          <w:lang w:val="en-US" w:eastAsia="zh-CN" w:bidi="ar-SA"/>
        </w:rPr>
        <w:t>地区</w:t>
      </w:r>
      <w:r>
        <w:rPr>
          <w:rFonts w:hint="default" w:ascii="仿宋_GB2312" w:hAnsi="仿宋_GB2312" w:eastAsia="仿宋_GB2312" w:cs="仿宋_GB2312"/>
          <w:b w:val="0"/>
          <w:bCs w:val="0"/>
          <w:kern w:val="0"/>
          <w:sz w:val="32"/>
          <w:szCs w:val="32"/>
          <w:highlight w:val="none"/>
          <w:lang w:val="en-US" w:eastAsia="zh-CN" w:bidi="ar-SA"/>
        </w:rPr>
        <w:t>生态底色</w:t>
      </w:r>
      <w:r>
        <w:rPr>
          <w:rFonts w:hint="eastAsia" w:ascii="仿宋_GB2312" w:hAnsi="仿宋_GB2312" w:eastAsia="仿宋_GB2312" w:cs="仿宋_GB2312"/>
          <w:b w:val="0"/>
          <w:bCs w:val="0"/>
          <w:kern w:val="0"/>
          <w:sz w:val="32"/>
          <w:szCs w:val="32"/>
          <w:highlight w:val="none"/>
          <w:lang w:val="en-US" w:eastAsia="zh-CN" w:bidi="ar-SA"/>
        </w:rPr>
        <w:t>。</w:t>
      </w:r>
    </w:p>
    <w:p>
      <w:pPr>
        <w:pStyle w:val="2"/>
        <w:numPr>
          <w:numId w:val="0"/>
        </w:numPr>
        <w:ind w:firstLine="640" w:firstLineChars="200"/>
        <w:rPr>
          <w:rFonts w:ascii="仿宋_GB2312" w:hAnsi="宋体" w:eastAsia="仿宋_GB2312" w:cs="宋体"/>
          <w:b w:val="0"/>
          <w:bCs w:val="0"/>
          <w:color w:val="000000"/>
          <w:kern w:val="0"/>
          <w:sz w:val="32"/>
          <w:szCs w:val="32"/>
          <w:highlight w:val="none"/>
        </w:rPr>
      </w:pPr>
      <w:r>
        <w:rPr>
          <w:rFonts w:hint="eastAsia" w:ascii="仿宋_GB2312" w:hAnsi="仿宋_GB2312" w:eastAsia="仿宋_GB2312" w:cs="仿宋_GB2312"/>
          <w:b w:val="0"/>
          <w:bCs w:val="0"/>
          <w:kern w:val="0"/>
          <w:sz w:val="32"/>
          <w:szCs w:val="32"/>
          <w:highlight w:val="none"/>
          <w:lang w:val="en-US" w:eastAsia="zh-CN" w:bidi="ar-SA"/>
        </w:rPr>
        <w:t>4.</w:t>
      </w:r>
      <w:r>
        <w:rPr>
          <w:rFonts w:hint="eastAsia" w:ascii="仿宋_GB2312" w:hAnsi="宋体" w:eastAsia="仿宋_GB2312" w:cs="宋体"/>
          <w:b w:val="0"/>
          <w:bCs w:val="0"/>
          <w:color w:val="000000"/>
          <w:kern w:val="0"/>
          <w:sz w:val="32"/>
          <w:szCs w:val="32"/>
          <w:highlight w:val="none"/>
        </w:rPr>
        <w:t>可持续</w:t>
      </w:r>
      <w:r>
        <w:rPr>
          <w:rFonts w:ascii="仿宋_GB2312" w:hAnsi="宋体" w:eastAsia="仿宋_GB2312" w:cs="宋体"/>
          <w:b w:val="0"/>
          <w:bCs w:val="0"/>
          <w:color w:val="000000"/>
          <w:kern w:val="0"/>
          <w:sz w:val="32"/>
          <w:szCs w:val="32"/>
          <w:highlight w:val="none"/>
        </w:rPr>
        <w:t>性影响</w:t>
      </w:r>
    </w:p>
    <w:p>
      <w:pPr>
        <w:pStyle w:val="10"/>
        <w:keepNext w:val="0"/>
        <w:keepLines w:val="0"/>
        <w:pageBreakBefore w:val="0"/>
        <w:kinsoku/>
        <w:wordWrap/>
        <w:overflowPunct/>
        <w:topLinePunct w:val="0"/>
        <w:bidi w:val="0"/>
        <w:spacing w:line="560" w:lineRule="exact"/>
        <w:jc w:val="both"/>
        <w:textAlignment w:val="auto"/>
        <w:rPr>
          <w:b w:val="0"/>
          <w:bCs w:val="0"/>
          <w:sz w:val="32"/>
          <w:szCs w:val="32"/>
          <w:highlight w:val="none"/>
        </w:rPr>
      </w:pPr>
      <w:r>
        <w:rPr>
          <w:rFonts w:hint="eastAsia" w:ascii="仿宋_GB2312" w:hAnsi="仿宋_GB2312" w:eastAsia="仿宋_GB2312" w:cs="仿宋_GB2312"/>
          <w:b w:val="0"/>
          <w:bCs w:val="0"/>
          <w:kern w:val="0"/>
          <w:sz w:val="32"/>
          <w:szCs w:val="32"/>
          <w:highlight w:val="none"/>
          <w:lang w:val="en-US" w:eastAsia="zh-CN" w:bidi="ar-SA"/>
        </w:rPr>
        <w:t>坚持以安全发展为统领，狠抓安全责任落实，加大对重点行业和领域的检查力度，聚焦燃气安全、电动车充电等领域，加速推进</w:t>
      </w:r>
      <w:r>
        <w:rPr>
          <w:rFonts w:hint="default" w:ascii="仿宋_GB2312" w:hAnsi="仿宋_GB2312" w:eastAsia="仿宋_GB2312" w:cs="仿宋_GB2312"/>
          <w:b w:val="0"/>
          <w:bCs w:val="0"/>
          <w:kern w:val="0"/>
          <w:sz w:val="32"/>
          <w:szCs w:val="32"/>
          <w:highlight w:val="none"/>
          <w:lang w:val="en-US" w:eastAsia="zh-CN" w:bidi="ar-SA"/>
        </w:rPr>
        <w:t>违规电动三四轮车</w:t>
      </w:r>
      <w:r>
        <w:rPr>
          <w:rFonts w:hint="eastAsia" w:ascii="仿宋_GB2312" w:hAnsi="仿宋_GB2312" w:eastAsia="仿宋_GB2312" w:cs="仿宋_GB2312"/>
          <w:b w:val="0"/>
          <w:bCs w:val="0"/>
          <w:kern w:val="0"/>
          <w:sz w:val="32"/>
          <w:szCs w:val="32"/>
          <w:highlight w:val="none"/>
          <w:lang w:val="en-US" w:eastAsia="zh-CN" w:bidi="ar-SA"/>
        </w:rPr>
        <w:t>有序退出</w:t>
      </w:r>
      <w:r>
        <w:rPr>
          <w:rFonts w:hint="default" w:ascii="仿宋_GB2312" w:hAnsi="仿宋_GB2312" w:eastAsia="仿宋_GB2312" w:cs="仿宋_GB2312"/>
          <w:b w:val="0"/>
          <w:bCs w:val="0"/>
          <w:kern w:val="0"/>
          <w:sz w:val="32"/>
          <w:szCs w:val="32"/>
          <w:highlight w:val="none"/>
          <w:lang w:val="en-US" w:eastAsia="zh-CN" w:bidi="ar-SA"/>
        </w:rPr>
        <w:t>。压实食品药品安全属地管理责任，高标准创建国家食品安全示范城市</w:t>
      </w:r>
      <w:r>
        <w:rPr>
          <w:rFonts w:hint="eastAsia" w:ascii="仿宋_GB2312" w:hAnsi="仿宋_GB2312" w:eastAsia="仿宋_GB2312" w:cs="仿宋_GB2312"/>
          <w:b w:val="0"/>
          <w:bCs w:val="0"/>
          <w:kern w:val="0"/>
          <w:sz w:val="32"/>
          <w:szCs w:val="32"/>
          <w:highlight w:val="none"/>
          <w:lang w:val="en-US" w:eastAsia="zh-CN" w:bidi="ar-SA"/>
        </w:rPr>
        <w:t>，进一步筑牢食品药品安全防线</w:t>
      </w:r>
      <w:r>
        <w:rPr>
          <w:rFonts w:hint="default" w:ascii="仿宋_GB2312" w:hAnsi="仿宋_GB2312" w:eastAsia="仿宋_GB2312" w:cs="仿宋_GB2312"/>
          <w:b w:val="0"/>
          <w:bCs w:val="0"/>
          <w:kern w:val="0"/>
          <w:sz w:val="32"/>
          <w:szCs w:val="32"/>
          <w:highlight w:val="none"/>
          <w:lang w:val="en-US" w:eastAsia="zh-CN" w:bidi="ar-SA"/>
        </w:rPr>
        <w:t>。</w:t>
      </w:r>
      <w:r>
        <w:rPr>
          <w:rFonts w:hint="eastAsia" w:ascii="仿宋_GB2312" w:hAnsi="仿宋_GB2312" w:eastAsia="仿宋_GB2312" w:cs="仿宋_GB2312"/>
          <w:b w:val="0"/>
          <w:bCs w:val="0"/>
          <w:kern w:val="0"/>
          <w:sz w:val="32"/>
          <w:szCs w:val="32"/>
          <w:highlight w:val="none"/>
          <w:lang w:val="en-US" w:eastAsia="zh-CN" w:bidi="ar-SA"/>
        </w:rPr>
        <w:t>守护好群众安全感</w:t>
      </w:r>
      <w:r>
        <w:rPr>
          <w:rFonts w:hint="default" w:ascii="仿宋_GB2312" w:hAnsi="仿宋_GB2312" w:eastAsia="仿宋_GB2312" w:cs="仿宋_GB2312"/>
          <w:b w:val="0"/>
          <w:bCs w:val="0"/>
          <w:kern w:val="0"/>
          <w:sz w:val="32"/>
          <w:szCs w:val="32"/>
          <w:highlight w:val="none"/>
          <w:lang w:val="en-US" w:eastAsia="zh-CN" w:bidi="ar-SA"/>
        </w:rPr>
        <w:t>，依法精准打击养老诈骗等违法犯罪行为</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加大群租房治理力度</w:t>
      </w:r>
      <w:r>
        <w:rPr>
          <w:rFonts w:hint="eastAsia" w:ascii="仿宋_GB2312" w:hAnsi="仿宋_GB2312" w:eastAsia="仿宋_GB2312" w:cs="仿宋_GB2312"/>
          <w:b w:val="0"/>
          <w:bCs w:val="0"/>
          <w:kern w:val="0"/>
          <w:sz w:val="32"/>
          <w:szCs w:val="32"/>
          <w:highlight w:val="none"/>
          <w:lang w:val="en-US" w:eastAsia="zh-CN" w:bidi="ar-SA"/>
        </w:rPr>
        <w:t>。筑牢社会稳定“防火墙”</w:t>
      </w:r>
      <w:r>
        <w:rPr>
          <w:rFonts w:hint="default" w:ascii="仿宋_GB2312" w:hAnsi="仿宋_GB2312" w:eastAsia="仿宋_GB2312" w:cs="仿宋_GB2312"/>
          <w:b w:val="0"/>
          <w:bCs w:val="0"/>
          <w:kern w:val="0"/>
          <w:sz w:val="32"/>
          <w:szCs w:val="32"/>
          <w:highlight w:val="none"/>
          <w:lang w:val="en-US" w:eastAsia="zh-CN" w:bidi="ar-SA"/>
        </w:rPr>
        <w:t>。</w:t>
      </w:r>
      <w:r>
        <w:rPr>
          <w:rFonts w:hint="eastAsia" w:ascii="仿宋_GB2312" w:hAnsi="仿宋_GB2312" w:eastAsia="仿宋_GB2312" w:cs="仿宋_GB2312"/>
          <w:b w:val="0"/>
          <w:bCs w:val="0"/>
          <w:kern w:val="0"/>
          <w:sz w:val="32"/>
          <w:szCs w:val="32"/>
          <w:highlight w:val="none"/>
          <w:lang w:val="en-US" w:eastAsia="zh-CN" w:bidi="ar-SA"/>
        </w:rPr>
        <w:t>守牢意识形态领域阵地，有效</w:t>
      </w:r>
      <w:r>
        <w:rPr>
          <w:rFonts w:hint="default" w:ascii="仿宋_GB2312" w:hAnsi="仿宋_GB2312" w:eastAsia="仿宋_GB2312" w:cs="仿宋_GB2312"/>
          <w:b w:val="0"/>
          <w:bCs w:val="0"/>
          <w:kern w:val="0"/>
          <w:sz w:val="32"/>
          <w:szCs w:val="32"/>
          <w:highlight w:val="none"/>
          <w:lang w:val="en-US" w:eastAsia="zh-CN" w:bidi="ar-SA"/>
        </w:rPr>
        <w:t>处理舆情，营造良好社会氛围。</w:t>
      </w:r>
    </w:p>
    <w:p>
      <w:pPr>
        <w:spacing w:line="600" w:lineRule="exact"/>
        <w:ind w:left="105" w:leftChars="50" w:firstLine="480" w:firstLineChars="150"/>
        <w:rPr>
          <w:rFonts w:ascii="仿宋_GB2312" w:hAnsi="宋体" w:eastAsia="仿宋_GB2312" w:cs="宋体"/>
          <w:b w:val="0"/>
          <w:bCs w:val="0"/>
          <w:color w:val="000000"/>
          <w:kern w:val="0"/>
          <w:sz w:val="32"/>
          <w:szCs w:val="32"/>
          <w:highlight w:val="none"/>
        </w:rPr>
      </w:pPr>
      <w:r>
        <w:rPr>
          <w:rFonts w:hint="eastAsia" w:ascii="仿宋_GB2312" w:hAnsi="宋体" w:eastAsia="仿宋_GB2312" w:cs="宋体"/>
          <w:b w:val="0"/>
          <w:bCs w:val="0"/>
          <w:color w:val="000000"/>
          <w:kern w:val="0"/>
          <w:sz w:val="32"/>
          <w:szCs w:val="32"/>
          <w:highlight w:val="none"/>
        </w:rPr>
        <w:t>5.服务对象</w:t>
      </w:r>
      <w:r>
        <w:rPr>
          <w:rFonts w:ascii="仿宋_GB2312" w:hAnsi="宋体" w:eastAsia="仿宋_GB2312" w:cs="宋体"/>
          <w:b w:val="0"/>
          <w:bCs w:val="0"/>
          <w:color w:val="000000"/>
          <w:kern w:val="0"/>
          <w:sz w:val="32"/>
          <w:szCs w:val="32"/>
          <w:highlight w:val="none"/>
        </w:rPr>
        <w:t>满意度</w:t>
      </w:r>
    </w:p>
    <w:p>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rightChars="0" w:firstLine="640" w:firstLineChars="200"/>
        <w:jc w:val="both"/>
        <w:textAlignment w:val="auto"/>
        <w:outlineLvl w:val="9"/>
        <w:rPr>
          <w:b w:val="0"/>
          <w:bCs w:val="0"/>
          <w:sz w:val="32"/>
          <w:szCs w:val="32"/>
          <w:highlight w:val="none"/>
        </w:rPr>
      </w:pPr>
      <w:r>
        <w:rPr>
          <w:rFonts w:hint="eastAsia" w:ascii="仿宋_GB2312" w:hAnsi="仿宋_GB2312" w:eastAsia="仿宋_GB2312" w:cs="仿宋_GB2312"/>
          <w:b w:val="0"/>
          <w:bCs w:val="0"/>
          <w:kern w:val="0"/>
          <w:sz w:val="32"/>
          <w:szCs w:val="32"/>
          <w:highlight w:val="none"/>
          <w:lang w:val="en-US" w:eastAsia="zh-CN" w:bidi="ar-SA"/>
        </w:rPr>
        <w:t>坚持</w:t>
      </w:r>
      <w:r>
        <w:rPr>
          <w:rFonts w:hint="default" w:ascii="仿宋_GB2312" w:hAnsi="仿宋_GB2312" w:eastAsia="仿宋_GB2312" w:cs="仿宋_GB2312"/>
          <w:b w:val="0"/>
          <w:bCs w:val="0"/>
          <w:kern w:val="0"/>
          <w:sz w:val="32"/>
          <w:szCs w:val="32"/>
          <w:highlight w:val="none"/>
          <w:lang w:val="en-US" w:eastAsia="zh-CN" w:bidi="ar-SA"/>
        </w:rPr>
        <w:t>把惠民生的事办实、暖民心的事办细、顺民意的事办好，推动城市发展更有温度、群众生活更有质感</w:t>
      </w:r>
      <w:r>
        <w:rPr>
          <w:rFonts w:hint="eastAsia" w:ascii="仿宋_GB2312" w:hAnsi="仿宋_GB2312" w:eastAsia="仿宋_GB2312" w:cs="仿宋_GB2312"/>
          <w:b w:val="0"/>
          <w:bCs w:val="0"/>
          <w:kern w:val="0"/>
          <w:sz w:val="32"/>
          <w:szCs w:val="32"/>
          <w:highlight w:val="none"/>
          <w:lang w:val="en-US" w:eastAsia="zh-CN" w:bidi="ar-SA"/>
        </w:rPr>
        <w:t>。公共服务水平不断提升。全力改善居住条件，保障群众住的顺心、住的安心。</w:t>
      </w:r>
      <w:r>
        <w:rPr>
          <w:rFonts w:hint="default" w:ascii="仿宋_GB2312" w:hAnsi="仿宋_GB2312" w:eastAsia="仿宋_GB2312" w:cs="仿宋_GB2312"/>
          <w:b w:val="0"/>
          <w:bCs w:val="0"/>
          <w:kern w:val="0"/>
          <w:sz w:val="32"/>
          <w:szCs w:val="32"/>
          <w:highlight w:val="none"/>
          <w:lang w:val="en-US" w:eastAsia="zh-CN" w:bidi="ar-SA"/>
        </w:rPr>
        <w:t>强化文化阵地建设，打造全市首个</w:t>
      </w:r>
      <w:r>
        <w:rPr>
          <w:rFonts w:hint="eastAsia" w:ascii="仿宋_GB2312" w:hAnsi="仿宋_GB2312" w:eastAsia="仿宋_GB2312" w:cs="仿宋_GB2312"/>
          <w:b w:val="0"/>
          <w:bCs w:val="0"/>
          <w:kern w:val="0"/>
          <w:sz w:val="32"/>
          <w:szCs w:val="32"/>
          <w:highlight w:val="none"/>
          <w:lang w:val="en-US" w:eastAsia="zh-CN" w:bidi="ar-SA"/>
        </w:rPr>
        <w:t>以</w:t>
      </w:r>
      <w:r>
        <w:rPr>
          <w:rFonts w:hint="default" w:ascii="仿宋_GB2312" w:hAnsi="仿宋_GB2312" w:eastAsia="仿宋_GB2312" w:cs="仿宋_GB2312"/>
          <w:b w:val="0"/>
          <w:bCs w:val="0"/>
          <w:kern w:val="0"/>
          <w:sz w:val="32"/>
          <w:szCs w:val="32"/>
          <w:highlight w:val="none"/>
          <w:lang w:val="en-US" w:eastAsia="zh-CN" w:bidi="ar-SA"/>
        </w:rPr>
        <w:t>家风为主题的</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太阳宫好家风美育宣传园</w:t>
      </w:r>
      <w:r>
        <w:rPr>
          <w:rFonts w:hint="eastAsia" w:ascii="仿宋_GB2312" w:hAnsi="仿宋_GB2312" w:eastAsia="仿宋_GB2312" w:cs="仿宋_GB2312"/>
          <w:b w:val="0"/>
          <w:bCs w:val="0"/>
          <w:kern w:val="0"/>
          <w:sz w:val="32"/>
          <w:szCs w:val="32"/>
          <w:highlight w:val="none"/>
          <w:lang w:val="en-US" w:eastAsia="zh-CN" w:bidi="ar-SA"/>
        </w:rPr>
        <w:t>”。</w:t>
      </w:r>
      <w:r>
        <w:rPr>
          <w:rFonts w:hint="default" w:ascii="仿宋_GB2312" w:hAnsi="仿宋_GB2312" w:eastAsia="仿宋_GB2312" w:cs="仿宋_GB2312"/>
          <w:b w:val="0"/>
          <w:bCs w:val="0"/>
          <w:kern w:val="0"/>
          <w:sz w:val="32"/>
          <w:szCs w:val="32"/>
          <w:highlight w:val="none"/>
          <w:lang w:val="en-US" w:eastAsia="zh-CN" w:bidi="ar-SA"/>
        </w:rPr>
        <w:t>成功创建体育特色乡</w:t>
      </w:r>
      <w:r>
        <w:rPr>
          <w:rFonts w:hint="eastAsia" w:ascii="仿宋_GB2312" w:hAnsi="仿宋_GB2312" w:eastAsia="仿宋_GB2312" w:cs="仿宋_GB2312"/>
          <w:b w:val="0"/>
          <w:bCs w:val="0"/>
          <w:kern w:val="0"/>
          <w:sz w:val="32"/>
          <w:szCs w:val="32"/>
          <w:highlight w:val="none"/>
          <w:lang w:val="en-US" w:eastAsia="zh-CN" w:bidi="ar-SA"/>
        </w:rPr>
        <w:t>，文体事业繁荣发展。</w:t>
      </w:r>
    </w:p>
    <w:p>
      <w:pPr>
        <w:spacing w:line="600" w:lineRule="exact"/>
        <w:ind w:left="105" w:leftChars="50" w:firstLine="480" w:firstLineChars="150"/>
        <w:rPr>
          <w:rFonts w:ascii="黑体" w:hAnsi="黑体" w:eastAsia="黑体" w:cs="宋体"/>
          <w:color w:val="000000"/>
          <w:kern w:val="0"/>
          <w:sz w:val="32"/>
          <w:szCs w:val="32"/>
        </w:rPr>
      </w:pPr>
      <w:r>
        <w:rPr>
          <w:rFonts w:hint="eastAsia" w:ascii="黑体" w:hAnsi="黑体" w:eastAsia="黑体" w:cs="宋体"/>
          <w:color w:val="000000"/>
          <w:kern w:val="0"/>
          <w:sz w:val="32"/>
          <w:szCs w:val="32"/>
        </w:rPr>
        <w:t>四</w:t>
      </w:r>
      <w:r>
        <w:rPr>
          <w:rFonts w:ascii="黑体" w:hAnsi="黑体" w:eastAsia="黑体" w:cs="宋体"/>
          <w:color w:val="000000"/>
          <w:kern w:val="0"/>
          <w:sz w:val="32"/>
          <w:szCs w:val="32"/>
        </w:rPr>
        <w:t>、预算管理</w:t>
      </w:r>
      <w:r>
        <w:rPr>
          <w:rFonts w:hint="eastAsia" w:ascii="黑体" w:hAnsi="黑体" w:eastAsia="黑体" w:cs="宋体"/>
          <w:color w:val="000000"/>
          <w:kern w:val="0"/>
          <w:sz w:val="32"/>
          <w:szCs w:val="32"/>
        </w:rPr>
        <w:t>情况分</w:t>
      </w:r>
      <w:r>
        <w:rPr>
          <w:rFonts w:ascii="黑体" w:hAnsi="黑体" w:eastAsia="黑体" w:cs="宋体"/>
          <w:color w:val="000000"/>
          <w:kern w:val="0"/>
          <w:sz w:val="32"/>
          <w:szCs w:val="32"/>
        </w:rPr>
        <w:t>析</w:t>
      </w:r>
    </w:p>
    <w:p>
      <w:pPr>
        <w:spacing w:line="600" w:lineRule="exact"/>
        <w:ind w:left="105" w:leftChars="50" w:firstLine="480" w:firstLineChars="150"/>
        <w:rPr>
          <w:rFonts w:ascii="楷体_GB2312" w:eastAsia="楷体_GB2312"/>
          <w:sz w:val="32"/>
          <w:szCs w:val="32"/>
        </w:rPr>
      </w:pPr>
      <w:r>
        <w:rPr>
          <w:rFonts w:hint="eastAsia" w:ascii="楷体_GB2312" w:eastAsia="楷体_GB2312"/>
          <w:sz w:val="32"/>
          <w:szCs w:val="32"/>
        </w:rPr>
        <w:t>（一）财务管理</w:t>
      </w:r>
    </w:p>
    <w:p>
      <w:pPr>
        <w:spacing w:line="600" w:lineRule="exact"/>
        <w:ind w:left="105" w:leftChars="50" w:firstLine="480" w:firstLineChars="150"/>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1.财务</w:t>
      </w:r>
      <w:r>
        <w:rPr>
          <w:rFonts w:ascii="仿宋_GB2312" w:hAnsi="宋体" w:eastAsia="仿宋_GB2312" w:cs="宋体"/>
          <w:color w:val="000000"/>
          <w:kern w:val="0"/>
          <w:sz w:val="32"/>
          <w:szCs w:val="32"/>
        </w:rPr>
        <w:t>管理制度健全性</w:t>
      </w:r>
    </w:p>
    <w:p>
      <w:pPr>
        <w:pStyle w:val="10"/>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太阳宫乡为</w:t>
      </w:r>
      <w:r>
        <w:rPr>
          <w:rFonts w:hint="eastAsia" w:ascii="Times New Roman" w:hAnsi="Times New Roman" w:eastAsia="仿宋_GB2312" w:cs="Times New Roman"/>
          <w:sz w:val="32"/>
          <w:szCs w:val="32"/>
        </w:rPr>
        <w:t>加强内部控制中的财务管理，彻底贯彻财政部提出的“以预算管理为主线、以资金管控为核心、以信息技术为手段”的内部控制建设要求，结合部门工作实际需求，建设</w:t>
      </w:r>
      <w:r>
        <w:rPr>
          <w:rFonts w:hint="eastAsia" w:ascii="Times New Roman" w:hAnsi="Times New Roman" w:eastAsia="仿宋_GB2312" w:cs="Times New Roman"/>
          <w:sz w:val="32"/>
          <w:szCs w:val="32"/>
          <w:lang w:eastAsia="zh-CN"/>
        </w:rPr>
        <w:t>本单位</w:t>
      </w:r>
      <w:r>
        <w:rPr>
          <w:rFonts w:hint="eastAsia" w:ascii="Times New Roman" w:hAnsi="Times New Roman" w:eastAsia="仿宋_GB2312" w:cs="Times New Roman"/>
          <w:sz w:val="32"/>
          <w:szCs w:val="32"/>
        </w:rPr>
        <w:t>内部控制体系</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实现内部财务管理控制体系的系统化与常态化。对预算管理、资金支出等领域业务流程的控制节点、提出了重要风险点的控制措施，进一步规范了单位财务管理的流程与监管。</w:t>
      </w:r>
    </w:p>
    <w:p>
      <w:pPr>
        <w:spacing w:line="600" w:lineRule="exact"/>
        <w:ind w:left="105" w:leftChars="50" w:firstLine="480" w:firstLineChars="150"/>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2.资金使用合规性</w:t>
      </w:r>
      <w:r>
        <w:rPr>
          <w:rFonts w:ascii="仿宋_GB2312" w:hAnsi="宋体" w:eastAsia="仿宋_GB2312" w:cs="宋体"/>
          <w:color w:val="000000"/>
          <w:kern w:val="0"/>
          <w:sz w:val="32"/>
          <w:szCs w:val="32"/>
        </w:rPr>
        <w:t>和安全性</w:t>
      </w:r>
    </w:p>
    <w:p>
      <w:pPr>
        <w:pStyle w:val="10"/>
        <w:ind w:left="0" w:leftChars="0" w:firstLine="648" w:firstLineChars="200"/>
        <w:rPr>
          <w:rFonts w:hint="eastAsia" w:ascii="Times New Roman" w:hAnsi="Times New Roman" w:eastAsia="仿宋_GB2312" w:cs="Times New Roman"/>
          <w:sz w:val="32"/>
          <w:szCs w:val="32"/>
        </w:rPr>
      </w:pPr>
      <w:r>
        <w:rPr>
          <w:rFonts w:hint="eastAsia" w:ascii="Times New Roman" w:hAnsi="Times New Roman" w:cs="Times New Roman"/>
          <w:sz w:val="32"/>
          <w:szCs w:val="32"/>
          <w:lang w:eastAsia="zh-CN"/>
        </w:rPr>
        <w:t>本年度</w:t>
      </w:r>
      <w:r>
        <w:rPr>
          <w:rFonts w:hint="eastAsia" w:ascii="Times New Roman" w:hAnsi="Times New Roman" w:eastAsia="仿宋_GB2312" w:cs="Times New Roman"/>
          <w:sz w:val="32"/>
          <w:szCs w:val="32"/>
        </w:rPr>
        <w:t>部门预算执行过程中，年度资金决策过程依据充分，资金执行流程规范、资金管理过程留痕清晰，资金的整体使用按照内控管理制度的相关要求落实到位。确保了全年各预算项目在决策、管理、执行过程中的资金安全性与使用严谨性，进一步科学合理地规避了财政资金使用的风险。</w:t>
      </w:r>
    </w:p>
    <w:p>
      <w:pPr>
        <w:numPr>
          <w:ilvl w:val="0"/>
          <w:numId w:val="0"/>
        </w:numPr>
        <w:spacing w:line="600" w:lineRule="exact"/>
        <w:ind w:firstLine="640" w:firstLineChars="200"/>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lang w:val="en-US" w:eastAsia="zh-CN"/>
        </w:rPr>
        <w:t>3.</w:t>
      </w:r>
      <w:r>
        <w:rPr>
          <w:rFonts w:hint="eastAsia" w:ascii="仿宋_GB2312" w:hAnsi="宋体" w:eastAsia="仿宋_GB2312" w:cs="宋体"/>
          <w:color w:val="000000"/>
          <w:kern w:val="0"/>
          <w:sz w:val="32"/>
          <w:szCs w:val="32"/>
        </w:rPr>
        <w:t>会计</w:t>
      </w:r>
      <w:r>
        <w:rPr>
          <w:rFonts w:ascii="仿宋_GB2312" w:hAnsi="宋体" w:eastAsia="仿宋_GB2312" w:cs="宋体"/>
          <w:color w:val="000000"/>
          <w:kern w:val="0"/>
          <w:sz w:val="32"/>
          <w:szCs w:val="32"/>
        </w:rPr>
        <w:t>基础信息完善性</w:t>
      </w:r>
    </w:p>
    <w:p>
      <w:pPr>
        <w:pStyle w:val="10"/>
        <w:ind w:left="0" w:leftChars="0" w:firstLine="648" w:firstLineChars="200"/>
        <w:rPr>
          <w:rFonts w:hint="eastAsia" w:ascii="Times New Roman" w:hAnsi="Times New Roman" w:cs="Times New Roman"/>
          <w:sz w:val="32"/>
          <w:szCs w:val="32"/>
          <w:lang w:eastAsia="zh-CN"/>
        </w:rPr>
      </w:pPr>
      <w:r>
        <w:rPr>
          <w:rFonts w:hint="eastAsia" w:ascii="Times New Roman" w:hAnsi="Times New Roman" w:cs="Times New Roman"/>
          <w:sz w:val="32"/>
          <w:szCs w:val="32"/>
          <w:lang w:eastAsia="zh-CN"/>
        </w:rPr>
        <w:t>太阳宫乡内部控制机制健全，形成了较为明确的工作管理目标及管理模式。在实际管理过程中能够做到严格执行，保证了财政资金的高效、规范管理和使用。项目经费支出按照制度进行严格的审核与审批，做到了专户管理、专款专用、独立核算。全年会计资料的保管与会计账簿记录完整，财务基础工作的规范性与会计信息的准确性执行情况良好。</w:t>
      </w:r>
    </w:p>
    <w:p>
      <w:pPr>
        <w:numPr>
          <w:ilvl w:val="0"/>
          <w:numId w:val="2"/>
        </w:numPr>
        <w:spacing w:line="600" w:lineRule="exact"/>
        <w:ind w:left="105" w:leftChars="50" w:firstLine="480" w:firstLineChars="150"/>
        <w:rPr>
          <w:rFonts w:hint="eastAsia" w:ascii="楷体_GB2312" w:eastAsia="楷体_GB2312"/>
          <w:sz w:val="32"/>
          <w:szCs w:val="32"/>
        </w:rPr>
      </w:pPr>
      <w:r>
        <w:rPr>
          <w:rFonts w:hint="eastAsia" w:ascii="楷体_GB2312" w:eastAsia="楷体_GB2312"/>
          <w:sz w:val="32"/>
          <w:szCs w:val="32"/>
        </w:rPr>
        <w:t>资产管理</w:t>
      </w:r>
    </w:p>
    <w:p>
      <w:pPr>
        <w:pStyle w:val="6"/>
        <w:topLinePunct/>
        <w:adjustRightInd w:val="0"/>
        <w:snapToGrid w:val="0"/>
        <w:spacing w:line="640" w:lineRule="exact"/>
        <w:rPr>
          <w:rFonts w:hint="eastAsia" w:ascii="Times New Roman" w:hAnsi="Times New Roman" w:cs="Times New Roman"/>
          <w:sz w:val="32"/>
          <w:szCs w:val="32"/>
          <w:lang w:eastAsia="zh-CN"/>
        </w:rPr>
      </w:pPr>
      <w:r>
        <w:rPr>
          <w:rFonts w:hint="eastAsia" w:ascii="仿宋_GB2312" w:hAnsi="宋体"/>
          <w:sz w:val="32"/>
          <w:szCs w:val="32"/>
          <w:lang w:eastAsia="zh-CN"/>
        </w:rPr>
        <w:t>太阳宫乡</w:t>
      </w:r>
      <w:r>
        <w:rPr>
          <w:rFonts w:hint="eastAsia" w:ascii="仿宋_GB2312" w:hAnsi="宋体" w:eastAsia="仿宋_GB2312"/>
          <w:sz w:val="32"/>
          <w:szCs w:val="32"/>
        </w:rPr>
        <w:t>实行固定资产“统一领导、归口管理、分级负责、责任到人、物尽其用”的原则</w:t>
      </w:r>
      <w:r>
        <w:rPr>
          <w:rFonts w:hint="eastAsia" w:ascii="仿宋_GB2312" w:hAnsi="宋体"/>
          <w:sz w:val="32"/>
          <w:szCs w:val="32"/>
          <w:lang w:eastAsia="zh-CN"/>
        </w:rPr>
        <w:t>，</w:t>
      </w:r>
      <w:r>
        <w:rPr>
          <w:rFonts w:hint="eastAsia" w:ascii="仿宋_GB2312" w:hAnsi="宋体" w:eastAsia="仿宋_GB2312"/>
          <w:szCs w:val="32"/>
        </w:rPr>
        <w:t>建立本单位的实物账和固定资产分类电子卡片</w:t>
      </w:r>
      <w:r>
        <w:rPr>
          <w:rFonts w:hint="eastAsia" w:ascii="仿宋_GB2312" w:hAnsi="宋体"/>
          <w:szCs w:val="32"/>
          <w:lang w:eastAsia="zh-CN"/>
        </w:rPr>
        <w:t>及财务账，</w:t>
      </w:r>
      <w:r>
        <w:rPr>
          <w:rFonts w:hint="eastAsia" w:ascii="Times New Roman" w:hAnsi="Times New Roman" w:cs="Times New Roman"/>
          <w:sz w:val="32"/>
          <w:szCs w:val="32"/>
          <w:lang w:eastAsia="zh-CN"/>
        </w:rPr>
        <w:t>并设专人</w:t>
      </w:r>
      <w:r>
        <w:rPr>
          <w:rFonts w:hint="eastAsia" w:ascii="仿宋_GB2312" w:hAnsi="宋体" w:eastAsia="仿宋_GB2312"/>
          <w:szCs w:val="32"/>
        </w:rPr>
        <w:t>负责固定资产的日常管理工作</w:t>
      </w:r>
      <w:r>
        <w:rPr>
          <w:rFonts w:hint="eastAsia" w:ascii="Times New Roman" w:hAnsi="Times New Roman" w:cs="Times New Roman"/>
          <w:sz w:val="32"/>
          <w:szCs w:val="32"/>
          <w:lang w:eastAsia="zh-CN"/>
        </w:rPr>
        <w:t>。资产信息化动态管理过程中，进一步规范了固定资产增加、减少、使用和处置工作流程；进一步加强了资产动态与预算管理相结合，为预算编制提供了真实、完整、准确的基础数据；进一步加强了日常资产管理和资产清查工作相结合，确保资产管理做到“账证、账实、账账”相符的要求。</w:t>
      </w:r>
      <w:bookmarkStart w:id="1" w:name="_GoBack"/>
      <w:bookmarkEnd w:id="1"/>
    </w:p>
    <w:p>
      <w:pPr>
        <w:numPr>
          <w:ilvl w:val="0"/>
          <w:numId w:val="2"/>
        </w:numPr>
        <w:spacing w:line="600" w:lineRule="exact"/>
        <w:ind w:left="105" w:leftChars="50" w:firstLine="480" w:firstLineChars="150"/>
        <w:rPr>
          <w:rFonts w:ascii="楷体_GB2312" w:eastAsia="楷体_GB2312"/>
          <w:sz w:val="32"/>
          <w:szCs w:val="32"/>
        </w:rPr>
      </w:pPr>
      <w:r>
        <w:rPr>
          <w:rFonts w:hint="eastAsia" w:ascii="楷体_GB2312" w:eastAsia="楷体_GB2312"/>
          <w:sz w:val="32"/>
          <w:szCs w:val="32"/>
        </w:rPr>
        <w:t>绩效</w:t>
      </w:r>
      <w:r>
        <w:rPr>
          <w:rFonts w:ascii="楷体_GB2312" w:eastAsia="楷体_GB2312"/>
          <w:sz w:val="32"/>
          <w:szCs w:val="32"/>
        </w:rPr>
        <w:t>管理</w:t>
      </w:r>
    </w:p>
    <w:p>
      <w:pPr>
        <w:pStyle w:val="10"/>
      </w:pPr>
      <w:r>
        <w:rPr>
          <w:rFonts w:hint="eastAsia" w:ascii="Times New Roman" w:hAnsi="Times New Roman" w:cs="Times New Roman"/>
          <w:sz w:val="32"/>
          <w:szCs w:val="32"/>
          <w:lang w:eastAsia="zh-CN"/>
        </w:rPr>
        <w:t>太阳宫乡全年严格</w:t>
      </w:r>
      <w:r>
        <w:rPr>
          <w:rFonts w:hint="eastAsia" w:ascii="Times New Roman" w:hAnsi="Times New Roman" w:eastAsia="仿宋_GB2312" w:cs="Times New Roman"/>
          <w:sz w:val="32"/>
          <w:szCs w:val="32"/>
        </w:rPr>
        <w:t>落实财政预算绩效管理要求，认真完成</w:t>
      </w:r>
      <w:r>
        <w:rPr>
          <w:rFonts w:hint="eastAsia" w:ascii="Times New Roman" w:hAnsi="Times New Roman" w:cs="Times New Roman"/>
          <w:sz w:val="32"/>
          <w:szCs w:val="32"/>
          <w:lang w:eastAsia="zh-CN"/>
        </w:rPr>
        <w:t>财政资金</w:t>
      </w:r>
      <w:r>
        <w:rPr>
          <w:rFonts w:hint="eastAsia" w:ascii="Times New Roman" w:hAnsi="Times New Roman" w:eastAsia="仿宋_GB2312" w:cs="Times New Roman"/>
          <w:sz w:val="32"/>
          <w:szCs w:val="32"/>
        </w:rPr>
        <w:t>绩效自评，开展202</w:t>
      </w:r>
      <w:r>
        <w:rPr>
          <w:rFonts w:hint="eastAsia" w:ascii="Times New Roman" w:hAnsi="Times New Roman" w:cs="Times New Roman"/>
          <w:sz w:val="32"/>
          <w:szCs w:val="32"/>
          <w:lang w:val="en-US" w:eastAsia="zh-CN"/>
        </w:rPr>
        <w:t>1</w:t>
      </w:r>
      <w:r>
        <w:rPr>
          <w:rFonts w:hint="eastAsia" w:ascii="Times New Roman" w:hAnsi="Times New Roman" w:eastAsia="仿宋_GB2312" w:cs="Times New Roman"/>
          <w:sz w:val="32"/>
          <w:szCs w:val="32"/>
        </w:rPr>
        <w:t>年部门项目绩效自评及202</w:t>
      </w:r>
      <w:r>
        <w:rPr>
          <w:rFonts w:hint="eastAsia" w:ascii="Times New Roman" w:hAnsi="Times New Roman" w:cs="Times New Roman"/>
          <w:sz w:val="32"/>
          <w:szCs w:val="32"/>
          <w:lang w:val="en-US" w:eastAsia="zh-CN"/>
        </w:rPr>
        <w:t>2</w:t>
      </w:r>
      <w:r>
        <w:rPr>
          <w:rFonts w:hint="eastAsia" w:ascii="Times New Roman" w:hAnsi="Times New Roman" w:eastAsia="仿宋_GB2312" w:cs="Times New Roman"/>
          <w:sz w:val="32"/>
          <w:szCs w:val="32"/>
        </w:rPr>
        <w:t>年部门预算绩效运行监控管理工作。</w:t>
      </w:r>
    </w:p>
    <w:p>
      <w:pPr>
        <w:numPr>
          <w:ilvl w:val="0"/>
          <w:numId w:val="2"/>
        </w:numPr>
        <w:spacing w:line="600" w:lineRule="exact"/>
        <w:ind w:left="105" w:leftChars="50" w:firstLine="480" w:firstLineChars="150"/>
        <w:rPr>
          <w:rFonts w:hint="eastAsia" w:ascii="楷体_GB2312" w:hAnsi="Times New Roman" w:eastAsia="楷体_GB2312" w:cs="Times New Roman"/>
          <w:sz w:val="32"/>
          <w:szCs w:val="32"/>
          <w:highlight w:val="none"/>
        </w:rPr>
      </w:pPr>
      <w:r>
        <w:rPr>
          <w:rFonts w:hint="eastAsia" w:ascii="楷体_GB2312" w:hAnsi="Times New Roman" w:eastAsia="楷体_GB2312" w:cs="Times New Roman"/>
          <w:sz w:val="32"/>
          <w:szCs w:val="32"/>
          <w:highlight w:val="none"/>
        </w:rPr>
        <w:t>结转结余率</w:t>
      </w:r>
    </w:p>
    <w:p>
      <w:pPr>
        <w:numPr>
          <w:ilvl w:val="0"/>
          <w:numId w:val="0"/>
        </w:numPr>
        <w:spacing w:line="600" w:lineRule="exact"/>
        <w:ind w:leftChars="200"/>
        <w:rPr>
          <w:rFonts w:hint="default" w:ascii="Times New Roman" w:hAnsi="Times New Roman" w:eastAsia="仿宋_GB2312" w:cs="Times New Roman"/>
          <w:bCs/>
          <w:spacing w:val="2"/>
          <w:kern w:val="2"/>
          <w:sz w:val="32"/>
          <w:szCs w:val="32"/>
          <w:highlight w:val="none"/>
          <w:lang w:val="en-US" w:eastAsia="zh-CN" w:bidi="ar-SA"/>
        </w:rPr>
      </w:pPr>
      <w:r>
        <w:rPr>
          <w:rFonts w:hint="eastAsia" w:ascii="Times New Roman" w:hAnsi="Times New Roman" w:eastAsia="仿宋_GB2312" w:cs="Times New Roman"/>
          <w:bCs/>
          <w:spacing w:val="2"/>
          <w:kern w:val="2"/>
          <w:sz w:val="32"/>
          <w:szCs w:val="32"/>
          <w:highlight w:val="none"/>
          <w:lang w:val="en-US" w:eastAsia="zh-CN" w:bidi="ar-SA"/>
        </w:rPr>
        <w:t>（本年年末数/支出调整预算数总计）*100%=0.37</w:t>
      </w:r>
    </w:p>
    <w:p>
      <w:pPr>
        <w:numPr>
          <w:ilvl w:val="0"/>
          <w:numId w:val="2"/>
        </w:numPr>
        <w:spacing w:line="600" w:lineRule="exact"/>
        <w:ind w:left="105" w:leftChars="50" w:firstLine="480" w:firstLineChars="150"/>
        <w:rPr>
          <w:rFonts w:hint="eastAsia" w:ascii="楷体_GB2312" w:hAnsi="Times New Roman" w:eastAsia="楷体_GB2312" w:cs="Times New Roman"/>
          <w:sz w:val="32"/>
          <w:szCs w:val="32"/>
          <w:highlight w:val="none"/>
        </w:rPr>
      </w:pPr>
      <w:r>
        <w:rPr>
          <w:rFonts w:hint="eastAsia" w:ascii="楷体_GB2312" w:hAnsi="Times New Roman" w:eastAsia="楷体_GB2312" w:cs="Times New Roman"/>
          <w:sz w:val="32"/>
          <w:szCs w:val="32"/>
          <w:highlight w:val="none"/>
        </w:rPr>
        <w:t>部门预决算差异率</w:t>
      </w:r>
    </w:p>
    <w:p>
      <w:pPr>
        <w:numPr>
          <w:ilvl w:val="0"/>
          <w:numId w:val="0"/>
        </w:numPr>
        <w:spacing w:line="600" w:lineRule="exact"/>
        <w:ind w:leftChars="200"/>
        <w:rPr>
          <w:rFonts w:hint="default" w:ascii="Times New Roman" w:hAnsi="Times New Roman" w:eastAsia="仿宋_GB2312" w:cs="Times New Roman"/>
          <w:bCs/>
          <w:spacing w:val="2"/>
          <w:kern w:val="2"/>
          <w:sz w:val="32"/>
          <w:szCs w:val="32"/>
          <w:highlight w:val="none"/>
          <w:lang w:val="en-US" w:eastAsia="zh-CN" w:bidi="ar-SA"/>
        </w:rPr>
      </w:pPr>
      <w:r>
        <w:rPr>
          <w:rFonts w:hint="eastAsia" w:ascii="Times New Roman" w:hAnsi="Times New Roman" w:eastAsia="仿宋_GB2312" w:cs="Times New Roman"/>
          <w:bCs/>
          <w:spacing w:val="2"/>
          <w:kern w:val="2"/>
          <w:sz w:val="32"/>
          <w:szCs w:val="32"/>
          <w:highlight w:val="none"/>
          <w:lang w:val="en-US" w:eastAsia="zh-CN" w:bidi="ar-SA"/>
        </w:rPr>
        <w:t>（决算数－年初预算数）/年初预算数*100%=107.49</w:t>
      </w:r>
    </w:p>
    <w:p>
      <w:pPr>
        <w:spacing w:line="600" w:lineRule="exact"/>
        <w:ind w:left="105" w:leftChars="50" w:firstLine="480" w:firstLineChars="150"/>
        <w:rPr>
          <w:rFonts w:ascii="黑体" w:hAnsi="黑体" w:eastAsia="黑体"/>
          <w:sz w:val="32"/>
          <w:szCs w:val="32"/>
        </w:rPr>
      </w:pPr>
      <w:r>
        <w:rPr>
          <w:rFonts w:hint="eastAsia" w:ascii="黑体" w:hAnsi="黑体" w:eastAsia="黑体"/>
          <w:sz w:val="32"/>
          <w:szCs w:val="32"/>
        </w:rPr>
        <w:t>五、总体</w:t>
      </w:r>
      <w:r>
        <w:rPr>
          <w:rFonts w:ascii="黑体" w:hAnsi="黑体" w:eastAsia="黑体"/>
          <w:sz w:val="32"/>
          <w:szCs w:val="32"/>
        </w:rPr>
        <w:t>评价结论</w:t>
      </w:r>
    </w:p>
    <w:p>
      <w:pPr>
        <w:spacing w:line="600" w:lineRule="exact"/>
        <w:ind w:left="105" w:leftChars="50" w:firstLine="480" w:firstLineChars="150"/>
        <w:rPr>
          <w:rFonts w:hint="eastAsia" w:ascii="楷体_GB2312" w:eastAsia="楷体_GB2312"/>
          <w:sz w:val="32"/>
          <w:szCs w:val="32"/>
        </w:rPr>
      </w:pPr>
      <w:r>
        <w:rPr>
          <w:rFonts w:hint="eastAsia" w:ascii="楷体_GB2312" w:eastAsia="楷体_GB2312"/>
          <w:sz w:val="32"/>
          <w:szCs w:val="32"/>
        </w:rPr>
        <w:t>（一）评价</w:t>
      </w:r>
      <w:r>
        <w:rPr>
          <w:rFonts w:ascii="楷体_GB2312" w:eastAsia="楷体_GB2312"/>
          <w:sz w:val="32"/>
          <w:szCs w:val="32"/>
        </w:rPr>
        <w:t>得分</w:t>
      </w:r>
      <w:r>
        <w:rPr>
          <w:rFonts w:hint="eastAsia" w:ascii="楷体_GB2312" w:eastAsia="楷体_GB2312"/>
          <w:sz w:val="32"/>
          <w:szCs w:val="32"/>
        </w:rPr>
        <w:t>情况</w:t>
      </w:r>
    </w:p>
    <w:p>
      <w:pPr>
        <w:spacing w:line="600" w:lineRule="exact"/>
        <w:ind w:left="105" w:leftChars="50" w:firstLine="480" w:firstLineChars="150"/>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本单位按照规定对项目支出进行绩效管理，对项目支出进行有效控制，确保项目资金的使用效益。部门整体支出绩效目标完成情况良好，与预期完成情况的偏离程度较低。</w:t>
      </w:r>
    </w:p>
    <w:p>
      <w:pPr>
        <w:pStyle w:val="4"/>
        <w:pageBreakBefore w:val="0"/>
        <w:widowControl w:val="0"/>
        <w:kinsoku/>
        <w:wordWrap/>
        <w:overflowPunct/>
        <w:topLinePunct w:val="0"/>
        <w:autoSpaceDE/>
        <w:autoSpaceDN/>
        <w:bidi w:val="0"/>
        <w:adjustRightInd/>
        <w:spacing w:before="157" w:beforeLines="50" w:after="157" w:afterLines="50"/>
        <w:ind w:firstLine="640" w:firstLineChars="200"/>
        <w:jc w:val="left"/>
        <w:textAlignment w:val="auto"/>
        <w:rPr>
          <w:rFonts w:hint="eastAsia" w:ascii="Times New Roman" w:hAnsi="Times New Roman" w:eastAsia="仿宋_GB2312" w:cs="Times New Roman"/>
          <w:b w:val="0"/>
          <w:bCs w:val="0"/>
          <w:sz w:val="32"/>
          <w:szCs w:val="32"/>
          <w:lang w:val="en-US" w:eastAsia="zh-CN"/>
        </w:rPr>
      </w:pPr>
      <w:r>
        <w:rPr>
          <w:rFonts w:hint="eastAsia" w:ascii="Times New Roman" w:hAnsi="Times New Roman" w:eastAsia="仿宋_GB2312" w:cs="Times New Roman"/>
          <w:b w:val="0"/>
          <w:bCs w:val="0"/>
          <w:sz w:val="32"/>
          <w:szCs w:val="32"/>
          <w:lang w:val="en-US" w:eastAsia="zh-CN"/>
        </w:rPr>
        <w:t>本年度我单位在保障人员支出、维持机构正常运转，增强党组织凝聚力、号召力，维护地区安全稳定，提高群众安全感，加强环境整治，整体提高地区环境卫生，保障地区民生建设等方面支出完成度较高，在科学文化、教育，保障社区公益性活动项目，丰富生活等方面个别项目支出完成度偏低。项目绩效目标中，数量指标能够突出重点并涵盖体现主要工作内容，在完成的项目支出中质量指标均评价较好以上，对项目预期产生的效果能够进行客观、准确的描述，为社会发展和自然生态带来了积极正向的影响和效果，普遍满意度较高。并且我乡周期开展的项目能够按计划执行，并且依项目要求及时完成资金拨付，实现成本控制。</w:t>
      </w:r>
    </w:p>
    <w:p>
      <w:pPr>
        <w:numPr>
          <w:ilvl w:val="0"/>
          <w:numId w:val="3"/>
        </w:numPr>
        <w:spacing w:line="600" w:lineRule="exact"/>
        <w:ind w:left="105" w:leftChars="50" w:firstLine="480" w:firstLineChars="150"/>
        <w:rPr>
          <w:rFonts w:hint="eastAsia" w:ascii="楷体_GB2312" w:eastAsia="楷体_GB2312"/>
          <w:sz w:val="32"/>
          <w:szCs w:val="32"/>
        </w:rPr>
      </w:pPr>
      <w:r>
        <w:rPr>
          <w:rFonts w:hint="eastAsia" w:ascii="楷体_GB2312" w:eastAsia="楷体_GB2312"/>
          <w:sz w:val="32"/>
          <w:szCs w:val="32"/>
        </w:rPr>
        <w:t>存在的问题及原因分析</w:t>
      </w:r>
    </w:p>
    <w:p>
      <w:pPr>
        <w:pStyle w:val="10"/>
        <w:ind w:left="0" w:leftChars="0" w:firstLine="648" w:firstLineChars="200"/>
        <w:rPr>
          <w:rFonts w:hint="eastAsia" w:ascii="Times New Roman" w:hAnsi="Times New Roman" w:cs="Times New Roman"/>
          <w:sz w:val="32"/>
          <w:szCs w:val="32"/>
          <w:lang w:eastAsia="zh-CN"/>
        </w:rPr>
      </w:pPr>
      <w:r>
        <w:rPr>
          <w:rFonts w:hint="eastAsia" w:ascii="Times New Roman" w:hAnsi="Times New Roman" w:cs="Times New Roman"/>
          <w:sz w:val="32"/>
          <w:szCs w:val="32"/>
          <w:lang w:val="en-US" w:eastAsia="zh-CN"/>
        </w:rPr>
        <w:t>1.</w:t>
      </w:r>
      <w:r>
        <w:rPr>
          <w:rFonts w:hint="eastAsia" w:ascii="Times New Roman" w:hAnsi="Times New Roman" w:cs="Times New Roman"/>
          <w:sz w:val="32"/>
          <w:szCs w:val="32"/>
          <w:lang w:eastAsia="zh-CN"/>
        </w:rPr>
        <w:t>本年度，各预算申报项目绩效目标填报的规范性及合理性较上年有所规范，指标内容具备了较为清晰的的细化与量化程度。但个别项目的绩效目标填报仍存在科学性不足，</w:t>
      </w:r>
      <w:r>
        <w:rPr>
          <w:rFonts w:hint="eastAsia" w:ascii="Times New Roman" w:hAnsi="Times New Roman" w:cs="Times New Roman"/>
          <w:sz w:val="32"/>
          <w:szCs w:val="32"/>
          <w:lang w:val="en-US" w:eastAsia="zh-CN"/>
        </w:rPr>
        <w:t>合理性、可行性有待加强等问题。</w:t>
      </w:r>
      <w:r>
        <w:rPr>
          <w:rFonts w:hint="eastAsia" w:ascii="Times New Roman" w:hAnsi="Times New Roman" w:cs="Times New Roman"/>
          <w:sz w:val="32"/>
          <w:szCs w:val="32"/>
          <w:lang w:eastAsia="zh-CN"/>
        </w:rPr>
        <w:t>项目总体目标中关于项目实施的依据、实施的内容以及预期达到的效果归纳与阐述有所不足，具体产出指标中三级指标及指标值的设定还不够清晰明确；</w:t>
      </w:r>
      <w:r>
        <w:rPr>
          <w:rFonts w:hint="eastAsia" w:ascii="Times New Roman" w:hAnsi="Times New Roman" w:cs="Times New Roman"/>
          <w:sz w:val="32"/>
          <w:szCs w:val="32"/>
          <w:lang w:eastAsia="zh-CN"/>
        </w:rPr>
        <w:br w:type="textWrapping"/>
      </w:r>
      <w:r>
        <w:rPr>
          <w:rFonts w:hint="eastAsia" w:ascii="Times New Roman" w:hAnsi="Times New Roman" w:cs="Times New Roman"/>
          <w:sz w:val="32"/>
          <w:szCs w:val="32"/>
          <w:lang w:eastAsia="zh-CN"/>
        </w:rPr>
        <w:t>　　</w:t>
      </w:r>
      <w:r>
        <w:rPr>
          <w:rFonts w:hint="eastAsia" w:ascii="Times New Roman" w:hAnsi="Times New Roman" w:cs="Times New Roman"/>
          <w:sz w:val="32"/>
          <w:szCs w:val="32"/>
          <w:lang w:val="en-US" w:eastAsia="zh-CN"/>
        </w:rPr>
        <w:t>2.本年度</w:t>
      </w:r>
      <w:r>
        <w:rPr>
          <w:rFonts w:hint="eastAsia" w:ascii="Times New Roman" w:hAnsi="Times New Roman" w:cs="Times New Roman"/>
          <w:sz w:val="32"/>
          <w:szCs w:val="32"/>
          <w:lang w:eastAsia="zh-CN"/>
        </w:rPr>
        <w:t>部分项目在组织实施和过程管理的精细化水平有待进一步提升，项目实施方案的完整性与指导性仍有待加强，项目实施过程的管理资料以及服务对象满意度调查资料的归集与整理情况依然存在不足。</w:t>
      </w:r>
    </w:p>
    <w:p>
      <w:pPr>
        <w:pStyle w:val="10"/>
        <w:ind w:left="0" w:leftChars="0" w:firstLine="648" w:firstLineChars="200"/>
        <w:rPr>
          <w:rFonts w:hint="eastAsia" w:ascii="Times New Roman" w:hAnsi="Times New Roman" w:cs="Times New Roman"/>
          <w:sz w:val="32"/>
          <w:szCs w:val="32"/>
          <w:lang w:eastAsia="zh-CN"/>
        </w:rPr>
      </w:pPr>
      <w:r>
        <w:rPr>
          <w:rFonts w:hint="eastAsia" w:ascii="Times New Roman" w:hAnsi="Times New Roman" w:cs="Times New Roman"/>
          <w:sz w:val="32"/>
          <w:szCs w:val="32"/>
          <w:lang w:val="en-US" w:eastAsia="zh-CN"/>
        </w:rPr>
        <w:t>绩效指标应指向明确，与支出方向、政策依据相关联，与部门职责及其事业发展规划相关，与总体绩效目标的内容直接关联。大额项目资金使用范围较广，明确完成的工作任务、细化任务清单有难度，加上政策依据更新速度快，发展以及规划的不确定等因素的存在导致指标设置难度较大、易出现偏差。指标值的设定要在考虑可实现性的基础上，尽量从严、从高设定，以充分发挥绩效目标对预算编制执行的引导约束和控制作用。</w:t>
      </w:r>
    </w:p>
    <w:p>
      <w:pPr>
        <w:spacing w:line="600" w:lineRule="exact"/>
        <w:ind w:firstLine="640" w:firstLineChars="200"/>
        <w:rPr>
          <w:rFonts w:ascii="黑体" w:hAnsi="黑体" w:eastAsia="黑体" w:cs="宋体"/>
          <w:color w:val="000000"/>
          <w:kern w:val="0"/>
          <w:sz w:val="32"/>
          <w:szCs w:val="32"/>
        </w:rPr>
      </w:pPr>
      <w:r>
        <w:rPr>
          <w:rFonts w:hint="eastAsia" w:ascii="黑体" w:hAnsi="黑体" w:eastAsia="黑体" w:cs="宋体"/>
          <w:color w:val="000000"/>
          <w:kern w:val="0"/>
          <w:sz w:val="32"/>
          <w:szCs w:val="32"/>
        </w:rPr>
        <w:t>六、措施建议</w:t>
      </w:r>
    </w:p>
    <w:p>
      <w:pPr>
        <w:pStyle w:val="10"/>
        <w:ind w:left="0" w:leftChars="0" w:firstLine="648" w:firstLineChars="200"/>
        <w:rPr>
          <w:rFonts w:hint="eastAsia" w:ascii="Times New Roman" w:hAnsi="Times New Roman" w:cs="Times New Roman"/>
          <w:sz w:val="32"/>
          <w:szCs w:val="32"/>
          <w:lang w:val="en-US" w:eastAsia="zh-CN"/>
        </w:rPr>
      </w:pPr>
      <w:r>
        <w:rPr>
          <w:rFonts w:hint="eastAsia" w:ascii="Times New Roman" w:hAnsi="Times New Roman" w:cs="Times New Roman"/>
          <w:sz w:val="32"/>
          <w:szCs w:val="32"/>
          <w:lang w:val="en-US" w:eastAsia="zh-CN"/>
        </w:rPr>
        <w:t>为强化财政支出责任，加强预算绩效全过程管理，我单位对2022年预算部门项目支出开展绩效自评工作。通过绩效自评，机关各科室的预算管理意识均有所增强，各财政预算项目在执行绩效管理工作的过程中均能够严格按照财政批复的范围和用途落实资金的使用，专款专用。但在本次自评工作中也发现个别项目在绩效管理工作中存在的不足，将作为下一步重点关注与改进的方面：</w:t>
      </w:r>
      <w:r>
        <w:rPr>
          <w:rFonts w:hint="eastAsia" w:ascii="Times New Roman" w:hAnsi="Times New Roman" w:cs="Times New Roman"/>
          <w:sz w:val="32"/>
          <w:szCs w:val="32"/>
          <w:lang w:val="en-US" w:eastAsia="zh-CN"/>
        </w:rPr>
        <w:br w:type="textWrapping"/>
      </w:r>
      <w:r>
        <w:rPr>
          <w:rFonts w:hint="eastAsia" w:ascii="Times New Roman" w:hAnsi="Times New Roman" w:cs="Times New Roman"/>
          <w:sz w:val="32"/>
          <w:szCs w:val="32"/>
          <w:lang w:val="en-US" w:eastAsia="zh-CN"/>
        </w:rPr>
        <w:t>　　1.进一步提高项目的绩效管理水平，规范科学编制绩效目标表，提高项目绩效目标和指标编制的合理性。根据市财政局有关绩效目标管理的要求，结合项目内容，科学、合理、规范设定项目绩效目标，进一步强化项目绩效意识，规范填报。填报的总体绩效目标应包含项目的立项背景和需求、实施的主要内容、年度计划实现的绩效成果等关键要素。填报的具体指标应细化、量化。通过填报科学规范的绩效目标申报表，进一步提高项目绩效目标的可考量性，加强绩效评价结果应用。</w:t>
      </w:r>
      <w:r>
        <w:rPr>
          <w:rFonts w:hint="eastAsia" w:ascii="Times New Roman" w:hAnsi="Times New Roman" w:cs="Times New Roman"/>
          <w:sz w:val="32"/>
          <w:szCs w:val="32"/>
          <w:lang w:val="en-US" w:eastAsia="zh-CN"/>
        </w:rPr>
        <w:br w:type="textWrapping"/>
      </w:r>
      <w:r>
        <w:rPr>
          <w:rFonts w:hint="eastAsia" w:ascii="Times New Roman" w:hAnsi="Times New Roman" w:cs="Times New Roman"/>
          <w:sz w:val="32"/>
          <w:szCs w:val="32"/>
          <w:lang w:val="en-US" w:eastAsia="zh-CN"/>
        </w:rPr>
        <w:t>　　2.严格落实项目的管理流程，提高项目精细化管理水平。加强项目实施方案的研究工作，规范项目实施方案编制，结合项目的特点，从项目的组织机构、人员分工、项目具体组织实施、相关执行标准、项目的过程控制、资金支付监管及项目总结验收等方面制定相关的措施，确保项目实施的闭环管理。同时，还应加强项目资金的支出进度计划编制，合理安排支出，避免因支出进度滞后导致项目的调整或延期，提高财政资金使用效率。</w:t>
      </w:r>
      <w:r>
        <w:rPr>
          <w:rFonts w:hint="eastAsia" w:ascii="Times New Roman" w:hAnsi="Times New Roman" w:cs="Times New Roman"/>
          <w:sz w:val="32"/>
          <w:szCs w:val="32"/>
          <w:lang w:val="en-US" w:eastAsia="zh-CN"/>
        </w:rPr>
        <w:br w:type="textWrapping"/>
      </w:r>
      <w:r>
        <w:rPr>
          <w:rFonts w:hint="eastAsia" w:ascii="Times New Roman" w:hAnsi="Times New Roman" w:cs="Times New Roman"/>
          <w:sz w:val="32"/>
          <w:szCs w:val="32"/>
          <w:lang w:val="en-US" w:eastAsia="zh-CN"/>
        </w:rPr>
        <w:t>　　3.重视项目绩效资料的留存与收集。在项目执行环节应注重及时收集项目绩效资料，加强对相关数据的汇总分析和历史比对，从多方面反映项目绩效成果的实现程度，全面展示项目实施效果。在项目执行过程中督促项目负责人及时组织开展满意度调查，分层分级科学设计调查问卷，深入分析项目实施的效果和不足，通过对调查问卷的统计分析和结果应用，持续推进项目绩效的跟进和提升。</w:t>
      </w:r>
      <w:r>
        <w:rPr>
          <w:rFonts w:hint="eastAsia" w:ascii="Times New Roman" w:hAnsi="Times New Roman" w:cs="Times New Roman"/>
          <w:sz w:val="32"/>
          <w:szCs w:val="32"/>
          <w:lang w:val="en-US" w:eastAsia="zh-CN"/>
        </w:rPr>
        <w:br w:type="textWrapping"/>
      </w:r>
      <w:r>
        <w:rPr>
          <w:rFonts w:hint="eastAsia" w:ascii="Times New Roman" w:hAnsi="Times New Roman" w:cs="Times New Roman"/>
          <w:sz w:val="32"/>
          <w:szCs w:val="32"/>
          <w:lang w:val="en-US" w:eastAsia="zh-CN"/>
        </w:rPr>
        <w:t>　　4.结合自评工作，不断总结分析预算绩效管理有益做法和经验。针对发现的过程管理中规范性不足的问题，及时提出改进意见。对项目预算目标执行情况进行统计分析，分析预算支出进度及绩效目标的实现，及时提醒项目相关人员加强项目管理，控制项目风险，保证项目质量，将细节管理落实到项目实施的各个环节。</w:t>
      </w:r>
    </w:p>
    <w:p>
      <w:pPr>
        <w:pStyle w:val="10"/>
        <w:ind w:left="0" w:leftChars="0" w:firstLine="648" w:firstLineChars="200"/>
        <w:rPr>
          <w:rFonts w:hint="eastAsia" w:ascii="Times New Roman" w:hAnsi="Times New Roman" w:cs="Times New Roman"/>
          <w:sz w:val="32"/>
          <w:szCs w:val="32"/>
          <w:lang w:val="en-US" w:eastAsia="zh-CN"/>
        </w:rPr>
      </w:pPr>
      <w:r>
        <w:rPr>
          <w:rFonts w:hint="eastAsia" w:ascii="Times New Roman" w:hAnsi="Times New Roman" w:cs="Times New Roman"/>
          <w:sz w:val="32"/>
          <w:szCs w:val="32"/>
          <w:lang w:val="en-US" w:eastAsia="zh-CN"/>
        </w:rPr>
        <w:t>太阳宫乡在今后的工作中，会继续推进预算和绩效管理一体化，以信息化推进预算管理现代化，提高预算管理规范化、科学化、标准化水平和预算透明度。</w:t>
      </w:r>
    </w:p>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jc w:val="right"/>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8"/>
                      <w:jc w:val="right"/>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2 -</w:t>
                    </w:r>
                    <w:r>
                      <w:rPr>
                        <w:rFonts w:ascii="宋体" w:hAnsi="宋体"/>
                        <w:sz w:val="28"/>
                        <w:szCs w:val="28"/>
                      </w:rPr>
                      <w:fldChar w:fldCharType="end"/>
                    </w:r>
                  </w:p>
                </w:txbxContent>
              </v:textbox>
            </v:shape>
          </w:pict>
        </mc:Fallback>
      </mc:AlternateContent>
    </w:r>
  </w:p>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DE5A41"/>
    <w:multiLevelType w:val="singleLevel"/>
    <w:tmpl w:val="9FDE5A41"/>
    <w:lvl w:ilvl="0" w:tentative="0">
      <w:start w:val="2"/>
      <w:numFmt w:val="chineseCounting"/>
      <w:suff w:val="nothing"/>
      <w:lvlText w:val="（%1）"/>
      <w:lvlJc w:val="left"/>
      <w:rPr>
        <w:rFonts w:hint="eastAsia"/>
      </w:rPr>
    </w:lvl>
  </w:abstractNum>
  <w:abstractNum w:abstractNumId="1">
    <w:nsid w:val="C0C59D53"/>
    <w:multiLevelType w:val="singleLevel"/>
    <w:tmpl w:val="C0C59D53"/>
    <w:lvl w:ilvl="0" w:tentative="0">
      <w:start w:val="2"/>
      <w:numFmt w:val="chineseCounting"/>
      <w:suff w:val="nothing"/>
      <w:lvlText w:val="（%1）"/>
      <w:lvlJc w:val="left"/>
      <w:rPr>
        <w:rFonts w:hint="eastAsia"/>
      </w:rPr>
    </w:lvl>
  </w:abstractNum>
  <w:abstractNum w:abstractNumId="2">
    <w:nsid w:val="5C399A49"/>
    <w:multiLevelType w:val="singleLevel"/>
    <w:tmpl w:val="5C399A49"/>
    <w:lvl w:ilvl="0" w:tentative="0">
      <w:start w:val="2"/>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1D39DF"/>
    <w:rsid w:val="001C7834"/>
    <w:rsid w:val="0023434C"/>
    <w:rsid w:val="00465181"/>
    <w:rsid w:val="0057202C"/>
    <w:rsid w:val="005E3946"/>
    <w:rsid w:val="0060746B"/>
    <w:rsid w:val="00826643"/>
    <w:rsid w:val="00954F6E"/>
    <w:rsid w:val="00B03B70"/>
    <w:rsid w:val="00CF07EE"/>
    <w:rsid w:val="00E617B2"/>
    <w:rsid w:val="00F42C33"/>
    <w:rsid w:val="043B49B4"/>
    <w:rsid w:val="41806F95"/>
    <w:rsid w:val="58B428FF"/>
    <w:rsid w:val="5B1D39DF"/>
    <w:rsid w:val="5C952F9B"/>
    <w:rsid w:val="6E0E5CF7"/>
    <w:rsid w:val="7C5E35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qFormat="1"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pPr>
    <w:rPr>
      <w:rFonts w:hint="eastAsia" w:ascii="宋体" w:hAnsi="宋体" w:eastAsia="宋体" w:cs="宋体"/>
      <w:b/>
      <w:kern w:val="44"/>
      <w:sz w:val="48"/>
      <w:szCs w:val="48"/>
      <w:lang w:val="en-US" w:eastAsia="zh-CN" w:bidi="ar"/>
    </w:rPr>
  </w:style>
  <w:style w:type="paragraph" w:styleId="4">
    <w:name w:val="heading 2"/>
    <w:basedOn w:val="1"/>
    <w:next w:val="1"/>
    <w:unhideWhenUsed/>
    <w:qFormat/>
    <w:uiPriority w:val="9"/>
    <w:pPr>
      <w:keepNext/>
      <w:keepLines/>
      <w:jc w:val="center"/>
      <w:outlineLvl w:val="1"/>
    </w:pPr>
    <w:rPr>
      <w:rFonts w:ascii="Cambria" w:hAnsi="Cambria" w:cs="Cambria"/>
      <w:b/>
      <w:bCs/>
      <w:sz w:val="36"/>
      <w:szCs w:val="36"/>
    </w:rPr>
  </w:style>
  <w:style w:type="character" w:default="1" w:styleId="12">
    <w:name w:val="Default Paragraph Font"/>
    <w:semiHidden/>
    <w:unhideWhenUsed/>
    <w:uiPriority w:val="1"/>
  </w:style>
  <w:style w:type="table" w:default="1" w:styleId="11">
    <w:name w:val="Normal Table"/>
    <w:semiHidden/>
    <w:unhideWhenUsed/>
    <w:uiPriority w:val="99"/>
    <w:tblPr>
      <w:tblLayout w:type="fixed"/>
      <w:tblCellMar>
        <w:top w:w="0" w:type="dxa"/>
        <w:left w:w="108" w:type="dxa"/>
        <w:bottom w:w="0" w:type="dxa"/>
        <w:right w:w="108" w:type="dxa"/>
      </w:tblCellMar>
    </w:tblPr>
  </w:style>
  <w:style w:type="paragraph" w:styleId="2">
    <w:name w:val="Normal Indent"/>
    <w:basedOn w:val="1"/>
    <w:qFormat/>
    <w:uiPriority w:val="0"/>
    <w:pPr>
      <w:ind w:firstLine="200" w:firstLineChars="200"/>
    </w:pPr>
  </w:style>
  <w:style w:type="paragraph" w:styleId="5">
    <w:name w:val="Body Text"/>
    <w:basedOn w:val="1"/>
    <w:next w:val="1"/>
    <w:uiPriority w:val="0"/>
    <w:pPr>
      <w:widowControl/>
      <w:spacing w:before="100" w:beforeAutospacing="1" w:after="100" w:afterAutospacing="1"/>
      <w:jc w:val="left"/>
    </w:pPr>
    <w:rPr>
      <w:rFonts w:ascii="宋体" w:hAnsi="宋体" w:cs="宋体"/>
      <w:kern w:val="0"/>
      <w:sz w:val="24"/>
    </w:rPr>
  </w:style>
  <w:style w:type="paragraph" w:styleId="6">
    <w:name w:val="Body Text Indent"/>
    <w:basedOn w:val="1"/>
    <w:qFormat/>
    <w:uiPriority w:val="0"/>
    <w:pPr>
      <w:spacing w:line="600" w:lineRule="exact"/>
      <w:ind w:firstLine="648" w:firstLineChars="200"/>
    </w:pPr>
    <w:rPr>
      <w:rFonts w:eastAsia="仿宋_GB2312"/>
      <w:bCs/>
      <w:spacing w:val="2"/>
      <w:sz w:val="32"/>
    </w:rPr>
  </w:style>
  <w:style w:type="paragraph" w:styleId="7">
    <w:name w:val="Balloon Text"/>
    <w:basedOn w:val="1"/>
    <w:link w:val="14"/>
    <w:semiHidden/>
    <w:unhideWhenUsed/>
    <w:uiPriority w:val="0"/>
    <w:rPr>
      <w:sz w:val="18"/>
      <w:szCs w:val="18"/>
    </w:rPr>
  </w:style>
  <w:style w:type="paragraph" w:styleId="8">
    <w:name w:val="footer"/>
    <w:basedOn w:val="1"/>
    <w:uiPriority w:val="0"/>
    <w:pPr>
      <w:tabs>
        <w:tab w:val="center" w:pos="4153"/>
        <w:tab w:val="right" w:pos="8306"/>
      </w:tabs>
      <w:snapToGrid w:val="0"/>
      <w:jc w:val="left"/>
    </w:pPr>
    <w:rPr>
      <w:sz w:val="18"/>
      <w:szCs w:val="20"/>
    </w:rPr>
  </w:style>
  <w:style w:type="paragraph" w:styleId="9">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10">
    <w:name w:val="Body Text First Indent 2"/>
    <w:basedOn w:val="6"/>
    <w:qFormat/>
    <w:uiPriority w:val="0"/>
    <w:pPr>
      <w:ind w:firstLine="420" w:firstLineChars="200"/>
    </w:pPr>
  </w:style>
  <w:style w:type="character" w:customStyle="1" w:styleId="13">
    <w:name w:val="页眉 字符"/>
    <w:basedOn w:val="12"/>
    <w:link w:val="9"/>
    <w:qFormat/>
    <w:uiPriority w:val="0"/>
    <w:rPr>
      <w:rFonts w:ascii="Times New Roman" w:hAnsi="Times New Roman" w:eastAsia="宋体" w:cs="Times New Roman"/>
      <w:kern w:val="2"/>
      <w:sz w:val="18"/>
      <w:szCs w:val="18"/>
    </w:rPr>
  </w:style>
  <w:style w:type="character" w:customStyle="1" w:styleId="14">
    <w:name w:val="批注框文本 字符"/>
    <w:basedOn w:val="12"/>
    <w:link w:val="7"/>
    <w:semiHidden/>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78</Words>
  <Characters>448</Characters>
  <Lines>3</Lines>
  <Paragraphs>1</Paragraphs>
  <TotalTime>14</TotalTime>
  <ScaleCrop>false</ScaleCrop>
  <LinksUpToDate>false</LinksUpToDate>
  <CharactersWithSpaces>525</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2024-01-18T03:00:00Z</dcterms:created>
  <dc:creator>Administrator</dc:creator>
  <cp:lastModifiedBy>Administrator</cp:lastModifiedBy>
  <cp:lastPrinted>2024-02-27T01:50:00Z</cp:lastPrinted>
  <dcterms:modified xsi:type="dcterms:W3CDTF">2024-03-25T09:14:08Z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ies>
</file>