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sz w:val="36"/>
          <w:szCs w:val="36"/>
        </w:rPr>
      </w:pPr>
      <w:r>
        <w:rPr>
          <w:rFonts w:hint="eastAsia" w:ascii="宋体" w:hAnsi="宋体" w:cs="宋体"/>
          <w:sz w:val="36"/>
          <w:szCs w:val="36"/>
        </w:rPr>
        <w:t>项目支出绩效评价报告</w:t>
      </w:r>
    </w:p>
    <w:p>
      <w:pPr>
        <w:jc w:val="center"/>
        <w:rPr>
          <w:rFonts w:ascii="仿宋_GB2312"/>
          <w:b w:val="0"/>
          <w:bCs w:val="0"/>
          <w:szCs w:val="30"/>
        </w:rPr>
      </w:pPr>
    </w:p>
    <w:p>
      <w:pPr>
        <w:spacing w:line="600" w:lineRule="exact"/>
        <w:ind w:firstLine="640" w:firstLineChars="200"/>
        <w:rPr>
          <w:rFonts w:ascii="黑体" w:hAnsi="黑体" w:eastAsia="黑体" w:cs="黑体"/>
          <w:b w:val="0"/>
          <w:color w:val="000000"/>
          <w:kern w:val="0"/>
          <w:sz w:val="32"/>
          <w:szCs w:val="32"/>
        </w:rPr>
      </w:pPr>
      <w:r>
        <w:rPr>
          <w:rFonts w:hint="eastAsia" w:ascii="黑体" w:hAnsi="黑体" w:eastAsia="黑体" w:cs="黑体"/>
          <w:b w:val="0"/>
          <w:color w:val="000000"/>
          <w:kern w:val="0"/>
          <w:sz w:val="32"/>
          <w:szCs w:val="32"/>
        </w:rPr>
        <w:t>一、基本情况</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（一）项目概况。包括项目背景、主要内容及实施情况、资金投入和使用情况等。</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高碑店地区办事处，</w:t>
      </w:r>
      <w:r>
        <w:rPr>
          <w:rFonts w:hint="eastAsia" w:ascii="仿宋_GB2312" w:hAnsi="仿宋_GB2312" w:eastAsia="仿宋_GB2312" w:cs="仿宋_GB2312"/>
          <w:b w:val="0"/>
          <w:bCs w:val="0"/>
          <w:color w:val="000000"/>
          <w:kern w:val="0"/>
          <w:sz w:val="32"/>
          <w:szCs w:val="32"/>
        </w:rPr>
        <w:t>依据《关于调整部分优抚对象抚恤补助金标准和义务兵优待金标准的通知》（朝退役军人局发﹝2019﹞1号）文件精神及要求，</w:t>
      </w:r>
      <w:r>
        <w:rPr>
          <w:rFonts w:hint="eastAsia" w:ascii="仿宋_GB2312" w:hAnsi="仿宋_GB2312" w:eastAsia="仿宋_GB2312" w:cs="仿宋_GB2312"/>
          <w:b w:val="0"/>
          <w:bCs w:val="0"/>
          <w:color w:val="000000"/>
          <w:kern w:val="0"/>
          <w:sz w:val="32"/>
          <w:szCs w:val="32"/>
          <w:lang w:eastAsia="zh-CN"/>
        </w:rPr>
        <w:t>为地区</w:t>
      </w:r>
      <w:r>
        <w:rPr>
          <w:rFonts w:hint="eastAsia" w:ascii="仿宋_GB2312" w:hAnsi="仿宋_GB2312" w:eastAsia="仿宋_GB2312" w:cs="仿宋_GB2312"/>
          <w:b w:val="0"/>
          <w:bCs w:val="0"/>
          <w:color w:val="000000"/>
          <w:kern w:val="0"/>
          <w:sz w:val="32"/>
          <w:szCs w:val="32"/>
        </w:rPr>
        <w:t>共有</w:t>
      </w:r>
      <w:r>
        <w:rPr>
          <w:rFonts w:hint="eastAsia" w:ascii="仿宋_GB2312" w:hAnsi="仿宋_GB2312" w:eastAsia="仿宋_GB2312" w:cs="仿宋_GB2312"/>
          <w:b w:val="0"/>
          <w:bCs w:val="0"/>
          <w:color w:val="000000"/>
          <w:kern w:val="0"/>
          <w:sz w:val="32"/>
          <w:szCs w:val="32"/>
          <w:lang w:val="en-US" w:eastAsia="zh-CN"/>
        </w:rPr>
        <w:t>1</w:t>
      </w:r>
      <w:r>
        <w:rPr>
          <w:rFonts w:hint="eastAsia" w:ascii="仿宋_GB2312" w:hAnsi="仿宋_GB2312" w:eastAsia="仿宋_GB2312" w:cs="仿宋_GB2312"/>
          <w:b w:val="0"/>
          <w:bCs w:val="0"/>
          <w:color w:val="000000"/>
          <w:kern w:val="0"/>
          <w:sz w:val="32"/>
          <w:szCs w:val="32"/>
        </w:rPr>
        <w:t>名现役军人，发放义务兵优待金42926元，“八一”之前全部以转账形式发放到位。</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（二）项目绩效目标。包括总体目标和阶段性目标。</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总体目标为按时足额发放义务兵优待金，确保义务兵家庭优待政策落实，阶段性目标为义务兵人员名单准确，优待金金额准确，并于“八一”之前全部发放完毕。</w:t>
      </w:r>
    </w:p>
    <w:p>
      <w:pPr>
        <w:spacing w:line="600" w:lineRule="exact"/>
        <w:ind w:firstLine="640" w:firstLineChars="200"/>
        <w:rPr>
          <w:rFonts w:ascii="黑体" w:hAnsi="黑体" w:eastAsia="黑体" w:cs="黑体"/>
          <w:b w:val="0"/>
          <w:color w:val="000000"/>
          <w:kern w:val="0"/>
          <w:sz w:val="32"/>
          <w:szCs w:val="32"/>
        </w:rPr>
      </w:pPr>
      <w:r>
        <w:rPr>
          <w:rFonts w:hint="eastAsia" w:ascii="黑体" w:hAnsi="黑体" w:eastAsia="黑体" w:cs="黑体"/>
          <w:b w:val="0"/>
          <w:color w:val="000000"/>
          <w:kern w:val="0"/>
          <w:sz w:val="32"/>
          <w:szCs w:val="32"/>
        </w:rPr>
        <w:t>二、绩效评价工作开展情况</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（一）绩效评价目的、对象和范围。</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为了确保资金精准直达、体现国家对拥军优属工作的重视，提高义务兵及家庭的满意度，重点对义务兵优待金的目标设定情况、资金使用情况及绩效目标实现程度进行了绩效评价。</w:t>
      </w:r>
    </w:p>
    <w:p>
      <w:pPr>
        <w:spacing w:line="600" w:lineRule="exact"/>
        <w:ind w:firstLine="643" w:firstLineChars="200"/>
        <w:outlineLvl w:val="0"/>
        <w:rPr>
          <w:rFonts w:hint="eastAsia" w:ascii="仿宋_GB2312" w:eastAsia="仿宋_GB2312"/>
          <w:sz w:val="32"/>
          <w:szCs w:val="32"/>
        </w:rPr>
      </w:pPr>
      <w:r>
        <w:rPr>
          <w:rFonts w:hint="eastAsia" w:ascii="仿宋_GB2312" w:hAnsi="仿宋_GB2312" w:eastAsia="仿宋_GB2312" w:cs="仿宋_GB2312"/>
          <w:bCs w:val="0"/>
          <w:color w:val="000000"/>
          <w:kern w:val="0"/>
          <w:sz w:val="32"/>
          <w:szCs w:val="32"/>
        </w:rPr>
        <w:t>（二）绩效评价原则、评价指标体系、评价方法、评价标准等。</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始终坚持全面覆盖、统筹兼顾及突出重点的绩效评价原则。</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（三）绩效评价工作过程。</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高碑店地区办事处</w:t>
      </w:r>
      <w:r>
        <w:rPr>
          <w:rFonts w:hint="eastAsia" w:ascii="仿宋_GB2312" w:hAnsi="仿宋_GB2312" w:eastAsia="仿宋_GB2312" w:cs="仿宋_GB2312"/>
          <w:b w:val="0"/>
          <w:bCs w:val="0"/>
          <w:color w:val="000000"/>
          <w:kern w:val="0"/>
          <w:sz w:val="32"/>
          <w:szCs w:val="32"/>
        </w:rPr>
        <w:t>严格落实《关于调整部分优抚对象抚恤补助金标准和义务兵优待金标准的通知》（朝退役军人局发﹝2019﹞1号）精神，根据区财政局统一部署，组织（包含纪检监察人员在内的）有关人员成立评价小组，明确责任分工，采取审查原始材料、审查请款手续、上会记录，与经办人交谈以及义务兵家属电话回访等方式对此项目进行了审查与评价。</w:t>
      </w:r>
    </w:p>
    <w:p>
      <w:pPr>
        <w:spacing w:line="600" w:lineRule="exact"/>
        <w:ind w:firstLine="640" w:firstLineChars="200"/>
        <w:rPr>
          <w:rFonts w:hint="eastAsia" w:ascii="黑体" w:hAnsi="黑体" w:eastAsia="黑体" w:cs="黑体"/>
          <w:b w:val="0"/>
          <w:color w:val="000000"/>
          <w:kern w:val="0"/>
          <w:sz w:val="32"/>
          <w:szCs w:val="32"/>
        </w:rPr>
      </w:pPr>
      <w:r>
        <w:rPr>
          <w:rFonts w:hint="eastAsia" w:ascii="黑体" w:hAnsi="黑体" w:eastAsia="黑体" w:cs="黑体"/>
          <w:b w:val="0"/>
          <w:color w:val="000000"/>
          <w:kern w:val="0"/>
          <w:sz w:val="32"/>
          <w:szCs w:val="32"/>
        </w:rPr>
        <w:t>三、综合评价情况及评价结论</w:t>
      </w:r>
    </w:p>
    <w:p>
      <w:pPr>
        <w:spacing w:line="600" w:lineRule="exact"/>
        <w:ind w:firstLine="640" w:firstLineChars="20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高碑店地区按照上级关于义务兵优待金发放的相关要滶，</w:t>
      </w:r>
      <w:r>
        <w:rPr>
          <w:rFonts w:hint="eastAsia" w:ascii="仿宋_GB2312" w:hAnsi="仿宋_GB2312" w:eastAsia="仿宋_GB2312" w:cs="仿宋_GB2312"/>
          <w:b w:val="0"/>
          <w:bCs w:val="0"/>
          <w:color w:val="000000"/>
          <w:kern w:val="0"/>
          <w:sz w:val="32"/>
          <w:szCs w:val="32"/>
        </w:rPr>
        <w:t>能及时足额发放，无截留、挤占和挪作他用。义务兵优待金的发放，体现了地方政府爱军拥军，拥军优属的优良传统，对国防建设的支持以及对进一步团结巩固军政军民关系，营造浓厚的双拥环境，提高全民国防意识，激励广大有志青年踊跃参军报国，激励现役军人献身国防、建功立业。</w:t>
      </w:r>
    </w:p>
    <w:p>
      <w:pPr>
        <w:spacing w:line="600" w:lineRule="exact"/>
        <w:ind w:firstLine="800" w:firstLineChars="250"/>
        <w:rPr>
          <w:rFonts w:ascii="黑体" w:hAnsi="黑体" w:eastAsia="黑体" w:cs="黑体"/>
          <w:b w:val="0"/>
          <w:color w:val="000000"/>
          <w:kern w:val="0"/>
          <w:sz w:val="32"/>
          <w:szCs w:val="32"/>
        </w:rPr>
      </w:pPr>
      <w:r>
        <w:rPr>
          <w:rFonts w:hint="eastAsia" w:ascii="黑体" w:hAnsi="黑体" w:eastAsia="黑体" w:cs="黑体"/>
          <w:b w:val="0"/>
          <w:color w:val="000000"/>
          <w:kern w:val="0"/>
          <w:sz w:val="32"/>
          <w:szCs w:val="32"/>
        </w:rPr>
        <w:t>四、绩效评价指标分析</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（一）项目决策情况。</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按照</w:t>
      </w:r>
      <w:r>
        <w:rPr>
          <w:rFonts w:hint="eastAsia" w:ascii="仿宋_GB2312" w:hAnsi="仿宋_GB2312" w:eastAsia="仿宋_GB2312" w:cs="仿宋_GB2312"/>
          <w:b w:val="0"/>
          <w:bCs w:val="0"/>
          <w:color w:val="000000"/>
          <w:kern w:val="0"/>
          <w:sz w:val="32"/>
          <w:szCs w:val="32"/>
          <w:lang w:eastAsia="zh-CN"/>
        </w:rPr>
        <w:t>地区办事处</w:t>
      </w:r>
      <w:r>
        <w:rPr>
          <w:rFonts w:hint="eastAsia" w:ascii="仿宋_GB2312" w:hAnsi="仿宋_GB2312" w:eastAsia="仿宋_GB2312" w:cs="仿宋_GB2312"/>
          <w:b w:val="0"/>
          <w:bCs w:val="0"/>
          <w:color w:val="000000"/>
          <w:kern w:val="0"/>
          <w:sz w:val="32"/>
          <w:szCs w:val="32"/>
        </w:rPr>
        <w:t>财务规章制度，严格执行经费审批制度及程序，经</w:t>
      </w:r>
      <w:r>
        <w:rPr>
          <w:rFonts w:hint="eastAsia" w:ascii="仿宋_GB2312" w:hAnsi="仿宋_GB2312" w:eastAsia="仿宋_GB2312" w:cs="仿宋_GB2312"/>
          <w:b w:val="0"/>
          <w:bCs w:val="0"/>
          <w:color w:val="000000"/>
          <w:kern w:val="0"/>
          <w:sz w:val="32"/>
          <w:szCs w:val="32"/>
          <w:lang w:eastAsia="zh-CN"/>
        </w:rPr>
        <w:t>乡长办公会</w:t>
      </w:r>
      <w:r>
        <w:rPr>
          <w:rFonts w:hint="eastAsia" w:ascii="仿宋_GB2312" w:hAnsi="仿宋_GB2312" w:eastAsia="仿宋_GB2312" w:cs="仿宋_GB2312"/>
          <w:b w:val="0"/>
          <w:bCs w:val="0"/>
          <w:color w:val="000000"/>
          <w:kern w:val="0"/>
          <w:sz w:val="32"/>
          <w:szCs w:val="32"/>
        </w:rPr>
        <w:t>研究决定、逐级审批后再由</w:t>
      </w:r>
      <w:r>
        <w:rPr>
          <w:rFonts w:hint="eastAsia" w:ascii="仿宋_GB2312" w:hAnsi="仿宋_GB2312" w:eastAsia="仿宋_GB2312" w:cs="仿宋_GB2312"/>
          <w:b w:val="0"/>
          <w:bCs w:val="0"/>
          <w:color w:val="000000"/>
          <w:kern w:val="0"/>
          <w:sz w:val="32"/>
          <w:szCs w:val="32"/>
          <w:lang w:eastAsia="zh-CN"/>
        </w:rPr>
        <w:t>乡</w:t>
      </w:r>
      <w:r>
        <w:rPr>
          <w:rFonts w:hint="eastAsia" w:ascii="仿宋_GB2312" w:hAnsi="仿宋_GB2312" w:eastAsia="仿宋_GB2312" w:cs="仿宋_GB2312"/>
          <w:b w:val="0"/>
          <w:bCs w:val="0"/>
          <w:color w:val="000000"/>
          <w:kern w:val="0"/>
          <w:sz w:val="32"/>
          <w:szCs w:val="32"/>
        </w:rPr>
        <w:t>财政通过转账发放至义务兵个人账户。</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（二）项目过程情况。</w:t>
      </w:r>
    </w:p>
    <w:p>
      <w:pPr>
        <w:snapToGrid w:val="0"/>
        <w:spacing w:line="560" w:lineRule="atLeast"/>
        <w:ind w:firstLine="640" w:firstLineChars="200"/>
        <w:outlineLvl w:val="0"/>
        <w:rPr>
          <w:rFonts w:cs="仿宋_GB2312" w:asciiTheme="minorEastAsia" w:hAnsiTheme="minorEastAsia" w:eastAsiaTheme="minorEastAsia"/>
          <w:b w:val="0"/>
          <w:bCs w:val="0"/>
          <w:color w:val="000000"/>
          <w:kern w:val="0"/>
          <w:sz w:val="32"/>
          <w:szCs w:val="32"/>
        </w:rPr>
      </w:pPr>
      <w:r>
        <w:rPr>
          <w:rFonts w:hint="eastAsia" w:ascii="仿宋_GB2312" w:hAnsi="仿宋_GB2312" w:eastAsia="仿宋_GB2312" w:cs="仿宋_GB2312"/>
          <w:b w:val="0"/>
          <w:bCs w:val="0"/>
          <w:color w:val="000000"/>
          <w:kern w:val="0"/>
          <w:sz w:val="32"/>
          <w:szCs w:val="32"/>
          <w:lang w:eastAsia="zh-CN"/>
        </w:rPr>
        <w:t>高碑店地区办事处</w:t>
      </w:r>
      <w:r>
        <w:rPr>
          <w:rFonts w:hint="eastAsia" w:ascii="仿宋_GB2312" w:hAnsi="仿宋_GB2312" w:eastAsia="仿宋_GB2312" w:cs="仿宋_GB2312"/>
          <w:b w:val="0"/>
          <w:bCs w:val="0"/>
          <w:color w:val="000000"/>
          <w:kern w:val="0"/>
          <w:sz w:val="32"/>
          <w:szCs w:val="32"/>
        </w:rPr>
        <w:t>财政</w:t>
      </w:r>
      <w:r>
        <w:rPr>
          <w:rFonts w:hint="eastAsia" w:ascii="仿宋_GB2312" w:hAnsi="仿宋_GB2312" w:eastAsia="仿宋_GB2312" w:cs="仿宋_GB2312"/>
          <w:b w:val="0"/>
          <w:bCs w:val="0"/>
          <w:color w:val="000000"/>
          <w:kern w:val="0"/>
          <w:sz w:val="32"/>
          <w:szCs w:val="32"/>
          <w:lang w:eastAsia="zh-CN"/>
        </w:rPr>
        <w:t>科</w:t>
      </w:r>
      <w:r>
        <w:rPr>
          <w:rFonts w:hint="eastAsia" w:ascii="仿宋_GB2312" w:hAnsi="仿宋_GB2312" w:eastAsia="仿宋_GB2312" w:cs="仿宋_GB2312"/>
          <w:b w:val="0"/>
          <w:bCs w:val="0"/>
          <w:color w:val="000000"/>
          <w:kern w:val="0"/>
          <w:sz w:val="32"/>
          <w:szCs w:val="32"/>
        </w:rPr>
        <w:t>收到2020年度义务兵优待金后，第一时间通知</w:t>
      </w:r>
      <w:r>
        <w:rPr>
          <w:rFonts w:hint="eastAsia" w:ascii="仿宋_GB2312" w:hAnsi="仿宋_GB2312" w:eastAsia="仿宋_GB2312" w:cs="仿宋_GB2312"/>
          <w:b w:val="0"/>
          <w:bCs w:val="0"/>
          <w:color w:val="000000"/>
          <w:kern w:val="0"/>
          <w:sz w:val="32"/>
          <w:szCs w:val="32"/>
          <w:lang w:eastAsia="zh-CN"/>
        </w:rPr>
        <w:t>社会事务管理科</w:t>
      </w:r>
      <w:r>
        <w:rPr>
          <w:rFonts w:hint="eastAsia" w:ascii="仿宋_GB2312" w:hAnsi="仿宋_GB2312" w:eastAsia="仿宋_GB2312" w:cs="仿宋_GB2312"/>
          <w:b w:val="0"/>
          <w:bCs w:val="0"/>
          <w:color w:val="000000"/>
          <w:kern w:val="0"/>
          <w:sz w:val="32"/>
          <w:szCs w:val="32"/>
        </w:rPr>
        <w:t>，由</w:t>
      </w:r>
      <w:r>
        <w:rPr>
          <w:rFonts w:hint="eastAsia" w:ascii="仿宋_GB2312" w:hAnsi="仿宋_GB2312" w:eastAsia="仿宋_GB2312" w:cs="仿宋_GB2312"/>
          <w:b w:val="0"/>
          <w:bCs w:val="0"/>
          <w:color w:val="000000"/>
          <w:kern w:val="0"/>
          <w:sz w:val="32"/>
          <w:szCs w:val="32"/>
          <w:lang w:eastAsia="zh-CN"/>
        </w:rPr>
        <w:t>社会事务管理科请示主管领导，并及时</w:t>
      </w:r>
      <w:r>
        <w:rPr>
          <w:rFonts w:hint="eastAsia" w:ascii="仿宋_GB2312" w:hAnsi="仿宋_GB2312" w:eastAsia="仿宋_GB2312" w:cs="仿宋_GB2312"/>
          <w:b w:val="0"/>
          <w:bCs w:val="0"/>
          <w:color w:val="000000"/>
          <w:kern w:val="0"/>
          <w:sz w:val="32"/>
          <w:szCs w:val="32"/>
        </w:rPr>
        <w:t>上会及审批手续，经</w:t>
      </w:r>
      <w:r>
        <w:rPr>
          <w:rFonts w:hint="eastAsia" w:ascii="仿宋_GB2312" w:hAnsi="仿宋_GB2312" w:eastAsia="仿宋_GB2312" w:cs="仿宋_GB2312"/>
          <w:b w:val="0"/>
          <w:bCs w:val="0"/>
          <w:color w:val="000000"/>
          <w:kern w:val="0"/>
          <w:sz w:val="32"/>
          <w:szCs w:val="32"/>
          <w:lang w:eastAsia="zh-CN"/>
        </w:rPr>
        <w:t>乡长办公会</w:t>
      </w:r>
      <w:r>
        <w:rPr>
          <w:rFonts w:hint="eastAsia" w:ascii="仿宋_GB2312" w:hAnsi="仿宋_GB2312" w:eastAsia="仿宋_GB2312" w:cs="仿宋_GB2312"/>
          <w:b w:val="0"/>
          <w:bCs w:val="0"/>
          <w:color w:val="000000"/>
          <w:kern w:val="0"/>
          <w:sz w:val="32"/>
          <w:szCs w:val="32"/>
        </w:rPr>
        <w:t>研究决定、逐级审批后由</w:t>
      </w:r>
      <w:r>
        <w:rPr>
          <w:rFonts w:hint="eastAsia" w:ascii="仿宋_GB2312" w:hAnsi="仿宋_GB2312" w:eastAsia="仿宋_GB2312" w:cs="仿宋_GB2312"/>
          <w:b w:val="0"/>
          <w:bCs w:val="0"/>
          <w:color w:val="000000"/>
          <w:kern w:val="0"/>
          <w:sz w:val="32"/>
          <w:szCs w:val="32"/>
          <w:lang w:eastAsia="zh-CN"/>
        </w:rPr>
        <w:t>乡</w:t>
      </w:r>
      <w:r>
        <w:rPr>
          <w:rFonts w:hint="eastAsia" w:ascii="仿宋_GB2312" w:hAnsi="仿宋_GB2312" w:eastAsia="仿宋_GB2312" w:cs="仿宋_GB2312"/>
          <w:b w:val="0"/>
          <w:bCs w:val="0"/>
          <w:color w:val="000000"/>
          <w:kern w:val="0"/>
          <w:sz w:val="32"/>
          <w:szCs w:val="32"/>
        </w:rPr>
        <w:t>财政通过转账发放至义务兵个人账户。</w:t>
      </w:r>
    </w:p>
    <w:p>
      <w:pPr>
        <w:spacing w:line="600" w:lineRule="exact"/>
        <w:ind w:firstLine="643" w:firstLineChars="20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（三）项目产出情况。</w:t>
      </w:r>
    </w:p>
    <w:p>
      <w:pPr>
        <w:spacing w:line="600" w:lineRule="exact"/>
        <w:ind w:firstLine="640" w:firstLineChars="20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严格按照区退役军人事务局的要求，于“八一”之前及时足额发放完毕。</w:t>
      </w:r>
    </w:p>
    <w:p>
      <w:pPr>
        <w:spacing w:line="600" w:lineRule="exact"/>
        <w:ind w:firstLine="482" w:firstLineChars="150"/>
        <w:outlineLvl w:val="0"/>
        <w:rPr>
          <w:rFonts w:hint="eastAsia" w:ascii="仿宋_GB2312" w:hAnsi="仿宋_GB2312" w:eastAsia="仿宋_GB2312" w:cs="仿宋_GB2312"/>
          <w:bCs w:val="0"/>
          <w:color w:val="000000"/>
          <w:kern w:val="0"/>
          <w:sz w:val="32"/>
          <w:szCs w:val="32"/>
        </w:rPr>
      </w:pPr>
      <w:r>
        <w:rPr>
          <w:rFonts w:hint="eastAsia" w:ascii="仿宋_GB2312" w:hAnsi="仿宋_GB2312" w:eastAsia="仿宋_GB2312" w:cs="仿宋_GB2312"/>
          <w:bCs w:val="0"/>
          <w:color w:val="000000"/>
          <w:kern w:val="0"/>
          <w:sz w:val="32"/>
          <w:szCs w:val="32"/>
        </w:rPr>
        <w:t>（四）项目效益情况。</w:t>
      </w:r>
    </w:p>
    <w:p>
      <w:pPr>
        <w:spacing w:line="600" w:lineRule="exact"/>
        <w:ind w:firstLine="480" w:firstLineChars="15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本资金专款专用、无挤占挪用，按时足额发放，为义务兵家庭提供了部分生活补助，充分调动了适龄青年当兵入伍的积极性，增强了现役军人凝聚力和战斗力。</w:t>
      </w:r>
    </w:p>
    <w:p>
      <w:pPr>
        <w:spacing w:line="600" w:lineRule="exact"/>
        <w:ind w:firstLine="640" w:firstLineChars="200"/>
        <w:rPr>
          <w:rFonts w:hint="eastAsia" w:ascii="黑体" w:hAnsi="黑体" w:eastAsia="黑体" w:cs="黑体"/>
          <w:b w:val="0"/>
          <w:color w:val="000000"/>
          <w:kern w:val="0"/>
          <w:sz w:val="32"/>
          <w:szCs w:val="32"/>
        </w:rPr>
      </w:pPr>
      <w:r>
        <w:rPr>
          <w:rFonts w:hint="eastAsia" w:ascii="黑体" w:hAnsi="黑体" w:eastAsia="黑体" w:cs="黑体"/>
          <w:b w:val="0"/>
          <w:color w:val="000000"/>
          <w:kern w:val="0"/>
          <w:sz w:val="32"/>
          <w:szCs w:val="32"/>
        </w:rPr>
        <w:t>五、主要经验及做法、存在的问题及原因分析</w:t>
      </w:r>
    </w:p>
    <w:p>
      <w:pPr>
        <w:spacing w:line="600" w:lineRule="exact"/>
        <w:ind w:firstLine="480" w:firstLineChars="150"/>
        <w:outlineLvl w:val="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严格制定及执行财务制度，严格审批制度，按时足额发放。</w:t>
      </w:r>
    </w:p>
    <w:p>
      <w:pPr>
        <w:spacing w:line="600" w:lineRule="exact"/>
        <w:ind w:firstLine="640" w:firstLineChars="200"/>
        <w:rPr>
          <w:rFonts w:hint="eastAsia" w:ascii="黑体" w:hAnsi="黑体" w:eastAsia="黑体" w:cs="黑体"/>
          <w:b w:val="0"/>
          <w:color w:val="000000"/>
          <w:kern w:val="0"/>
          <w:sz w:val="32"/>
          <w:szCs w:val="32"/>
        </w:rPr>
      </w:pPr>
      <w:r>
        <w:rPr>
          <w:rFonts w:hint="eastAsia" w:ascii="黑体" w:hAnsi="黑体" w:eastAsia="黑体" w:cs="黑体"/>
          <w:b w:val="0"/>
          <w:color w:val="000000"/>
          <w:kern w:val="0"/>
          <w:sz w:val="32"/>
          <w:szCs w:val="32"/>
        </w:rPr>
        <w:t>六、有关建议</w:t>
      </w:r>
    </w:p>
    <w:p>
      <w:pPr>
        <w:spacing w:line="600" w:lineRule="exact"/>
        <w:ind w:firstLine="640" w:firstLineChars="20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无</w:t>
      </w:r>
    </w:p>
    <w:p>
      <w:pPr>
        <w:spacing w:line="600" w:lineRule="exact"/>
        <w:ind w:firstLine="640" w:firstLineChars="200"/>
        <w:rPr>
          <w:rFonts w:hint="eastAsia" w:ascii="黑体" w:hAnsi="黑体" w:eastAsia="黑体" w:cs="黑体"/>
          <w:b w:val="0"/>
          <w:color w:val="000000"/>
          <w:kern w:val="0"/>
          <w:sz w:val="32"/>
          <w:szCs w:val="32"/>
        </w:rPr>
      </w:pPr>
      <w:r>
        <w:rPr>
          <w:rFonts w:hint="eastAsia" w:ascii="黑体" w:hAnsi="黑体" w:eastAsia="黑体" w:cs="黑体"/>
          <w:b w:val="0"/>
          <w:color w:val="000000"/>
          <w:kern w:val="0"/>
          <w:sz w:val="32"/>
          <w:szCs w:val="32"/>
        </w:rPr>
        <w:t>七、其他需要说明的问题</w:t>
      </w:r>
    </w:p>
    <w:p>
      <w:pPr>
        <w:spacing w:line="600" w:lineRule="exact"/>
        <w:ind w:firstLine="640" w:firstLineChars="200"/>
        <w:rPr>
          <w:rFonts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无</w:t>
      </w:r>
    </w:p>
    <w:p>
      <w:pPr>
        <w:spacing w:line="600" w:lineRule="exact"/>
        <w:ind w:firstLine="640" w:firstLineChars="200"/>
        <w:rPr>
          <w:rFonts w:ascii="黑体" w:hAnsi="黑体" w:eastAsia="黑体" w:cs="黑体"/>
          <w:b w:val="0"/>
          <w:color w:val="000000"/>
          <w:kern w:val="0"/>
          <w:sz w:val="32"/>
          <w:szCs w:val="32"/>
        </w:rPr>
      </w:pPr>
      <w:r>
        <w:rPr>
          <w:rFonts w:hint="eastAsia" w:ascii="黑体" w:hAnsi="黑体" w:eastAsia="黑体" w:cs="黑体"/>
          <w:b w:val="0"/>
          <w:color w:val="000000"/>
          <w:kern w:val="0"/>
          <w:sz w:val="32"/>
          <w:szCs w:val="32"/>
        </w:rPr>
        <w:t>八、项目支出绩效评价评分表</w:t>
      </w:r>
    </w:p>
    <w:p>
      <w:pPr>
        <w:spacing w:line="360" w:lineRule="auto"/>
        <w:rPr>
          <w:b w:val="0"/>
          <w:bCs w:val="0"/>
          <w:color w:val="FF0000"/>
          <w:szCs w:val="24"/>
        </w:rPr>
      </w:pPr>
      <w:r>
        <w:rPr>
          <w:rFonts w:hint="eastAsia" w:ascii="仿宋_GB2312" w:hAnsi="仿宋_GB2312" w:eastAsia="仿宋_GB2312" w:cs="仿宋_GB2312"/>
          <w:b w:val="0"/>
          <w:bCs w:val="0"/>
          <w:sz w:val="32"/>
          <w:szCs w:val="32"/>
        </w:rPr>
        <w:t xml:space="preserve">  </w:t>
      </w:r>
      <w:r>
        <w:rPr>
          <w:rFonts w:hint="eastAsia"/>
          <w:b w:val="0"/>
          <w:bCs w:val="0"/>
          <w:color w:val="FF0000"/>
          <w:szCs w:val="24"/>
        </w:rPr>
        <w:t>注：实际填报时，应按照中央、北京市相关工作要求据实填报。</w:t>
      </w:r>
    </w:p>
    <w:p>
      <w:pPr>
        <w:widowControl/>
        <w:jc w:val="center"/>
        <w:rPr>
          <w:b w:val="0"/>
          <w:bCs w:val="0"/>
          <w:color w:val="FF0000"/>
          <w:szCs w:val="24"/>
        </w:rPr>
      </w:pPr>
      <w:r>
        <w:rPr>
          <w:b w:val="0"/>
          <w:bCs w:val="0"/>
          <w:color w:val="FF0000"/>
          <w:szCs w:val="24"/>
        </w:rPr>
        <w:br w:type="page"/>
      </w:r>
      <w:r>
        <w:rPr>
          <w:rFonts w:hint="eastAsia" w:ascii="宋体" w:hAnsi="宋体" w:cs="宋体"/>
          <w:color w:val="000000"/>
          <w:kern w:val="0"/>
          <w:sz w:val="36"/>
          <w:szCs w:val="36"/>
        </w:rPr>
        <w:t>项目支出绩效评价评分表</w:t>
      </w:r>
    </w:p>
    <w:tbl>
      <w:tblPr>
        <w:tblStyle w:val="3"/>
        <w:tblW w:w="9259" w:type="dxa"/>
        <w:tblInd w:w="118" w:type="dxa"/>
        <w:tblLayout w:type="fixed"/>
        <w:tblCellMar>
          <w:top w:w="0" w:type="dxa"/>
          <w:left w:w="108" w:type="dxa"/>
          <w:bottom w:w="0" w:type="dxa"/>
          <w:right w:w="108" w:type="dxa"/>
        </w:tblCellMar>
      </w:tblPr>
      <w:tblGrid>
        <w:gridCol w:w="719"/>
        <w:gridCol w:w="700"/>
        <w:gridCol w:w="720"/>
        <w:gridCol w:w="720"/>
        <w:gridCol w:w="700"/>
        <w:gridCol w:w="3200"/>
        <w:gridCol w:w="900"/>
        <w:gridCol w:w="1600"/>
      </w:tblGrid>
      <w:tr>
        <w:tblPrEx>
          <w:tblLayout w:type="fixed"/>
          <w:tblCellMar>
            <w:top w:w="0" w:type="dxa"/>
            <w:left w:w="108" w:type="dxa"/>
            <w:bottom w:w="0" w:type="dxa"/>
            <w:right w:w="108" w:type="dxa"/>
          </w:tblCellMar>
        </w:tblPrEx>
        <w:trPr>
          <w:trHeight w:val="612" w:hRule="atLeast"/>
        </w:trPr>
        <w:tc>
          <w:tcPr>
            <w:tcW w:w="71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一级指标</w:t>
            </w:r>
          </w:p>
        </w:tc>
        <w:tc>
          <w:tcPr>
            <w:tcW w:w="7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二级指标</w:t>
            </w:r>
          </w:p>
        </w:tc>
        <w:tc>
          <w:tcPr>
            <w:tcW w:w="7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分值</w:t>
            </w:r>
          </w:p>
        </w:tc>
        <w:tc>
          <w:tcPr>
            <w:tcW w:w="7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三级指标</w:t>
            </w:r>
          </w:p>
        </w:tc>
        <w:tc>
          <w:tcPr>
            <w:tcW w:w="7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分值</w:t>
            </w:r>
          </w:p>
        </w:tc>
        <w:tc>
          <w:tcPr>
            <w:tcW w:w="32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指标解释</w:t>
            </w:r>
          </w:p>
        </w:tc>
        <w:tc>
          <w:tcPr>
            <w:tcW w:w="9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得分</w:t>
            </w:r>
          </w:p>
        </w:tc>
        <w:tc>
          <w:tcPr>
            <w:tcW w:w="16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4"/>
              </w:rPr>
            </w:pPr>
            <w:r>
              <w:rPr>
                <w:rFonts w:hint="eastAsia" w:ascii="宋体" w:hAnsi="宋体" w:cs="宋体"/>
                <w:color w:val="000000"/>
                <w:kern w:val="0"/>
                <w:sz w:val="22"/>
                <w:szCs w:val="24"/>
              </w:rPr>
              <w:t>扣分理由</w:t>
            </w:r>
          </w:p>
        </w:tc>
      </w:tr>
      <w:tr>
        <w:tblPrEx>
          <w:tblLayout w:type="fixed"/>
          <w:tblCellMar>
            <w:top w:w="0" w:type="dxa"/>
            <w:left w:w="108" w:type="dxa"/>
            <w:bottom w:w="0" w:type="dxa"/>
            <w:right w:w="108" w:type="dxa"/>
          </w:tblCellMar>
        </w:tblPrEx>
        <w:trPr>
          <w:trHeight w:val="540" w:hRule="atLeast"/>
        </w:trPr>
        <w:tc>
          <w:tcPr>
            <w:tcW w:w="7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决策</w:t>
            </w:r>
          </w:p>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(15分)　</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项目立项　</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立项依据充分性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3</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项目立项是否符合法律法规、相关政策、发展规划以及部门职责，用以反映和考核项目立项依据情况。</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3</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32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312"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612"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32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372"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立项程序规范性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项目申请、设立过程是否符合相关要求，用以反映和考核项目立项的规范情况。</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2</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32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534"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1661"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绩效目标　</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72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绩效目标合理性</w:t>
            </w:r>
          </w:p>
        </w:tc>
        <w:tc>
          <w:tcPr>
            <w:tcW w:w="700"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3</w:t>
            </w:r>
          </w:p>
        </w:tc>
        <w:tc>
          <w:tcPr>
            <w:tcW w:w="32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项目所设定的绩效目标是否依据充分，是否符合客观实际，用以反映和考核项目绩效目标与项目实施的相符情况。</w:t>
            </w:r>
          </w:p>
        </w:tc>
        <w:tc>
          <w:tcPr>
            <w:tcW w:w="900" w:type="dxa"/>
            <w:tcBorders>
              <w:top w:val="nil"/>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3</w:t>
            </w:r>
          </w:p>
        </w:tc>
        <w:tc>
          <w:tcPr>
            <w:tcW w:w="16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1357"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绩效指标明确性</w:t>
            </w:r>
          </w:p>
        </w:tc>
        <w:tc>
          <w:tcPr>
            <w:tcW w:w="700"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w:t>
            </w:r>
          </w:p>
        </w:tc>
        <w:tc>
          <w:tcPr>
            <w:tcW w:w="32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依据绩效目标设定的绩效指标是否清晰、细化、可衡量等，用以反映和考核项目绩效目标的明细化情况。</w:t>
            </w:r>
          </w:p>
        </w:tc>
        <w:tc>
          <w:tcPr>
            <w:tcW w:w="9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firstLine="360" w:firstLineChars="200"/>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w:t>
            </w:r>
          </w:p>
        </w:tc>
        <w:tc>
          <w:tcPr>
            <w:tcW w:w="16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资金投入</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预算编制科学性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3</w:t>
            </w:r>
          </w:p>
        </w:tc>
        <w:tc>
          <w:tcPr>
            <w:tcW w:w="32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项目预算编制是否经过科学论证、有明确标准，资金额度与年度目标是否相适应，用以反映和考核项目预算编制的科学性、合理性情况。</w:t>
            </w:r>
          </w:p>
        </w:tc>
        <w:tc>
          <w:tcPr>
            <w:tcW w:w="9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3</w:t>
            </w:r>
          </w:p>
        </w:tc>
        <w:tc>
          <w:tcPr>
            <w:tcW w:w="160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69"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50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资金分配合理性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w:t>
            </w:r>
          </w:p>
        </w:tc>
        <w:tc>
          <w:tcPr>
            <w:tcW w:w="32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项目预算资金分配是否有测算依据，与补助单位或地方实际是否相适应，用以反映和考核项目预算资金分配的科学性、合理性情况。</w:t>
            </w:r>
          </w:p>
        </w:tc>
        <w:tc>
          <w:tcPr>
            <w:tcW w:w="90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2</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89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528" w:hRule="atLeast"/>
        </w:trPr>
        <w:tc>
          <w:tcPr>
            <w:tcW w:w="7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过程</w:t>
            </w:r>
          </w:p>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（30分）</w:t>
            </w:r>
          </w:p>
        </w:tc>
        <w:tc>
          <w:tcPr>
            <w:tcW w:w="700" w:type="dxa"/>
            <w:vMerge w:val="restart"/>
            <w:tcBorders>
              <w:top w:val="nil"/>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资金管理</w:t>
            </w:r>
          </w:p>
        </w:tc>
        <w:tc>
          <w:tcPr>
            <w:tcW w:w="720" w:type="dxa"/>
            <w:vMerge w:val="restart"/>
            <w:tcBorders>
              <w:top w:val="nil"/>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15</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资金到位率</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实际到位资金与预算资金的比率，用以反映和考核资金落实情况对项目实施的总体保障程度。</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612"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709"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28"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预算执行率</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项目预算资金是否按照计划执行，用以反映或考核项目预算执行情况。</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424"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68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p>
        </w:tc>
        <w:tc>
          <w:tcPr>
            <w:tcW w:w="7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资金使用合规性</w:t>
            </w:r>
          </w:p>
        </w:tc>
        <w:tc>
          <w:tcPr>
            <w:tcW w:w="7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w:t>
            </w:r>
          </w:p>
        </w:tc>
        <w:tc>
          <w:tcPr>
            <w:tcW w:w="32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项目资金使用是否符合相关的财务管理制度规定，用以反映和考核项目资金的规范运行情况。</w:t>
            </w:r>
          </w:p>
        </w:tc>
        <w:tc>
          <w:tcPr>
            <w:tcW w:w="9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16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组织实施</w:t>
            </w:r>
          </w:p>
        </w:tc>
        <w:tc>
          <w:tcPr>
            <w:tcW w:w="720" w:type="dxa"/>
            <w:vMerge w:val="restart"/>
            <w:tcBorders>
              <w:top w:val="nil"/>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15　</w:t>
            </w:r>
          </w:p>
        </w:tc>
        <w:tc>
          <w:tcPr>
            <w:tcW w:w="7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管理制度健全性</w:t>
            </w:r>
          </w:p>
        </w:tc>
        <w:tc>
          <w:tcPr>
            <w:tcW w:w="70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　</w:t>
            </w:r>
          </w:p>
        </w:tc>
        <w:tc>
          <w:tcPr>
            <w:tcW w:w="32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项目实施单位的财务和业务管理制度是否健全，用以反映和考核财务和业务管理制度对项目顺利实施的保障情况。</w:t>
            </w:r>
          </w:p>
        </w:tc>
        <w:tc>
          <w:tcPr>
            <w:tcW w:w="90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1600"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610"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制度执行有效性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10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项目实施是否符合相关管理规定，用以反映和考核相关管理制度的有效执行情况。</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10</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32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18"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345"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43" w:hRule="atLeast"/>
        </w:trPr>
        <w:tc>
          <w:tcPr>
            <w:tcW w:w="7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产出</w:t>
            </w:r>
          </w:p>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（30分）</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产出数量</w:t>
            </w:r>
          </w:p>
        </w:tc>
        <w:tc>
          <w:tcPr>
            <w:tcW w:w="72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10</w:t>
            </w:r>
          </w:p>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实际完成率</w:t>
            </w:r>
          </w:p>
        </w:tc>
        <w:tc>
          <w:tcPr>
            <w:tcW w:w="70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10</w:t>
            </w:r>
          </w:p>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项目实施的实际产出数与计划产出数的比率，用以反映和考核项目产出数量目标的实现程度。</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10</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563"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312"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399"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restar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产出质量</w:t>
            </w:r>
          </w:p>
        </w:tc>
        <w:tc>
          <w:tcPr>
            <w:tcW w:w="72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10</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质量达标率</w:t>
            </w:r>
          </w:p>
        </w:tc>
        <w:tc>
          <w:tcPr>
            <w:tcW w:w="70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10</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项目完成的质量达标产出数与实际产出数的比率，用以反映和考核项目产出质量目标的实现程度。</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xml:space="preserve">  10</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1185"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468"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restar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产出时效</w:t>
            </w:r>
          </w:p>
        </w:tc>
        <w:tc>
          <w:tcPr>
            <w:tcW w:w="72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完成及时性</w:t>
            </w:r>
          </w:p>
        </w:tc>
        <w:tc>
          <w:tcPr>
            <w:tcW w:w="70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项目实际完成时间与计划完成时间的比较，用以反映和考核项目产出时效目标的实现程度。</w:t>
            </w:r>
          </w:p>
        </w:tc>
        <w:tc>
          <w:tcPr>
            <w:tcW w:w="900" w:type="dxa"/>
            <w:vMerge w:val="restart"/>
            <w:tcBorders>
              <w:top w:val="nil"/>
              <w:left w:val="nil"/>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16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345"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900" w:type="dxa"/>
            <w:vMerge w:val="continue"/>
            <w:tcBorders>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val="0"/>
                <w:bCs w:val="0"/>
                <w:color w:val="000000"/>
                <w:kern w:val="0"/>
                <w:sz w:val="18"/>
                <w:szCs w:val="18"/>
              </w:rPr>
            </w:pPr>
          </w:p>
        </w:tc>
      </w:tr>
      <w:tr>
        <w:tblPrEx>
          <w:tblLayout w:type="fixed"/>
          <w:tblCellMar>
            <w:top w:w="0" w:type="dxa"/>
            <w:left w:w="108" w:type="dxa"/>
            <w:bottom w:w="0" w:type="dxa"/>
            <w:right w:w="108" w:type="dxa"/>
          </w:tblCellMar>
        </w:tblPrEx>
        <w:trPr>
          <w:trHeight w:val="1606" w:hRule="atLeast"/>
        </w:trPr>
        <w:tc>
          <w:tcPr>
            <w:tcW w:w="71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产出成本</w:t>
            </w:r>
          </w:p>
        </w:tc>
        <w:tc>
          <w:tcPr>
            <w:tcW w:w="72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c>
          <w:tcPr>
            <w:tcW w:w="72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成本节约率</w:t>
            </w:r>
          </w:p>
        </w:tc>
        <w:tc>
          <w:tcPr>
            <w:tcW w:w="700" w:type="dxa"/>
            <w:tcBorders>
              <w:top w:val="nil"/>
              <w:left w:val="single" w:color="auto" w:sz="4" w:space="0"/>
              <w:bottom w:val="single" w:color="auto" w:sz="4" w:space="0"/>
              <w:right w:val="nil"/>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　</w:t>
            </w:r>
          </w:p>
        </w:tc>
        <w:tc>
          <w:tcPr>
            <w:tcW w:w="32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完成项目计划工作目标的实际节约成本与计划成本的比率，用以反映和考核项目的成本节约程度。</w:t>
            </w:r>
          </w:p>
        </w:tc>
        <w:tc>
          <w:tcPr>
            <w:tcW w:w="90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xml:space="preserve"> 5</w:t>
            </w:r>
          </w:p>
        </w:tc>
        <w:tc>
          <w:tcPr>
            <w:tcW w:w="1600"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583" w:hRule="atLeast"/>
        </w:trPr>
        <w:tc>
          <w:tcPr>
            <w:tcW w:w="719" w:type="dxa"/>
            <w:vMerge w:val="restart"/>
            <w:tcBorders>
              <w:top w:val="nil"/>
              <w:left w:val="single" w:color="000000" w:sz="8" w:space="0"/>
              <w:bottom w:val="single" w:color="auto" w:sz="4" w:space="0"/>
              <w:right w:val="nil"/>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效益</w:t>
            </w:r>
          </w:p>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（25分）　</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项目效益　</w:t>
            </w:r>
          </w:p>
        </w:tc>
        <w:tc>
          <w:tcPr>
            <w:tcW w:w="720" w:type="dxa"/>
            <w:vMerge w:val="restar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25　</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实施效益</w:t>
            </w:r>
          </w:p>
        </w:tc>
        <w:tc>
          <w:tcPr>
            <w:tcW w:w="7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20　</w:t>
            </w:r>
          </w:p>
        </w:tc>
        <w:tc>
          <w:tcPr>
            <w:tcW w:w="320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项目实施所产生的效益。</w:t>
            </w:r>
          </w:p>
        </w:tc>
        <w:tc>
          <w:tcPr>
            <w:tcW w:w="9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20</w:t>
            </w:r>
          </w:p>
        </w:tc>
        <w:tc>
          <w:tcPr>
            <w:tcW w:w="16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624" w:hRule="atLeast"/>
        </w:trPr>
        <w:tc>
          <w:tcPr>
            <w:tcW w:w="719" w:type="dxa"/>
            <w:vMerge w:val="continue"/>
            <w:tcBorders>
              <w:top w:val="single" w:color="auto" w:sz="4" w:space="0"/>
              <w:left w:val="single" w:color="auto" w:sz="4" w:space="0"/>
              <w:bottom w:val="single" w:color="auto" w:sz="4" w:space="0"/>
              <w:right w:val="nil"/>
            </w:tcBorders>
            <w:shd w:val="clear" w:color="auto" w:fill="auto"/>
            <w:vAlign w:val="center"/>
          </w:tcPr>
          <w:p>
            <w:pPr>
              <w:widowControl/>
              <w:jc w:val="left"/>
              <w:rPr>
                <w:rFonts w:ascii="宋体" w:hAnsi="宋体" w:cs="宋体"/>
                <w:b w:val="0"/>
                <w:bCs w:val="0"/>
                <w:color w:val="000000"/>
                <w:kern w:val="0"/>
                <w:sz w:val="18"/>
                <w:szCs w:val="18"/>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val="0"/>
                <w:bCs w:val="0"/>
                <w:color w:val="000000"/>
                <w:kern w:val="0"/>
                <w:sz w:val="18"/>
                <w:szCs w:val="18"/>
              </w:rPr>
            </w:pPr>
          </w:p>
        </w:tc>
        <w:tc>
          <w:tcPr>
            <w:tcW w:w="720" w:type="dxa"/>
            <w:vMerge w:val="continue"/>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p>
        </w:tc>
        <w:tc>
          <w:tcPr>
            <w:tcW w:w="7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满意度</w:t>
            </w:r>
          </w:p>
        </w:tc>
        <w:tc>
          <w:tcPr>
            <w:tcW w:w="7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5　</w:t>
            </w:r>
          </w:p>
        </w:tc>
        <w:tc>
          <w:tcPr>
            <w:tcW w:w="3200"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社会公众或服务对象对项目实施效果的满意程度。</w:t>
            </w:r>
          </w:p>
        </w:tc>
        <w:tc>
          <w:tcPr>
            <w:tcW w:w="9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5</w:t>
            </w:r>
          </w:p>
        </w:tc>
        <w:tc>
          <w:tcPr>
            <w:tcW w:w="16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　</w:t>
            </w:r>
          </w:p>
        </w:tc>
      </w:tr>
      <w:tr>
        <w:tblPrEx>
          <w:tblLayout w:type="fixed"/>
          <w:tblCellMar>
            <w:top w:w="0" w:type="dxa"/>
            <w:left w:w="108" w:type="dxa"/>
            <w:bottom w:w="0" w:type="dxa"/>
            <w:right w:w="108" w:type="dxa"/>
          </w:tblCellMar>
        </w:tblPrEx>
        <w:trPr>
          <w:trHeight w:val="624" w:hRule="atLeast"/>
        </w:trPr>
        <w:tc>
          <w:tcPr>
            <w:tcW w:w="67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合计（100分）</w:t>
            </w:r>
          </w:p>
        </w:tc>
        <w:tc>
          <w:tcPr>
            <w:tcW w:w="250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val="0"/>
                <w:bCs w:val="0"/>
                <w:color w:val="000000"/>
                <w:kern w:val="0"/>
                <w:sz w:val="18"/>
                <w:szCs w:val="18"/>
              </w:rPr>
            </w:pPr>
            <w:r>
              <w:rPr>
                <w:rFonts w:hint="eastAsia" w:ascii="宋体" w:hAnsi="宋体" w:cs="宋体"/>
                <w:b w:val="0"/>
                <w:bCs w:val="0"/>
                <w:color w:val="000000"/>
                <w:kern w:val="0"/>
                <w:sz w:val="18"/>
                <w:szCs w:val="18"/>
              </w:rPr>
              <w:t>100</w:t>
            </w:r>
          </w:p>
        </w:tc>
      </w:tr>
    </w:tbl>
    <w:p>
      <w:pPr>
        <w:spacing w:line="360" w:lineRule="auto"/>
        <w:rPr>
          <w:b w:val="0"/>
          <w:bCs w:val="0"/>
          <w:szCs w:val="24"/>
        </w:rPr>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roma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cript"/>
    <w:pitch w:val="default"/>
    <w:sig w:usb0="FFFFFFFF" w:usb1="E9FFFFFF" w:usb2="0000003F" w:usb3="00000000" w:csb0="603F01FF" w:csb1="FFFF0000"/>
  </w:font>
  <w:font w:name="黑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F07ADD"/>
    <w:rsid w:val="74F07AD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2021-08-16T06:28:00Z</dcterms:created>
  <dc:creator>Administrator</dc:creator>
  <cp:lastModifiedBy>Administrator</cp:lastModifiedBy>
  <dcterms:modified xsi:type="dcterms:W3CDTF">2021-08-16T06:30:15Z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