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A7984">
      <w:pPr>
        <w:spacing w:line="560" w:lineRule="exact"/>
        <w:jc w:val="center"/>
        <w:rPr>
          <w:rFonts w:ascii="黑体" w:eastAsia="黑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朝阳</w:t>
      </w:r>
      <w:r>
        <w:rPr>
          <w:rFonts w:ascii="方正小标宋简体" w:eastAsia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道路停车费行政处罚</w:t>
      </w:r>
      <w:r>
        <w:rPr>
          <w:rFonts w:ascii="方正小标宋简体" w:eastAsia="方正小标宋简体"/>
          <w:b w:val="0"/>
          <w:bCs w:val="0"/>
          <w:sz w:val="36"/>
          <w:szCs w:val="36"/>
        </w:rPr>
        <w:t>裁量标准</w:t>
      </w:r>
    </w:p>
    <w:bookmarkEnd w:id="0"/>
    <w:p w14:paraId="4DBC0024">
      <w:pPr>
        <w:pStyle w:val="7"/>
        <w:spacing w:before="0" w:beforeAutospacing="0" w:after="0" w:afterAutospacing="0"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BB85E23">
      <w:pPr>
        <w:pStyle w:val="7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依据修改后的《北京市机动车停车条例》第四十一条规定，对欠费行为按以下标准实施行政处罚：</w:t>
      </w:r>
    </w:p>
    <w:p w14:paraId="53863D59">
      <w:pPr>
        <w:pStyle w:val="7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一个自然月内，同一车辆在同一行政区累计欠费金额300元（含）以下的，处100元罚款；累计欠费金额300元以上500元（含）以下的，处300元罚款；累计欠费金额500元以上800元（含）以下的，处500元罚款；累计欠费金额800元以上的，处800元罚款。</w:t>
      </w:r>
    </w:p>
    <w:p w14:paraId="5ACB2AF7">
      <w:pPr>
        <w:pStyle w:val="7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按照《中华人民共和国行政处罚法》第六条和第三十三条第一款的规定，各区停车管理部门对在一个自然月内，同一车辆在同一行政区累计欠费金额在50元及以下的轻微违法行为，补缴欠费后不予行政处罚。</w:t>
      </w:r>
    </w:p>
    <w:p w14:paraId="041A817F"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在本市各区发生的欠费行为按行政区单独计算，同一车辆在多个区产生欠费行为的，由欠费行为发生地所在区的停车管理部门分别进行催缴和处罚。</w:t>
      </w:r>
    </w:p>
    <w:p w14:paraId="2304AC44">
      <w:pPr>
        <w:rPr>
          <w:rFonts w:ascii="仿宋_GB2312" w:eastAsia="仿宋_GB2312"/>
          <w:kern w:val="0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DA6C61"/>
    <w:rsid w:val="00386BD4"/>
    <w:rsid w:val="00DA6C61"/>
    <w:rsid w:val="00E9328E"/>
    <w:rsid w:val="00FD5628"/>
    <w:rsid w:val="078F74C7"/>
    <w:rsid w:val="19A81965"/>
    <w:rsid w:val="FFFD7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343</Characters>
  <Lines>2</Lines>
  <Paragraphs>1</Paragraphs>
  <TotalTime>6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2022-10-24T11:24:00Z</dcterms:created>
  <dc:creator>user</dc:creator>
  <cp:lastModifiedBy>WPS_1698897759</cp:lastModifiedBy>
  <dcterms:modified xsi:type="dcterms:W3CDTF">2025-03-14T01:35:38Z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eyJoZGlkIjoiOWUxODMwNzBkYzJlNzBiZjJiMjhmYzM0YTgxMDcxMDciLCJ1c2VySWQiOiIxNTU1MzIxNTQyIn0=</vt:lpwstr>
  </property>
  <property fmtid="{D5CDD505-2E9C-101B-9397-08002B2CF9AE}" pid="4" name="ICV">
    <vt:lpwstr>B181014C47854A989F28D00D5DB1BB5A_12</vt:lpwstr>
  </property>
</Properties>
</file>