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95" w:rsidRDefault="00AE3495" w:rsidP="00DF14EE">
      <w:pPr>
        <w:spacing w:afterLines="100"/>
        <w:jc w:val="center"/>
        <w:rPr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</w:t>
      </w:r>
      <w:r w:rsidR="0053632D">
        <w:rPr>
          <w:rFonts w:hint="eastAsia"/>
          <w:b/>
          <w:sz w:val="36"/>
          <w:szCs w:val="36"/>
          <w:lang w:eastAsia="zh-CN"/>
        </w:rPr>
        <w:t>6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eastAsia="zh-CN"/>
        </w:rPr>
        <w:t>1-</w:t>
      </w:r>
      <w:r w:rsidR="0053632D">
        <w:rPr>
          <w:rFonts w:hint="eastAsia"/>
          <w:b/>
          <w:sz w:val="36"/>
          <w:szCs w:val="36"/>
          <w:lang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b/>
          <w:sz w:val="36"/>
          <w:szCs w:val="36"/>
          <w:lang w:eastAsia="zh-CN"/>
        </w:rPr>
        <w:t>规模以上文化</w:t>
      </w:r>
      <w:r w:rsidR="0053632D">
        <w:rPr>
          <w:rFonts w:hint="eastAsia"/>
          <w:b/>
          <w:sz w:val="36"/>
          <w:szCs w:val="36"/>
          <w:lang w:eastAsia="zh-CN"/>
        </w:rPr>
        <w:t>产业企业</w:t>
      </w:r>
      <w:r>
        <w:rPr>
          <w:rFonts w:hint="eastAsia"/>
          <w:b/>
          <w:sz w:val="36"/>
          <w:szCs w:val="36"/>
          <w:lang w:eastAsia="zh-CN"/>
        </w:rPr>
        <w:t>情况</w:t>
      </w:r>
    </w:p>
    <w:tbl>
      <w:tblPr>
        <w:tblW w:w="9444" w:type="dxa"/>
        <w:jc w:val="center"/>
        <w:tblLayout w:type="fixed"/>
        <w:tblLook w:val="0000"/>
      </w:tblPr>
      <w:tblGrid>
        <w:gridCol w:w="3491"/>
        <w:gridCol w:w="1664"/>
        <w:gridCol w:w="1313"/>
        <w:gridCol w:w="1701"/>
        <w:gridCol w:w="1275"/>
      </w:tblGrid>
      <w:tr w:rsidR="00AE3495" w:rsidTr="00052087">
        <w:trPr>
          <w:trHeight w:val="285"/>
          <w:jc w:val="center"/>
        </w:trPr>
        <w:tc>
          <w:tcPr>
            <w:tcW w:w="34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项   目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B800E4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营业收入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495" w:rsidRDefault="00DF14EE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从业人员平均人数</w:t>
            </w:r>
          </w:p>
        </w:tc>
      </w:tr>
      <w:tr w:rsidR="00AE3495" w:rsidTr="00052087">
        <w:trPr>
          <w:trHeight w:val="285"/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（亿元）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总量（人）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合  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905.3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-2.8 </w:t>
            </w:r>
          </w:p>
        </w:tc>
      </w:tr>
      <w:tr w:rsidR="00A12088" w:rsidTr="00181696">
        <w:trPr>
          <w:trHeight w:val="534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文化核心领域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681.4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-2.7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新闻信息服务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54.9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0.3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内容创作生产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173.3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-0.6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-2.1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创意设计服务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375.9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-3.8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文化传播渠道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68.2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-11.4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-7.7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文化投资运营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6.0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-9.8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10.3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文化娱乐休闲服务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-11.4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-0.3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文化相关领域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223.8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-3.2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文化辅助生产和中介服务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89.0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-10.5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-4.9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文化装备生产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-23.2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-4.5 </w:t>
            </w:r>
          </w:p>
        </w:tc>
      </w:tr>
      <w:tr w:rsidR="00A12088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88" w:rsidRDefault="00A12088" w:rsidP="00052087">
            <w:pPr>
              <w:spacing w:after="0" w:line="240" w:lineRule="auto"/>
              <w:rPr>
                <w:rFonts w:ascii="宋体" w:hAnsi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文化消费终端生产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133.0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88" w:rsidRDefault="00A12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</w:p>
        </w:tc>
      </w:tr>
    </w:tbl>
    <w:p w:rsidR="00AE3495" w:rsidRDefault="00AE3495" w:rsidP="00AE3495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注：</w:t>
      </w:r>
      <w:r w:rsidRPr="00BB7E1B">
        <w:rPr>
          <w:rFonts w:hint="eastAsia"/>
          <w:lang w:eastAsia="zh-CN"/>
        </w:rPr>
        <w:t>规模以上文化产业统计范围、指标解释等详见表底说明。</w:t>
      </w:r>
    </w:p>
    <w:p w:rsidR="00AE3495" w:rsidRDefault="00AE3495" w:rsidP="00AE3495">
      <w:pPr>
        <w:spacing w:after="0" w:line="560" w:lineRule="exact"/>
        <w:jc w:val="center"/>
        <w:rPr>
          <w:rFonts w:ascii="宋体" w:hAnsi="宋体"/>
          <w:b/>
          <w:bCs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sz w:val="32"/>
          <w:szCs w:val="32"/>
          <w:lang w:eastAsia="zh-CN"/>
        </w:rPr>
        <w:t>规模以上文化产业统计范围及主要指标解释</w:t>
      </w:r>
    </w:p>
    <w:p w:rsidR="00AE3495" w:rsidRDefault="00AE3495" w:rsidP="00A12088">
      <w:pPr>
        <w:spacing w:after="0" w:line="560" w:lineRule="exact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一、统计范围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本表数据统计范围为规模以上文化产业企业单位。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1.文化及相关产业：</w:t>
      </w:r>
      <w:r w:rsidRPr="00BD6021">
        <w:rPr>
          <w:rFonts w:ascii="宋体" w:hAnsi="宋体" w:hint="eastAsia"/>
          <w:sz w:val="28"/>
          <w:szCs w:val="28"/>
          <w:lang w:eastAsia="zh-CN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</w:t>
      </w:r>
      <w:r w:rsidRPr="00BD6021">
        <w:rPr>
          <w:rFonts w:ascii="宋体" w:hAnsi="宋体" w:hint="eastAsia"/>
          <w:sz w:val="28"/>
          <w:szCs w:val="28"/>
          <w:lang w:eastAsia="zh-CN"/>
        </w:rPr>
        <w:lastRenderedPageBreak/>
        <w:t>务等活动。（2）为实现文化产品的生产活动所需的文化辅助生产和中介服务、文化装备生产和文化消费终端生产（包括制造和销售）等活动。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2.规模以上的标准具体为：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 xml:space="preserve">（1）年主营业务收入2000万元及以上的工业法人单位。 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 xml:space="preserve">（2）年主营业务收入2000万元及以上的批发业法人单位。 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（3）年主营业务收入500万元及以上的零售业法人单位。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（4）年营业收入2000万元及以上的交通运输、仓储和邮政业，信息传输、软件和信息技术服务业，水利、环境和公共设施管理业服务业企业法人单位。</w:t>
      </w:r>
    </w:p>
    <w:p w:rsidR="00B800E4" w:rsidRDefault="00B800E4" w:rsidP="00A12088">
      <w:pPr>
        <w:spacing w:after="0" w:line="560" w:lineRule="exact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（5）年营业收入1000万元及以上的租赁和商务服务业，科学研究和技术服务业，教育服务业企业法人单位。</w:t>
      </w:r>
    </w:p>
    <w:p w:rsidR="00AE3495" w:rsidRDefault="00B800E4" w:rsidP="00A12088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1C0B42">
        <w:rPr>
          <w:rFonts w:ascii="宋体" w:hAnsi="宋体"/>
          <w:sz w:val="28"/>
          <w:szCs w:val="28"/>
          <w:lang w:eastAsia="zh-CN"/>
        </w:rPr>
        <w:t>（6）年营业收入500万元及以上的居民服务、修理和其他服务业，文化、体育和娱乐业服务业企业法人单位。</w:t>
      </w:r>
    </w:p>
    <w:p w:rsidR="00AE3495" w:rsidRDefault="00AE3495" w:rsidP="00A12088">
      <w:pPr>
        <w:spacing w:after="0" w:line="560" w:lineRule="exact"/>
        <w:ind w:firstLine="570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二、指标解释</w:t>
      </w:r>
    </w:p>
    <w:p w:rsidR="00A12088" w:rsidRDefault="00A12088" w:rsidP="00A12088">
      <w:pPr>
        <w:spacing w:after="0" w:line="560" w:lineRule="exact"/>
        <w:ind w:firstLine="570"/>
        <w:rPr>
          <w:rFonts w:ascii="宋体" w:hAnsi="宋体" w:hint="eastAsia"/>
          <w:sz w:val="28"/>
          <w:szCs w:val="28"/>
          <w:lang w:eastAsia="zh-CN"/>
        </w:rPr>
      </w:pPr>
      <w:r w:rsidRPr="00A12088">
        <w:rPr>
          <w:rFonts w:ascii="宋体" w:hAnsi="宋体" w:hint="eastAsia"/>
          <w:b/>
          <w:sz w:val="28"/>
          <w:szCs w:val="28"/>
          <w:lang w:eastAsia="zh-CN"/>
        </w:rPr>
        <w:t>营业收入</w:t>
      </w:r>
      <w:r w:rsidRPr="001C0B42">
        <w:rPr>
          <w:rFonts w:ascii="宋体" w:hAnsi="宋体" w:hint="eastAsia"/>
          <w:sz w:val="28"/>
          <w:szCs w:val="28"/>
          <w:lang w:eastAsia="zh-CN"/>
        </w:rPr>
        <w:t>：</w:t>
      </w:r>
      <w:r w:rsidRPr="001C0B42">
        <w:rPr>
          <w:rFonts w:ascii="宋体" w:hAnsi="宋体"/>
          <w:sz w:val="28"/>
          <w:szCs w:val="28"/>
          <w:lang w:eastAsia="zh-CN"/>
        </w:rPr>
        <w:t>指企业生产经营活动形成的经济利益流入，包括主营业务收入和其他业务收入。</w:t>
      </w:r>
    </w:p>
    <w:p w:rsidR="00DF14EE" w:rsidRPr="00A12088" w:rsidRDefault="00DF14EE" w:rsidP="00A12088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从业人员平均人数：</w:t>
      </w:r>
      <w:r>
        <w:rPr>
          <w:rFonts w:hint="eastAsia"/>
          <w:color w:val="000000"/>
          <w:sz w:val="28"/>
          <w:szCs w:val="28"/>
          <w:lang w:eastAsia="zh-CN"/>
        </w:rPr>
        <w:t>指在报告期内（年度、季度、月度）平均拥有的从业人员数，包括在岗职工、使用的劳务派遣人员及其他从业人员。季度或年度平均人数按单位实际月平均人数计算。</w:t>
      </w:r>
    </w:p>
    <w:p w:rsidR="00AE3495" w:rsidRPr="00BB7E1B" w:rsidRDefault="00AE3495" w:rsidP="00A12088">
      <w:pPr>
        <w:pStyle w:val="a3"/>
        <w:spacing w:before="0" w:beforeAutospacing="0" w:after="0" w:afterAutospacing="0" w:line="560" w:lineRule="exact"/>
        <w:ind w:firstLineChars="201" w:firstLine="565"/>
        <w:rPr>
          <w:rFonts w:cs="Times New Roman"/>
          <w:b/>
          <w:bCs/>
          <w:sz w:val="28"/>
          <w:szCs w:val="28"/>
          <w:lang w:bidi="en-US"/>
        </w:rPr>
      </w:pPr>
      <w:r w:rsidRPr="00BB7E1B">
        <w:rPr>
          <w:rFonts w:cs="Times New Roman" w:hint="eastAsia"/>
          <w:b/>
          <w:bCs/>
          <w:sz w:val="28"/>
          <w:szCs w:val="28"/>
          <w:lang w:bidi="en-US"/>
        </w:rPr>
        <w:t>三、相关说明</w:t>
      </w:r>
    </w:p>
    <w:p w:rsidR="00AE3495" w:rsidRPr="00BB7E1B" w:rsidRDefault="00AE3495" w:rsidP="00A12088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 w:rsidRPr="00BB7E1B">
        <w:rPr>
          <w:rFonts w:cs="Times New Roman" w:hint="eastAsia"/>
          <w:color w:val="000000"/>
          <w:sz w:val="28"/>
          <w:szCs w:val="28"/>
          <w:lang w:bidi="en-US"/>
        </w:rPr>
        <w:t>1.同比增长是利用统计范围内调查单位填报的相关指标“1-本月”以及“上年同期”数据计算取得。</w:t>
      </w:r>
    </w:p>
    <w:p w:rsidR="00AE3495" w:rsidRDefault="00AE3495" w:rsidP="00A12088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>
        <w:rPr>
          <w:rFonts w:cs="Times New Roman" w:hint="eastAsia"/>
          <w:color w:val="000000"/>
          <w:sz w:val="28"/>
          <w:szCs w:val="28"/>
          <w:lang w:bidi="en-US"/>
        </w:rPr>
        <w:t>2</w:t>
      </w:r>
      <w:r w:rsidRPr="00BB7E1B">
        <w:rPr>
          <w:rFonts w:cs="Times New Roman" w:hint="eastAsia"/>
          <w:color w:val="000000"/>
          <w:sz w:val="28"/>
          <w:szCs w:val="28"/>
          <w:lang w:bidi="en-US"/>
        </w:rPr>
        <w:t>.部分数据合计数或相对数由于计量单位取舍不同而产生的计算误差，均未作机械调整。</w:t>
      </w:r>
    </w:p>
    <w:p w:rsidR="00BD02F2" w:rsidRDefault="00BD02F2">
      <w:pPr>
        <w:rPr>
          <w:lang w:eastAsia="zh-CN"/>
        </w:rPr>
      </w:pPr>
    </w:p>
    <w:sectPr w:rsidR="00BD02F2" w:rsidSect="00DF60AC">
      <w:pgSz w:w="11906" w:h="16838"/>
      <w:pgMar w:top="1440" w:right="1558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DB" w:rsidRDefault="002B0ADB" w:rsidP="006353B5">
      <w:pPr>
        <w:spacing w:after="0" w:line="240" w:lineRule="auto"/>
      </w:pPr>
      <w:r>
        <w:separator/>
      </w:r>
    </w:p>
  </w:endnote>
  <w:endnote w:type="continuationSeparator" w:id="1">
    <w:p w:rsidR="002B0ADB" w:rsidRDefault="002B0ADB" w:rsidP="0063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DB" w:rsidRDefault="002B0ADB" w:rsidP="006353B5">
      <w:pPr>
        <w:spacing w:after="0" w:line="240" w:lineRule="auto"/>
      </w:pPr>
      <w:r>
        <w:separator/>
      </w:r>
    </w:p>
  </w:footnote>
  <w:footnote w:type="continuationSeparator" w:id="1">
    <w:p w:rsidR="002B0ADB" w:rsidRDefault="002B0ADB" w:rsidP="00635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495"/>
    <w:rsid w:val="00143C1A"/>
    <w:rsid w:val="00176354"/>
    <w:rsid w:val="002B0ADB"/>
    <w:rsid w:val="00461D6C"/>
    <w:rsid w:val="005007BC"/>
    <w:rsid w:val="0053632D"/>
    <w:rsid w:val="005A64E2"/>
    <w:rsid w:val="00620C45"/>
    <w:rsid w:val="006353B5"/>
    <w:rsid w:val="0064342C"/>
    <w:rsid w:val="0074046A"/>
    <w:rsid w:val="007D4856"/>
    <w:rsid w:val="009B0023"/>
    <w:rsid w:val="00A12088"/>
    <w:rsid w:val="00AC7A02"/>
    <w:rsid w:val="00AD6EE5"/>
    <w:rsid w:val="00AD77ED"/>
    <w:rsid w:val="00AE3495"/>
    <w:rsid w:val="00B800E4"/>
    <w:rsid w:val="00BD02F2"/>
    <w:rsid w:val="00BE6957"/>
    <w:rsid w:val="00C56ABA"/>
    <w:rsid w:val="00CC4988"/>
    <w:rsid w:val="00D02D56"/>
    <w:rsid w:val="00DF14EE"/>
    <w:rsid w:val="00DF60AC"/>
    <w:rsid w:val="00E26BA6"/>
    <w:rsid w:val="00E367F9"/>
    <w:rsid w:val="00EA67AB"/>
    <w:rsid w:val="00EB6B8B"/>
    <w:rsid w:val="00FF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95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95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a4">
    <w:name w:val="header"/>
    <w:basedOn w:val="a"/>
    <w:link w:val="Char"/>
    <w:uiPriority w:val="99"/>
    <w:semiHidden/>
    <w:unhideWhenUsed/>
    <w:rsid w:val="0063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6353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194</Words>
  <Characters>1110</Characters>
  <Application>Microsoft Office Word</Application>
  <DocSecurity>0</DocSecurity>
  <Lines>9</Lines>
  <Paragraphs>2</Paragraphs>
  <ScaleCrop>false</ScaleCrop>
  <Company>MS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</cp:revision>
  <cp:lastPrinted>2025-11-10T02:17:00Z</cp:lastPrinted>
  <dcterms:created xsi:type="dcterms:W3CDTF">2026-05-09T08:52:00Z</dcterms:created>
  <dcterms:modified xsi:type="dcterms:W3CDTF">2026-05-11T02:05:00Z</dcterms:modified>
</cp:coreProperties>
</file>