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center"/>
        <w:outlineLvl w:val="1"/>
        <w:rPr>
          <w:rFonts w:hint="eastAsia" w:ascii="方正小标宋简体" w:hAnsi="方正小标宋简体" w:eastAsia="方正小标宋简体" w:cs="方正小标宋简体"/>
          <w:sz w:val="44"/>
          <w:szCs w:val="44"/>
        </w:rPr>
      </w:pPr>
      <w:bookmarkStart w:id="39" w:name="_GoBack"/>
      <w:bookmarkEnd w:id="39"/>
    </w:p>
    <w:p>
      <w:pPr>
        <w:adjustRightInd w:val="0"/>
        <w:snapToGrid w:val="0"/>
        <w:spacing w:line="640" w:lineRule="exact"/>
        <w:jc w:val="center"/>
        <w:outlineLvl w:val="1"/>
        <w:rPr>
          <w:rFonts w:hint="eastAsia" w:ascii="方正小标宋简体" w:hAnsi="方正小标宋简体" w:eastAsia="方正小标宋简体" w:cs="方正小标宋简体"/>
          <w:sz w:val="44"/>
          <w:szCs w:val="44"/>
        </w:rPr>
      </w:pPr>
    </w:p>
    <w:p>
      <w:pPr>
        <w:adjustRightInd w:val="0"/>
        <w:snapToGrid w:val="0"/>
        <w:spacing w:line="640" w:lineRule="exact"/>
        <w:jc w:val="center"/>
        <w:outlineLvl w:val="1"/>
        <w:rPr>
          <w:rFonts w:hint="eastAsia" w:ascii="方正小标宋简体" w:hAnsi="方正小标宋简体" w:eastAsia="方正小标宋简体" w:cs="方正小标宋简体"/>
          <w:sz w:val="44"/>
          <w:szCs w:val="44"/>
        </w:rPr>
      </w:pPr>
    </w:p>
    <w:p>
      <w:pPr>
        <w:adjustRightInd w:val="0"/>
        <w:snapToGrid w:val="0"/>
        <w:spacing w:line="640" w:lineRule="exact"/>
        <w:jc w:val="center"/>
        <w:outlineLvl w:val="1"/>
        <w:rPr>
          <w:rFonts w:hint="eastAsia" w:ascii="方正小标宋简体" w:hAnsi="方正小标宋简体" w:eastAsia="方正小标宋简体" w:cs="方正小标宋简体"/>
          <w:sz w:val="44"/>
          <w:szCs w:val="44"/>
        </w:rPr>
      </w:pPr>
    </w:p>
    <w:p>
      <w:pPr>
        <w:adjustRightInd w:val="0"/>
        <w:snapToGrid w:val="0"/>
        <w:spacing w:line="640" w:lineRule="exact"/>
        <w:jc w:val="center"/>
        <w:outlineLvl w:val="1"/>
        <w:rPr>
          <w:rFonts w:hint="eastAsia" w:ascii="方正小标宋简体" w:hAnsi="方正小标宋简体" w:eastAsia="方正小标宋简体" w:cs="方正小标宋简体"/>
          <w:sz w:val="44"/>
          <w:szCs w:val="44"/>
          <w:lang w:val="en"/>
        </w:rPr>
      </w:pPr>
      <w:r>
        <w:rPr>
          <w:rFonts w:hint="eastAsia" w:ascii="方正小标宋简体" w:hAnsi="方正小标宋简体" w:eastAsia="方正小标宋简体" w:cs="方正小标宋简体"/>
          <w:sz w:val="44"/>
          <w:szCs w:val="44"/>
        </w:rPr>
        <w:t>5</w:t>
      </w:r>
      <w:r>
        <w:rPr>
          <w:rFonts w:hint="eastAsia" w:ascii="方正小标宋简体" w:hAnsi="方正小标宋简体" w:eastAsia="方正小标宋简体" w:cs="方正小标宋简体"/>
          <w:sz w:val="44"/>
          <w:szCs w:val="44"/>
          <w:lang w:val="en"/>
        </w:rPr>
        <w:t>类危险化学品使用单位隐患</w:t>
      </w:r>
      <w:r>
        <w:rPr>
          <w:rFonts w:hint="eastAsia" w:ascii="方正小标宋简体" w:hAnsi="方正小标宋简体" w:eastAsia="方正小标宋简体" w:cs="方正小标宋简体"/>
          <w:sz w:val="44"/>
          <w:szCs w:val="44"/>
          <w:lang w:val="en" w:eastAsia="zh-CN"/>
        </w:rPr>
        <w:t>自查</w:t>
      </w:r>
      <w:r>
        <w:rPr>
          <w:rFonts w:hint="eastAsia" w:ascii="方正小标宋简体" w:hAnsi="方正小标宋简体" w:eastAsia="方正小标宋简体" w:cs="方正小标宋简体"/>
          <w:sz w:val="44"/>
          <w:szCs w:val="44"/>
          <w:lang w:val="en"/>
        </w:rPr>
        <w:t>清单</w:t>
      </w:r>
    </w:p>
    <w:p>
      <w:pPr>
        <w:pStyle w:val="3"/>
        <w:rPr>
          <w:rFonts w:hint="eastAsia" w:ascii="方正小标宋简体" w:hAnsi="方正小标宋简体" w:eastAsia="方正小标宋简体" w:cs="方正小标宋简体"/>
          <w:sz w:val="44"/>
          <w:szCs w:val="44"/>
          <w:lang w:val="en"/>
        </w:rPr>
      </w:pPr>
    </w:p>
    <w:p>
      <w:pPr>
        <w:pStyle w:val="2"/>
        <w:rPr>
          <w:rFonts w:hint="eastAsia"/>
          <w:lang w:val="en"/>
        </w:rPr>
      </w:pPr>
    </w:p>
    <w:p>
      <w:pPr>
        <w:pStyle w:val="3"/>
        <w:rPr>
          <w:rFonts w:hint="eastAsia"/>
          <w:lang w:val="en"/>
        </w:rPr>
      </w:pPr>
    </w:p>
    <w:p>
      <w:pPr>
        <w:pStyle w:val="2"/>
        <w:rPr>
          <w:rFonts w:hint="eastAsia"/>
          <w:lang w:val="en"/>
        </w:rPr>
      </w:pPr>
    </w:p>
    <w:p>
      <w:pPr>
        <w:pStyle w:val="3"/>
        <w:rPr>
          <w:rFonts w:hint="eastAsia"/>
          <w:lang w:val="en"/>
        </w:rPr>
      </w:pPr>
    </w:p>
    <w:p>
      <w:pPr>
        <w:pStyle w:val="2"/>
        <w:rPr>
          <w:rFonts w:hint="eastAsia" w:ascii="方正小标宋简体" w:hAnsi="方正小标宋简体" w:eastAsia="方正小标宋简体" w:cs="方正小标宋简体"/>
          <w:sz w:val="44"/>
          <w:szCs w:val="44"/>
          <w:lang w:val="en"/>
        </w:rPr>
        <w:sectPr>
          <w:footerReference r:id="rId5" w:type="default"/>
          <w:pgSz w:w="16838" w:h="11906" w:orient="landscape"/>
          <w:pgMar w:top="1800" w:right="1440" w:bottom="1800" w:left="1440" w:header="851" w:footer="992" w:gutter="0"/>
          <w:pgNumType w:fmt="decimal"/>
          <w:cols w:space="425" w:num="1"/>
          <w:docGrid w:type="lines" w:linePitch="312" w:charSpace="0"/>
        </w:sectPr>
      </w:pPr>
    </w:p>
    <w:sdt>
      <w:sdtPr>
        <w:rPr>
          <w:rFonts w:hint="eastAsia" w:ascii="仿宋_GB2312" w:hAnsi="仿宋_GB2312" w:eastAsia="仿宋_GB2312" w:cs="仿宋_GB2312"/>
          <w:sz w:val="32"/>
          <w:szCs w:val="32"/>
          <w:lang w:val="en-US" w:eastAsia="zh-CN"/>
        </w:rPr>
        <w:id w:val="147451860"/>
        <w:docPartObj>
          <w:docPartGallery w:val="Table of Contents"/>
          <w:docPartUnique/>
        </w:docPartObj>
      </w:sdtPr>
      <w:sdtEndPr>
        <w:rPr>
          <w:rFonts w:hint="eastAsia" w:ascii="Times New Roman" w:hAnsi="Times New Roman" w:eastAsia="宋体" w:cs="Times New Roman"/>
          <w:sz w:val="20"/>
          <w:szCs w:val="20"/>
          <w:lang w:val="en-US" w:eastAsia="zh-CN"/>
        </w:rPr>
      </w:sdtEndPr>
      <w:sdtContent>
        <w:p>
          <w:pPr>
            <w:adjustRightInd w:val="0"/>
            <w:snapToGrid w:val="0"/>
            <w:spacing w:line="640" w:lineRule="exact"/>
            <w:jc w:val="center"/>
            <w:outlineLvl w:val="1"/>
            <w:rPr>
              <w:rFonts w:hint="eastAsia" w:ascii="仿宋_GB2312" w:hAnsi="仿宋_GB2312" w:eastAsia="仿宋_GB2312" w:cs="仿宋_GB2312"/>
              <w:sz w:val="32"/>
              <w:szCs w:val="32"/>
              <w:lang w:val="en"/>
            </w:rPr>
          </w:pPr>
          <w:bookmarkStart w:id="0" w:name="_Toc1237616415_WPSOffice_Type1"/>
          <w:r>
            <w:rPr>
              <w:rFonts w:hint="eastAsia" w:ascii="方正小标宋简体" w:hAnsi="方正小标宋简体" w:eastAsia="方正小标宋简体" w:cs="方正小标宋简体"/>
              <w:sz w:val="44"/>
              <w:szCs w:val="44"/>
              <w:lang w:val="en"/>
            </w:rPr>
            <w:t>目  录</w:t>
          </w:r>
        </w:p>
        <w:p>
          <w:pPr>
            <w:pStyle w:val="80"/>
            <w:tabs>
              <w:tab w:val="right" w:leader="dot" w:pos="13958"/>
            </w:tabs>
            <w:rPr>
              <w:rFonts w:hint="eastAsia" w:ascii="仿宋_GB2312" w:hAnsi="仿宋_GB2312" w:eastAsia="仿宋_GB2312" w:cs="仿宋_GB2312"/>
              <w:sz w:val="32"/>
              <w:szCs w:val="32"/>
            </w:rPr>
          </w:pPr>
        </w:p>
        <w:p>
          <w:pPr>
            <w:pStyle w:val="80"/>
            <w:tabs>
              <w:tab w:val="right" w:leader="dot" w:pos="13958"/>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_Toc1237616415_WPSOffice_Level1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0"/>
                <w:sz w:val="32"/>
                <w:szCs w:val="32"/>
                <w:lang w:val="en-US" w:eastAsia="zh-CN" w:bidi="ar-SA"/>
              </w:rPr>
              <w:id w:val="756463444"/>
              <w:placeholder>
                <w:docPart w:val="{b7a88afc-316a-43a5-aae2-2ace1abe422b}"/>
              </w:placeholder>
            </w:sdtPr>
            <w:sdtEndPr>
              <w:rPr>
                <w:rFonts w:hint="eastAsia" w:ascii="仿宋_GB2312" w:hAnsi="仿宋_GB2312" w:eastAsia="仿宋_GB2312" w:cs="仿宋_GB2312"/>
                <w:kern w:val="0"/>
                <w:sz w:val="32"/>
                <w:szCs w:val="32"/>
                <w:lang w:val="en-US" w:eastAsia="zh-CN" w:bidi="ar-SA"/>
              </w:rPr>
            </w:sdtEndPr>
            <w:sdtContent>
              <w:r>
                <w:rPr>
                  <w:rFonts w:hint="eastAsia" w:ascii="仿宋_GB2312" w:hAnsi="仿宋_GB2312" w:eastAsia="仿宋_GB2312" w:cs="仿宋_GB2312"/>
                  <w:kern w:val="0"/>
                  <w:sz w:val="32"/>
                  <w:szCs w:val="32"/>
                  <w:lang w:val="en" w:eastAsia="zh-CN" w:bidi="ar-SA"/>
                </w:rPr>
                <w:t>1.</w:t>
              </w:r>
              <w:r>
                <w:rPr>
                  <w:rFonts w:hint="eastAsia" w:ascii="仿宋_GB2312" w:hAnsi="仿宋_GB2312" w:eastAsia="仿宋_GB2312" w:cs="仿宋_GB2312"/>
                  <w:sz w:val="32"/>
                  <w:szCs w:val="32"/>
                </w:rPr>
                <w:t>北京市化工企业危险化学品隐患自查清单</w:t>
              </w:r>
            </w:sdtContent>
          </w:sdt>
          <w:r>
            <w:rPr>
              <w:rFonts w:hint="eastAsia" w:ascii="仿宋_GB2312" w:hAnsi="仿宋_GB2312" w:eastAsia="仿宋_GB2312" w:cs="仿宋_GB2312"/>
              <w:sz w:val="32"/>
              <w:szCs w:val="32"/>
            </w:rPr>
            <w:tab/>
          </w:r>
          <w:bookmarkStart w:id="1" w:name="_Toc1237616415_WPSOffice_Level1Page"/>
          <w:r>
            <w:rPr>
              <w:rFonts w:hint="eastAsia" w:ascii="仿宋_GB2312" w:hAnsi="仿宋_GB2312" w:eastAsia="仿宋_GB2312" w:cs="仿宋_GB2312"/>
              <w:sz w:val="32"/>
              <w:szCs w:val="32"/>
            </w:rPr>
            <w:t>1</w:t>
          </w:r>
          <w:bookmarkEnd w:id="1"/>
          <w:r>
            <w:rPr>
              <w:rFonts w:hint="eastAsia" w:ascii="仿宋_GB2312" w:hAnsi="仿宋_GB2312" w:eastAsia="仿宋_GB2312" w:cs="仿宋_GB2312"/>
              <w:sz w:val="32"/>
              <w:szCs w:val="32"/>
            </w:rPr>
            <w:fldChar w:fldCharType="end"/>
          </w:r>
        </w:p>
        <w:p>
          <w:pPr>
            <w:pStyle w:val="80"/>
            <w:tabs>
              <w:tab w:val="right" w:leader="dot" w:pos="13958"/>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_Toc1986429095_WPSOffice_Level1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0"/>
                <w:sz w:val="32"/>
                <w:szCs w:val="32"/>
                <w:lang w:val="en-US" w:eastAsia="zh-CN" w:bidi="ar-SA"/>
              </w:rPr>
              <w:id w:val="147483065"/>
              <w:placeholder>
                <w:docPart w:val="{0cf8e3ca-2c94-4fa8-a0de-8abc75922ad7}"/>
              </w:placeholder>
            </w:sdtPr>
            <w:sdtEndPr>
              <w:rPr>
                <w:rFonts w:hint="eastAsia" w:ascii="仿宋_GB2312" w:hAnsi="仿宋_GB2312" w:eastAsia="仿宋_GB2312" w:cs="仿宋_GB2312"/>
                <w:kern w:val="0"/>
                <w:sz w:val="32"/>
                <w:szCs w:val="32"/>
                <w:lang w:val="en-US" w:eastAsia="zh-CN" w:bidi="ar-SA"/>
              </w:rPr>
            </w:sdtEndPr>
            <w:sdtContent>
              <w:r>
                <w:rPr>
                  <w:rFonts w:hint="eastAsia" w:ascii="仿宋_GB2312" w:hAnsi="仿宋_GB2312" w:eastAsia="仿宋_GB2312" w:cs="仿宋_GB2312"/>
                  <w:kern w:val="0"/>
                  <w:sz w:val="32"/>
                  <w:szCs w:val="32"/>
                  <w:lang w:val="en" w:eastAsia="zh-CN" w:bidi="ar-SA"/>
                </w:rPr>
                <w:t>2.</w:t>
              </w:r>
              <w:r>
                <w:rPr>
                  <w:rFonts w:hint="eastAsia" w:ascii="仿宋_GB2312" w:hAnsi="仿宋_GB2312" w:eastAsia="仿宋_GB2312" w:cs="仿宋_GB2312"/>
                  <w:sz w:val="32"/>
                  <w:szCs w:val="32"/>
                </w:rPr>
                <w:t>北京市医药制造企业危险化学品隐患自查清单</w:t>
              </w:r>
            </w:sdtContent>
          </w:sdt>
          <w:r>
            <w:rPr>
              <w:rFonts w:hint="eastAsia" w:ascii="仿宋_GB2312" w:hAnsi="仿宋_GB2312" w:eastAsia="仿宋_GB2312" w:cs="仿宋_GB2312"/>
              <w:sz w:val="32"/>
              <w:szCs w:val="32"/>
            </w:rPr>
            <w:tab/>
          </w:r>
          <w:bookmarkStart w:id="2" w:name="_Toc1986429095_WPSOffice_Level1Page"/>
          <w:r>
            <w:rPr>
              <w:rFonts w:hint="eastAsia" w:ascii="仿宋_GB2312" w:hAnsi="仿宋_GB2312" w:eastAsia="仿宋_GB2312" w:cs="仿宋_GB2312"/>
              <w:sz w:val="32"/>
              <w:szCs w:val="32"/>
            </w:rPr>
            <w:t>26</w:t>
          </w:r>
          <w:bookmarkEnd w:id="2"/>
          <w:r>
            <w:rPr>
              <w:rFonts w:hint="eastAsia" w:ascii="仿宋_GB2312" w:hAnsi="仿宋_GB2312" w:eastAsia="仿宋_GB2312" w:cs="仿宋_GB2312"/>
              <w:sz w:val="32"/>
              <w:szCs w:val="32"/>
            </w:rPr>
            <w:fldChar w:fldCharType="end"/>
          </w:r>
        </w:p>
        <w:p>
          <w:pPr>
            <w:pStyle w:val="80"/>
            <w:tabs>
              <w:tab w:val="right" w:leader="dot" w:pos="13958"/>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_Toc2071833740_WPSOffice_Level1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0"/>
                <w:sz w:val="32"/>
                <w:szCs w:val="32"/>
                <w:lang w:val="en-US" w:eastAsia="zh-CN" w:bidi="ar-SA"/>
              </w:rPr>
              <w:id w:val="147463861"/>
              <w:placeholder>
                <w:docPart w:val="{aff331d9-def3-4239-aaf2-3e3908aadbf4}"/>
              </w:placeholder>
            </w:sdtPr>
            <w:sdtEndPr>
              <w:rPr>
                <w:rFonts w:hint="eastAsia" w:ascii="仿宋_GB2312" w:hAnsi="仿宋_GB2312" w:eastAsia="仿宋_GB2312" w:cs="仿宋_GB2312"/>
                <w:kern w:val="0"/>
                <w:sz w:val="32"/>
                <w:szCs w:val="32"/>
                <w:lang w:val="en-US" w:eastAsia="zh-CN" w:bidi="ar-SA"/>
              </w:rPr>
            </w:sdtEndPr>
            <w:sdtContent>
              <w:r>
                <w:rPr>
                  <w:rFonts w:hint="eastAsia" w:ascii="仿宋_GB2312" w:hAnsi="仿宋_GB2312" w:eastAsia="仿宋_GB2312" w:cs="仿宋_GB2312"/>
                  <w:kern w:val="0"/>
                  <w:sz w:val="32"/>
                  <w:szCs w:val="32"/>
                  <w:lang w:val="en" w:eastAsia="zh-CN" w:bidi="ar-SA"/>
                </w:rPr>
                <w:t>3.</w:t>
              </w:r>
              <w:r>
                <w:rPr>
                  <w:rFonts w:hint="eastAsia" w:ascii="仿宋_GB2312" w:hAnsi="仿宋_GB2312" w:eastAsia="仿宋_GB2312" w:cs="仿宋_GB2312"/>
                  <w:sz w:val="32"/>
                  <w:szCs w:val="32"/>
                </w:rPr>
                <w:t>北京市冶金有色建材机械轻工纺织烟草行业涉危使用隐患自查清单</w:t>
              </w:r>
            </w:sdtContent>
          </w:sdt>
          <w:r>
            <w:rPr>
              <w:rFonts w:hint="eastAsia" w:ascii="仿宋_GB2312" w:hAnsi="仿宋_GB2312" w:eastAsia="仿宋_GB2312" w:cs="仿宋_GB2312"/>
              <w:sz w:val="32"/>
              <w:szCs w:val="32"/>
            </w:rPr>
            <w:tab/>
          </w:r>
          <w:bookmarkStart w:id="3" w:name="_Toc2071833740_WPSOffice_Level1Page"/>
          <w:r>
            <w:rPr>
              <w:rFonts w:hint="eastAsia" w:ascii="仿宋_GB2312" w:hAnsi="仿宋_GB2312" w:eastAsia="仿宋_GB2312" w:cs="仿宋_GB2312"/>
              <w:sz w:val="32"/>
              <w:szCs w:val="32"/>
            </w:rPr>
            <w:t>51</w:t>
          </w:r>
          <w:bookmarkEnd w:id="3"/>
          <w:r>
            <w:rPr>
              <w:rFonts w:hint="eastAsia" w:ascii="仿宋_GB2312" w:hAnsi="仿宋_GB2312" w:eastAsia="仿宋_GB2312" w:cs="仿宋_GB2312"/>
              <w:sz w:val="32"/>
              <w:szCs w:val="32"/>
            </w:rPr>
            <w:fldChar w:fldCharType="end"/>
          </w:r>
        </w:p>
        <w:p>
          <w:pPr>
            <w:pStyle w:val="80"/>
            <w:tabs>
              <w:tab w:val="right" w:leader="dot" w:pos="13958"/>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_Toc1058078259_WPSOffice_Level1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0"/>
                <w:sz w:val="32"/>
                <w:szCs w:val="32"/>
                <w:lang w:val="en-US" w:eastAsia="zh-CN" w:bidi="ar-SA"/>
              </w:rPr>
              <w:id w:val="147464762"/>
              <w:placeholder>
                <w:docPart w:val="{f4bce23a-48d8-427c-bdff-c980ae9cf6c2}"/>
              </w:placeholder>
            </w:sdtPr>
            <w:sdtEndPr>
              <w:rPr>
                <w:rFonts w:hint="eastAsia" w:ascii="仿宋_GB2312" w:hAnsi="仿宋_GB2312" w:eastAsia="仿宋_GB2312" w:cs="仿宋_GB2312"/>
                <w:kern w:val="0"/>
                <w:sz w:val="32"/>
                <w:szCs w:val="32"/>
                <w:lang w:val="en-US" w:eastAsia="zh-CN" w:bidi="ar-SA"/>
              </w:rPr>
            </w:sdtEndPr>
            <w:sdtContent>
              <w:r>
                <w:rPr>
                  <w:rFonts w:hint="eastAsia" w:ascii="仿宋_GB2312" w:hAnsi="仿宋_GB2312" w:eastAsia="仿宋_GB2312" w:cs="仿宋_GB2312"/>
                  <w:kern w:val="0"/>
                  <w:sz w:val="32"/>
                  <w:szCs w:val="32"/>
                  <w:lang w:val="en" w:eastAsia="zh-CN" w:bidi="ar-SA"/>
                </w:rPr>
                <w:t>4.</w:t>
              </w:r>
              <w:r>
                <w:rPr>
                  <w:rFonts w:hint="eastAsia" w:ascii="仿宋_GB2312" w:hAnsi="仿宋_GB2312" w:eastAsia="仿宋_GB2312" w:cs="仿宋_GB2312"/>
                  <w:sz w:val="32"/>
                  <w:szCs w:val="32"/>
                </w:rPr>
                <w:t>北京市其他类型使用单位危险化学品隐患自查清单</w:t>
              </w:r>
            </w:sdtContent>
          </w:sdt>
          <w:r>
            <w:rPr>
              <w:rFonts w:hint="eastAsia" w:ascii="仿宋_GB2312" w:hAnsi="仿宋_GB2312" w:eastAsia="仿宋_GB2312" w:cs="仿宋_GB2312"/>
              <w:sz w:val="32"/>
              <w:szCs w:val="32"/>
            </w:rPr>
            <w:tab/>
          </w:r>
          <w:bookmarkStart w:id="4" w:name="_Toc1058078259_WPSOffice_Level1Page"/>
          <w:r>
            <w:rPr>
              <w:rFonts w:hint="eastAsia" w:ascii="仿宋_GB2312" w:hAnsi="仿宋_GB2312" w:eastAsia="仿宋_GB2312" w:cs="仿宋_GB2312"/>
              <w:sz w:val="32"/>
              <w:szCs w:val="32"/>
            </w:rPr>
            <w:t>66</w:t>
          </w:r>
          <w:bookmarkEnd w:id="4"/>
          <w:r>
            <w:rPr>
              <w:rFonts w:hint="eastAsia" w:ascii="仿宋_GB2312" w:hAnsi="仿宋_GB2312" w:eastAsia="仿宋_GB2312" w:cs="仿宋_GB2312"/>
              <w:sz w:val="32"/>
              <w:szCs w:val="32"/>
            </w:rPr>
            <w:fldChar w:fldCharType="end"/>
          </w:r>
        </w:p>
        <w:p>
          <w:pPr>
            <w:pStyle w:val="80"/>
            <w:tabs>
              <w:tab w:val="right" w:leader="dot" w:pos="13958"/>
            </w:tabs>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_Toc1769198594_WPSOffice_Level1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0"/>
                <w:sz w:val="32"/>
                <w:szCs w:val="32"/>
                <w:lang w:val="en-US" w:eastAsia="zh-CN" w:bidi="ar-SA"/>
              </w:rPr>
              <w:id w:val="147472853"/>
              <w:placeholder>
                <w:docPart w:val="{e1ef8190-4a8a-404a-aab0-d8cb7dcc8b8a}"/>
              </w:placeholder>
            </w:sdtPr>
            <w:sdtEndPr>
              <w:rPr>
                <w:rFonts w:hint="eastAsia" w:ascii="仿宋_GB2312" w:hAnsi="仿宋_GB2312" w:eastAsia="仿宋_GB2312" w:cs="仿宋_GB2312"/>
                <w:kern w:val="0"/>
                <w:sz w:val="32"/>
                <w:szCs w:val="32"/>
                <w:lang w:val="en-US" w:eastAsia="zh-CN" w:bidi="ar-SA"/>
              </w:rPr>
            </w:sdtEndPr>
            <w:sdtContent>
              <w:r>
                <w:rPr>
                  <w:rFonts w:hint="eastAsia" w:ascii="仿宋_GB2312" w:hAnsi="仿宋_GB2312" w:eastAsia="仿宋_GB2312" w:cs="仿宋_GB2312"/>
                  <w:kern w:val="0"/>
                  <w:sz w:val="32"/>
                  <w:szCs w:val="32"/>
                  <w:lang w:val="en" w:eastAsia="zh-CN" w:bidi="ar-SA"/>
                </w:rPr>
                <w:t>5.</w:t>
              </w:r>
              <w:r>
                <w:rPr>
                  <w:rFonts w:hint="eastAsia" w:ascii="仿宋_GB2312" w:hAnsi="仿宋_GB2312" w:eastAsia="仿宋_GB2312" w:cs="仿宋_GB2312"/>
                  <w:sz w:val="32"/>
                  <w:szCs w:val="32"/>
                </w:rPr>
                <w:t>北京市实验室危险化学品隐患自查清单</w:t>
              </w:r>
            </w:sdtContent>
          </w:sdt>
          <w:r>
            <w:rPr>
              <w:rFonts w:hint="eastAsia" w:ascii="仿宋_GB2312" w:hAnsi="仿宋_GB2312" w:eastAsia="仿宋_GB2312" w:cs="仿宋_GB2312"/>
              <w:sz w:val="32"/>
              <w:szCs w:val="32"/>
            </w:rPr>
            <w:tab/>
          </w:r>
          <w:bookmarkStart w:id="5" w:name="_Toc1769198594_WPSOffice_Level1Page"/>
          <w:r>
            <w:rPr>
              <w:rFonts w:hint="eastAsia" w:ascii="仿宋_GB2312" w:hAnsi="仿宋_GB2312" w:eastAsia="仿宋_GB2312" w:cs="仿宋_GB2312"/>
              <w:sz w:val="32"/>
              <w:szCs w:val="32"/>
            </w:rPr>
            <w:t>102</w:t>
          </w:r>
          <w:bookmarkEnd w:id="5"/>
          <w:r>
            <w:rPr>
              <w:rFonts w:hint="eastAsia" w:ascii="仿宋_GB2312" w:hAnsi="仿宋_GB2312" w:eastAsia="仿宋_GB2312" w:cs="仿宋_GB2312"/>
              <w:sz w:val="32"/>
              <w:szCs w:val="32"/>
            </w:rPr>
            <w:fldChar w:fldCharType="end"/>
          </w:r>
          <w:bookmarkEnd w:id="0"/>
        </w:p>
      </w:sdtContent>
    </w:sdt>
    <w:p>
      <w:pPr>
        <w:pStyle w:val="2"/>
        <w:numPr>
          <w:ilvl w:val="0"/>
          <w:numId w:val="0"/>
        </w:numPr>
        <w:rPr>
          <w:rFonts w:hint="default"/>
          <w:lang w:val="en-US" w:eastAsia="zh-CN"/>
        </w:rPr>
      </w:pPr>
    </w:p>
    <w:p>
      <w:pPr>
        <w:pStyle w:val="2"/>
        <w:adjustRightInd w:val="0"/>
        <w:snapToGrid w:val="0"/>
        <w:spacing w:before="156" w:beforeLines="50" w:after="156" w:afterLines="50" w:line="800" w:lineRule="exact"/>
        <w:ind w:firstLine="0" w:firstLineChars="0"/>
        <w:jc w:val="center"/>
        <w:rPr>
          <w:rFonts w:hint="eastAsia" w:ascii="方正小标宋简体" w:hAnsi="方正小标宋简体" w:eastAsia="方正小标宋简体" w:cs="方正小标宋简体"/>
          <w:kern w:val="2"/>
          <w:sz w:val="44"/>
          <w:szCs w:val="44"/>
        </w:rPr>
      </w:pPr>
    </w:p>
    <w:p>
      <w:pPr>
        <w:pStyle w:val="3"/>
        <w:ind w:left="0" w:leftChars="0"/>
        <w:rPr>
          <w:rFonts w:hint="eastAsia"/>
        </w:rPr>
        <w:sectPr>
          <w:pgSz w:w="16838" w:h="11906" w:orient="landscape"/>
          <w:pgMar w:top="1800" w:right="1440" w:bottom="1800" w:left="1440" w:header="851" w:footer="992" w:gutter="0"/>
          <w:pgNumType w:fmt="decimal"/>
          <w:cols w:space="425" w:num="1"/>
          <w:docGrid w:type="lines" w:linePitch="312" w:charSpace="0"/>
        </w:sectPr>
      </w:pPr>
    </w:p>
    <w:p>
      <w:pPr>
        <w:pStyle w:val="2"/>
        <w:adjustRightInd w:val="0"/>
        <w:snapToGrid w:val="0"/>
        <w:spacing w:before="156" w:beforeLines="50" w:after="156" w:afterLines="50" w:line="800" w:lineRule="exact"/>
        <w:ind w:firstLine="0" w:firstLineChars="0"/>
        <w:jc w:val="center"/>
        <w:rPr>
          <w:rFonts w:hint="eastAsia" w:ascii="方正小标宋简体" w:hAnsi="方正小标宋简体" w:eastAsia="方正小标宋简体" w:cs="方正小标宋简体"/>
          <w:kern w:val="2"/>
          <w:sz w:val="44"/>
          <w:szCs w:val="44"/>
          <w:lang w:eastAsia="zh-CN"/>
        </w:rPr>
      </w:pPr>
      <w:bookmarkStart w:id="6" w:name="_Toc1502254398_WPSOffice_Level1"/>
      <w:bookmarkStart w:id="7" w:name="_Toc574340464_WPSOffice_Level1"/>
      <w:bookmarkStart w:id="8" w:name="_Toc1884153704_WPSOffice_Level1"/>
      <w:bookmarkStart w:id="9" w:name="_Toc1461036751_WPSOffice_Level1"/>
      <w:r>
        <w:rPr>
          <w:rFonts w:hint="eastAsia" w:ascii="方正小标宋简体" w:hAnsi="方正小标宋简体" w:eastAsia="方正小标宋简体" w:cs="方正小标宋简体"/>
          <w:kern w:val="2"/>
          <w:sz w:val="44"/>
          <w:szCs w:val="44"/>
          <w:lang w:eastAsia="zh-CN"/>
        </w:rPr>
        <w:t>说</w:t>
      </w:r>
      <w:r>
        <w:rPr>
          <w:rFonts w:hint="eastAsia" w:ascii="方正小标宋简体" w:hAnsi="方正小标宋简体" w:eastAsia="方正小标宋简体" w:cs="方正小标宋简体"/>
          <w:kern w:val="2"/>
          <w:sz w:val="44"/>
          <w:szCs w:val="44"/>
          <w:lang w:val="en-US" w:eastAsia="zh-CN"/>
        </w:rPr>
        <w:t xml:space="preserve">  </w:t>
      </w:r>
      <w:r>
        <w:rPr>
          <w:rFonts w:hint="eastAsia" w:ascii="方正小标宋简体" w:hAnsi="方正小标宋简体" w:eastAsia="方正小标宋简体" w:cs="方正小标宋简体"/>
          <w:kern w:val="2"/>
          <w:sz w:val="44"/>
          <w:szCs w:val="44"/>
          <w:lang w:eastAsia="zh-CN"/>
        </w:rPr>
        <w:t>明</w:t>
      </w:r>
      <w:bookmarkEnd w:id="6"/>
      <w:bookmarkEnd w:id="7"/>
      <w:bookmarkEnd w:id="8"/>
      <w:bookmarkEnd w:id="9"/>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leftChars="0"/>
        <w:textAlignment w:val="auto"/>
        <w:rPr>
          <w:rFonts w:hint="eastAsia"/>
          <w:lang w:eastAsia="zh-CN"/>
        </w:rPr>
      </w:pP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cs="仿宋_GB2312"/>
          <w:sz w:val="32"/>
          <w:szCs w:val="32"/>
          <w:lang w:val="en"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北京市化工企业危险化学品隐患</w:t>
      </w:r>
      <w:r>
        <w:rPr>
          <w:rFonts w:hint="eastAsia" w:ascii="仿宋_GB2312" w:hAnsi="仿宋_GB2312" w:eastAsia="仿宋_GB2312" w:cs="仿宋_GB2312"/>
          <w:sz w:val="32"/>
          <w:szCs w:val="32"/>
          <w:lang w:eastAsia="zh-CN"/>
        </w:rPr>
        <w:t>自查</w:t>
      </w:r>
      <w:r>
        <w:rPr>
          <w:rFonts w:hint="eastAsia" w:ascii="仿宋_GB2312" w:hAnsi="仿宋_GB2312" w:eastAsia="仿宋_GB2312" w:cs="仿宋_GB2312"/>
          <w:sz w:val="32"/>
          <w:szCs w:val="32"/>
        </w:rPr>
        <w:t>清单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适用于应急部门</w:t>
      </w:r>
      <w:r>
        <w:rPr>
          <w:rFonts w:hint="eastAsia" w:ascii="仿宋_GB2312" w:hAnsi="仿宋_GB2312" w:cs="仿宋_GB2312"/>
          <w:sz w:val="32"/>
          <w:szCs w:val="32"/>
          <w:lang w:eastAsia="zh-CN"/>
        </w:rPr>
        <w:t>管理</w:t>
      </w:r>
      <w:r>
        <w:rPr>
          <w:rFonts w:hint="eastAsia" w:ascii="仿宋_GB2312" w:hAnsi="仿宋_GB2312" w:eastAsia="仿宋_GB2312" w:cs="仿宋_GB2312"/>
          <w:sz w:val="32"/>
          <w:szCs w:val="32"/>
          <w:lang w:eastAsia="zh-CN"/>
        </w:rPr>
        <w:t>的化工企业；</w:t>
      </w: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cs="仿宋_GB2312"/>
          <w:sz w:val="32"/>
          <w:szCs w:val="32"/>
          <w:lang w:val="en"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北京市医药制造企业危险化学品隐患</w:t>
      </w:r>
      <w:r>
        <w:rPr>
          <w:rFonts w:hint="eastAsia" w:ascii="仿宋_GB2312" w:hAnsi="仿宋_GB2312" w:eastAsia="仿宋_GB2312" w:cs="仿宋_GB2312"/>
          <w:sz w:val="32"/>
          <w:szCs w:val="32"/>
          <w:lang w:eastAsia="zh-CN"/>
        </w:rPr>
        <w:t>自查</w:t>
      </w:r>
      <w:r>
        <w:rPr>
          <w:rFonts w:hint="eastAsia" w:ascii="仿宋_GB2312" w:hAnsi="仿宋_GB2312" w:eastAsia="仿宋_GB2312" w:cs="仿宋_GB2312"/>
          <w:sz w:val="32"/>
          <w:szCs w:val="32"/>
        </w:rPr>
        <w:t>清单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适用于应急部门</w:t>
      </w:r>
      <w:r>
        <w:rPr>
          <w:rFonts w:hint="eastAsia" w:ascii="仿宋_GB2312" w:hAnsi="仿宋_GB2312" w:cs="仿宋_GB2312"/>
          <w:sz w:val="32"/>
          <w:szCs w:val="32"/>
          <w:lang w:eastAsia="zh-CN"/>
        </w:rPr>
        <w:t>管理</w:t>
      </w:r>
      <w:r>
        <w:rPr>
          <w:rFonts w:hint="eastAsia" w:ascii="仿宋_GB2312" w:hAnsi="仿宋_GB2312" w:eastAsia="仿宋_GB2312" w:cs="仿宋_GB2312"/>
          <w:sz w:val="32"/>
          <w:szCs w:val="32"/>
          <w:lang w:eastAsia="zh-CN"/>
        </w:rPr>
        <w:t>的医药制造企业</w:t>
      </w:r>
      <w:r>
        <w:rPr>
          <w:rFonts w:hint="eastAsia" w:ascii="仿宋_GB2312" w:hAnsi="仿宋_GB2312" w:cs="仿宋_GB2312"/>
          <w:sz w:val="32"/>
          <w:szCs w:val="32"/>
          <w:lang w:eastAsia="zh-CN"/>
        </w:rPr>
        <w:t>（不含医药研发、批发零售、医疗器械等企业）</w:t>
      </w:r>
      <w:r>
        <w:rPr>
          <w:rFonts w:hint="eastAsia" w:ascii="仿宋_GB2312" w:hAnsi="仿宋_GB2312" w:eastAsia="仿宋_GB2312" w:cs="仿宋_GB2312"/>
          <w:sz w:val="32"/>
          <w:szCs w:val="32"/>
          <w:lang w:eastAsia="zh-CN"/>
        </w:rPr>
        <w:t>；</w:t>
      </w: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cs="仿宋_GB2312"/>
          <w:lang w:val="en" w:eastAsia="zh-CN"/>
        </w:rPr>
        <w:t>3</w:t>
      </w:r>
      <w:r>
        <w:rPr>
          <w:rFonts w:hint="eastAsia" w:ascii="仿宋_GB2312" w:hAnsi="仿宋_GB2312" w:eastAsia="仿宋_GB2312" w:cs="仿宋_GB2312"/>
          <w:lang w:val="en-US" w:eastAsia="zh-CN"/>
        </w:rPr>
        <w:t>.《</w:t>
      </w:r>
      <w:r>
        <w:rPr>
          <w:rFonts w:hint="eastAsia" w:ascii="仿宋_GB2312" w:hAnsi="仿宋_GB2312" w:eastAsia="仿宋_GB2312" w:cs="仿宋_GB2312"/>
          <w:sz w:val="32"/>
          <w:szCs w:val="32"/>
        </w:rPr>
        <w:t>北京市冶金有色建材机械轻工纺织烟草行业涉危使用隐患</w:t>
      </w:r>
      <w:r>
        <w:rPr>
          <w:rFonts w:hint="eastAsia" w:ascii="仿宋_GB2312" w:hAnsi="仿宋_GB2312" w:eastAsia="仿宋_GB2312" w:cs="仿宋_GB2312"/>
          <w:sz w:val="32"/>
          <w:szCs w:val="32"/>
          <w:lang w:eastAsia="zh-CN"/>
        </w:rPr>
        <w:t>自查</w:t>
      </w:r>
      <w:r>
        <w:rPr>
          <w:rFonts w:hint="eastAsia" w:ascii="仿宋_GB2312" w:hAnsi="仿宋_GB2312" w:eastAsia="仿宋_GB2312" w:cs="仿宋_GB2312"/>
          <w:sz w:val="32"/>
          <w:szCs w:val="32"/>
        </w:rPr>
        <w:t>清单</w:t>
      </w:r>
      <w:r>
        <w:rPr>
          <w:rFonts w:hint="eastAsia" w:ascii="仿宋_GB2312" w:hAnsi="仿宋_GB2312" w:eastAsia="仿宋_GB2312" w:cs="仿宋_GB2312"/>
          <w:lang w:val="en-US" w:eastAsia="zh-CN"/>
        </w:rPr>
        <w:t>》</w:t>
      </w:r>
      <w:r>
        <w:rPr>
          <w:rFonts w:hint="eastAsia" w:ascii="仿宋_GB2312" w:hAnsi="仿宋_GB2312" w:eastAsia="仿宋_GB2312" w:cs="仿宋_GB2312"/>
          <w:sz w:val="32"/>
          <w:szCs w:val="32"/>
          <w:lang w:eastAsia="zh-CN"/>
        </w:rPr>
        <w:t>适用于应急部门</w:t>
      </w:r>
      <w:r>
        <w:rPr>
          <w:rFonts w:hint="eastAsia" w:ascii="仿宋_GB2312" w:hAnsi="仿宋_GB2312" w:cs="仿宋_GB2312"/>
          <w:sz w:val="32"/>
          <w:szCs w:val="32"/>
          <w:lang w:eastAsia="zh-CN"/>
        </w:rPr>
        <w:t>管理</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冶金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轻工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纺织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烟草</w:t>
      </w:r>
      <w:r>
        <w:rPr>
          <w:rFonts w:hint="eastAsia" w:ascii="仿宋_GB2312" w:hAnsi="仿宋_GB2312" w:eastAsia="仿宋_GB2312" w:cs="仿宋_GB2312"/>
          <w:sz w:val="32"/>
          <w:szCs w:val="32"/>
          <w:lang w:eastAsia="zh-CN"/>
        </w:rPr>
        <w:t>相关工业</w:t>
      </w:r>
      <w:r>
        <w:rPr>
          <w:rFonts w:hint="eastAsia" w:ascii="仿宋_GB2312" w:hAnsi="仿宋_GB2312" w:cs="仿宋_GB2312"/>
          <w:sz w:val="32"/>
          <w:szCs w:val="32"/>
          <w:lang w:eastAsia="zh-CN"/>
        </w:rPr>
        <w:t>企业</w:t>
      </w:r>
      <w:r>
        <w:rPr>
          <w:rFonts w:hint="eastAsia" w:ascii="仿宋_GB2312" w:hAnsi="仿宋_GB2312" w:eastAsia="仿宋_GB2312" w:cs="仿宋_GB2312"/>
          <w:sz w:val="32"/>
          <w:szCs w:val="32"/>
          <w:lang w:eastAsia="zh-CN"/>
        </w:rPr>
        <w:t>；</w:t>
      </w: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cs="仿宋_GB2312"/>
          <w:sz w:val="32"/>
          <w:szCs w:val="32"/>
          <w:lang w:val="en" w:eastAsia="zh-CN"/>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北京市其他类型使用单位危险化学品隐患</w:t>
      </w:r>
      <w:r>
        <w:rPr>
          <w:rFonts w:hint="eastAsia" w:ascii="仿宋_GB2312" w:hAnsi="仿宋_GB2312" w:eastAsia="仿宋_GB2312" w:cs="仿宋_GB2312"/>
          <w:sz w:val="32"/>
          <w:szCs w:val="32"/>
          <w:lang w:eastAsia="zh-CN"/>
        </w:rPr>
        <w:t>自查</w:t>
      </w:r>
      <w:r>
        <w:rPr>
          <w:rFonts w:hint="eastAsia" w:ascii="仿宋_GB2312" w:hAnsi="仿宋_GB2312" w:eastAsia="仿宋_GB2312" w:cs="仿宋_GB2312"/>
          <w:sz w:val="32"/>
          <w:szCs w:val="32"/>
        </w:rPr>
        <w:t>清单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适用于除</w:t>
      </w:r>
      <w:r>
        <w:rPr>
          <w:rFonts w:hint="eastAsia" w:ascii="仿宋_GB2312" w:hAnsi="仿宋_GB2312" w:cs="仿宋_GB2312"/>
          <w:sz w:val="32"/>
          <w:szCs w:val="32"/>
          <w:lang w:eastAsia="zh-CN"/>
        </w:rPr>
        <w:t>上述类型企业外，</w:t>
      </w:r>
      <w:r>
        <w:rPr>
          <w:rFonts w:hint="eastAsia" w:ascii="仿宋_GB2312" w:hAnsi="仿宋_GB2312" w:eastAsia="仿宋_GB2312" w:cs="仿宋_GB2312"/>
          <w:sz w:val="32"/>
          <w:szCs w:val="32"/>
          <w:lang w:eastAsia="zh-CN"/>
        </w:rPr>
        <w:t>其他</w:t>
      </w:r>
      <w:r>
        <w:rPr>
          <w:rFonts w:hint="eastAsia" w:ascii="仿宋_GB2312" w:hAnsi="仿宋_GB2312" w:cs="仿宋_GB2312"/>
          <w:sz w:val="32"/>
          <w:szCs w:val="32"/>
          <w:lang w:eastAsia="zh-CN"/>
        </w:rPr>
        <w:t>行业部门管理的</w:t>
      </w:r>
      <w:r>
        <w:rPr>
          <w:rFonts w:hint="eastAsia" w:ascii="仿宋_GB2312" w:hAnsi="仿宋_GB2312" w:eastAsia="仿宋_GB2312" w:cs="仿宋_GB2312"/>
          <w:sz w:val="32"/>
          <w:szCs w:val="32"/>
          <w:lang w:eastAsia="zh-CN"/>
        </w:rPr>
        <w:t>涉及使用危险化学品的</w:t>
      </w:r>
      <w:r>
        <w:rPr>
          <w:rFonts w:hint="eastAsia" w:ascii="仿宋_GB2312" w:hAnsi="仿宋_GB2312" w:cs="仿宋_GB2312"/>
          <w:sz w:val="32"/>
          <w:szCs w:val="32"/>
          <w:lang w:eastAsia="zh-CN"/>
        </w:rPr>
        <w:t>企事业单位</w:t>
      </w:r>
      <w:r>
        <w:rPr>
          <w:rFonts w:hint="eastAsia" w:ascii="仿宋_GB2312" w:hAnsi="仿宋_GB2312" w:eastAsia="仿宋_GB2312" w:cs="仿宋_GB2312"/>
          <w:sz w:val="32"/>
          <w:szCs w:val="32"/>
          <w:lang w:eastAsia="zh-CN"/>
        </w:rPr>
        <w:t>；</w:t>
      </w: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北京市实验室危险化学品隐患</w:t>
      </w:r>
      <w:r>
        <w:rPr>
          <w:rFonts w:hint="eastAsia" w:ascii="仿宋_GB2312" w:hAnsi="仿宋_GB2312" w:eastAsia="仿宋_GB2312" w:cs="仿宋_GB2312"/>
          <w:sz w:val="32"/>
          <w:szCs w:val="32"/>
          <w:lang w:eastAsia="zh-CN"/>
        </w:rPr>
        <w:t>自查</w:t>
      </w:r>
      <w:r>
        <w:rPr>
          <w:rFonts w:hint="eastAsia" w:ascii="仿宋_GB2312" w:hAnsi="仿宋_GB2312" w:eastAsia="仿宋_GB2312" w:cs="仿宋_GB2312"/>
          <w:sz w:val="32"/>
          <w:szCs w:val="32"/>
        </w:rPr>
        <w:t>清单</w:t>
      </w:r>
      <w:r>
        <w:rPr>
          <w:rFonts w:hint="eastAsia" w:ascii="仿宋_GB2312" w:hAnsi="仿宋_GB2312" w:eastAsia="仿宋_GB2312" w:cs="仿宋_GB2312"/>
          <w:sz w:val="32"/>
          <w:szCs w:val="32"/>
          <w:lang w:val="en-US" w:eastAsia="zh-CN"/>
        </w:rPr>
        <w:t>》适用于北京市涉及使用危险化学品的实验室，在前4类隐患排查清单基础上需单独</w:t>
      </w:r>
      <w:r>
        <w:rPr>
          <w:rFonts w:hint="eastAsia" w:ascii="仿宋_GB2312" w:hAnsi="仿宋_GB2312" w:cs="仿宋_GB2312"/>
          <w:sz w:val="32"/>
          <w:szCs w:val="32"/>
          <w:lang w:val="en-US" w:eastAsia="zh-CN"/>
        </w:rPr>
        <w:t>按照本清单</w:t>
      </w:r>
      <w:r>
        <w:rPr>
          <w:rFonts w:hint="eastAsia" w:ascii="仿宋_GB2312" w:hAnsi="仿宋_GB2312" w:eastAsia="仿宋_GB2312" w:cs="仿宋_GB2312"/>
          <w:sz w:val="32"/>
          <w:szCs w:val="32"/>
          <w:lang w:val="en-US" w:eastAsia="zh-CN"/>
        </w:rPr>
        <w:t>再次开展隐患排查。</w:t>
      </w:r>
    </w:p>
    <w:p>
      <w:pPr>
        <w:pStyle w:val="2"/>
        <w:adjustRightInd w:val="0"/>
        <w:snapToGrid w:val="0"/>
        <w:spacing w:line="560" w:lineRule="exact"/>
        <w:rPr>
          <w:rFonts w:hint="eastAsia" w:ascii="方正小标宋简体" w:hAnsi="方正小标宋简体" w:eastAsia="方正小标宋简体" w:cs="方正小标宋简体"/>
          <w:kern w:val="2"/>
          <w:sz w:val="44"/>
          <w:szCs w:val="44"/>
        </w:rPr>
      </w:pPr>
      <w:r>
        <w:rPr>
          <w:rFonts w:hint="eastAsia" w:ascii="仿宋_GB2312" w:hAnsi="仿宋_GB2312" w:eastAsia="仿宋_GB2312" w:cs="仿宋_GB2312"/>
          <w:sz w:val="32"/>
          <w:szCs w:val="32"/>
          <w:lang w:val="en-US" w:eastAsia="zh-CN"/>
        </w:rPr>
        <w:t>6.请各部门督促本行业领域企事业单位，严格按照单位类型选用对应的清单开展自查；同时，在部门检查环节也需严格按照单位类型选用上述对应的清单开展检查。</w:t>
      </w:r>
    </w:p>
    <w:p>
      <w:pPr>
        <w:pStyle w:val="3"/>
        <w:rPr>
          <w:rFonts w:hint="eastAsia" w:ascii="方正小标宋简体" w:hAnsi="方正小标宋简体" w:eastAsia="方正小标宋简体" w:cs="方正小标宋简体"/>
          <w:kern w:val="2"/>
          <w:sz w:val="44"/>
          <w:szCs w:val="44"/>
        </w:rPr>
        <w:sectPr>
          <w:footerReference r:id="rId6" w:type="default"/>
          <w:pgSz w:w="16838" w:h="11906" w:orient="landscape"/>
          <w:pgMar w:top="1800" w:right="1440" w:bottom="1800" w:left="1440" w:header="851" w:footer="992" w:gutter="0"/>
          <w:pgNumType w:fmt="decimal" w:start="1"/>
          <w:cols w:space="425" w:num="1"/>
          <w:docGrid w:type="lines" w:linePitch="312" w:charSpace="0"/>
        </w:sectPr>
      </w:pPr>
    </w:p>
    <w:p>
      <w:pPr>
        <w:pStyle w:val="2"/>
        <w:adjustRightInd w:val="0"/>
        <w:snapToGrid w:val="0"/>
        <w:spacing w:before="156" w:beforeLines="50" w:after="156" w:afterLines="50" w:line="800" w:lineRule="exact"/>
        <w:ind w:firstLine="0" w:firstLineChars="0"/>
        <w:jc w:val="center"/>
        <w:rPr>
          <w:rFonts w:hint="eastAsia" w:ascii="方正小标宋简体" w:hAnsi="方正小标宋简体" w:eastAsia="方正小标宋简体" w:cs="方正小标宋简体"/>
          <w:kern w:val="2"/>
          <w:sz w:val="44"/>
          <w:szCs w:val="44"/>
          <w:lang w:eastAsia="zh-CN"/>
        </w:rPr>
      </w:pPr>
      <w:bookmarkStart w:id="10" w:name="_Toc1237616415_WPSOffice_Level1"/>
      <w:r>
        <w:rPr>
          <w:rFonts w:hint="eastAsia" w:ascii="方正小标宋简体" w:hAnsi="方正小标宋简体" w:eastAsia="方正小标宋简体" w:cs="方正小标宋简体"/>
          <w:kern w:val="2"/>
          <w:sz w:val="44"/>
          <w:szCs w:val="44"/>
        </w:rPr>
        <w:t>北京市化工企业危险化学品隐患</w:t>
      </w:r>
      <w:r>
        <w:rPr>
          <w:rFonts w:hint="eastAsia" w:ascii="方正小标宋简体" w:hAnsi="方正小标宋简体" w:eastAsia="方正小标宋简体" w:cs="方正小标宋简体"/>
          <w:kern w:val="2"/>
          <w:sz w:val="44"/>
          <w:szCs w:val="44"/>
          <w:lang w:eastAsia="zh-CN"/>
        </w:rPr>
        <w:t>自</w:t>
      </w:r>
      <w:r>
        <w:rPr>
          <w:rFonts w:hint="eastAsia" w:ascii="方正小标宋简体" w:hAnsi="方正小标宋简体" w:eastAsia="方正小标宋简体" w:cs="方正小标宋简体"/>
          <w:kern w:val="2"/>
          <w:sz w:val="44"/>
          <w:szCs w:val="44"/>
        </w:rPr>
        <w:t>查清单</w:t>
      </w:r>
      <w:bookmarkEnd w:id="10"/>
    </w:p>
    <w:tbl>
      <w:tblPr>
        <w:tblStyle w:val="12"/>
        <w:tblW w:w="491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9"/>
        <w:gridCol w:w="1069"/>
        <w:gridCol w:w="1037"/>
        <w:gridCol w:w="2895"/>
        <w:gridCol w:w="3895"/>
        <w:gridCol w:w="3598"/>
        <w:gridCol w:w="5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jc w:val="center"/>
        </w:trPr>
        <w:tc>
          <w:tcPr>
            <w:tcW w:w="336" w:type="pct"/>
            <w:vMerge w:val="restart"/>
            <w:shd w:val="clear" w:color="000000" w:fill="95B3D7" w:themeFill="accent1" w:themeFillTint="99"/>
            <w:noWrap/>
            <w:vAlign w:val="center"/>
          </w:tcPr>
          <w:p>
            <w:pPr>
              <w:widowControl/>
              <w:adjustRightInd w:val="0"/>
              <w:snapToGrid w:val="0"/>
              <w:spacing w:after="0" w:line="240" w:lineRule="auto"/>
              <w:jc w:val="center"/>
              <w:rPr>
                <w:rFonts w:hint="eastAsia" w:ascii="仿宋_GB2312" w:hAnsi="宋体" w:cs="宋体"/>
                <w:b/>
                <w:bCs/>
                <w:kern w:val="0"/>
                <w:sz w:val="20"/>
                <w:szCs w:val="20"/>
              </w:rPr>
            </w:pPr>
            <w:bookmarkStart w:id="11" w:name="_Toc405640735"/>
            <w:bookmarkEnd w:id="11"/>
            <w:r>
              <w:rPr>
                <w:rFonts w:hint="eastAsia" w:ascii="仿宋_GB2312" w:hAnsi="宋体" w:cs="宋体"/>
                <w:b/>
                <w:bCs/>
                <w:kern w:val="0"/>
                <w:sz w:val="20"/>
                <w:szCs w:val="20"/>
              </w:rPr>
              <w:t>编号</w:t>
            </w:r>
          </w:p>
        </w:tc>
        <w:tc>
          <w:tcPr>
            <w:tcW w:w="755" w:type="pct"/>
            <w:gridSpan w:val="2"/>
            <w:shd w:val="clear" w:color="000000" w:fill="95B3D7" w:themeFill="accent1" w:themeFillTint="99"/>
            <w:noWrap/>
            <w:vAlign w:val="center"/>
          </w:tcPr>
          <w:p>
            <w:pPr>
              <w:widowControl/>
              <w:suppressAutoHyphens/>
              <w:adjustRightInd w:val="0"/>
              <w:snapToGrid w:val="0"/>
              <w:spacing w:after="0" w:line="240" w:lineRule="auto"/>
              <w:jc w:val="center"/>
              <w:rPr>
                <w:rFonts w:hint="eastAsia" w:ascii="仿宋_GB2312" w:hAnsi="宋体" w:cs="宋体"/>
                <w:b/>
                <w:bCs/>
                <w:kern w:val="0"/>
                <w:sz w:val="20"/>
                <w:szCs w:val="20"/>
              </w:rPr>
            </w:pPr>
            <w:r>
              <w:rPr>
                <w:rFonts w:hint="eastAsia" w:ascii="仿宋_GB2312" w:hAnsi="仿宋_GB2312" w:cs="仿宋_GB2312"/>
                <w:b/>
                <w:bCs/>
                <w:kern w:val="0"/>
                <w:sz w:val="20"/>
                <w:szCs w:val="20"/>
              </w:rPr>
              <w:t>隐患分类</w:t>
            </w:r>
          </w:p>
        </w:tc>
        <w:tc>
          <w:tcPr>
            <w:tcW w:w="1038" w:type="pct"/>
            <w:vMerge w:val="restart"/>
            <w:shd w:val="clear" w:color="000000" w:fill="95B3D7" w:themeFill="accent1" w:themeFillTint="99"/>
            <w:noWrap/>
            <w:vAlign w:val="center"/>
          </w:tcPr>
          <w:p>
            <w:pPr>
              <w:widowControl/>
              <w:adjustRightInd w:val="0"/>
              <w:snapToGrid w:val="0"/>
              <w:spacing w:after="0" w:line="240" w:lineRule="auto"/>
              <w:jc w:val="center"/>
              <w:rPr>
                <w:rFonts w:hint="eastAsia" w:ascii="仿宋_GB2312" w:hAnsi="宋体" w:cs="宋体"/>
                <w:b/>
                <w:bCs/>
                <w:kern w:val="0"/>
                <w:sz w:val="20"/>
                <w:szCs w:val="20"/>
              </w:rPr>
            </w:pPr>
            <w:r>
              <w:rPr>
                <w:rFonts w:hint="eastAsia" w:ascii="仿宋_GB2312" w:hAnsi="宋体" w:cs="宋体"/>
                <w:b/>
                <w:bCs/>
                <w:kern w:val="0"/>
                <w:sz w:val="20"/>
                <w:szCs w:val="20"/>
              </w:rPr>
              <w:t>自查内容</w:t>
            </w:r>
          </w:p>
        </w:tc>
        <w:tc>
          <w:tcPr>
            <w:tcW w:w="1397" w:type="pct"/>
            <w:vMerge w:val="restart"/>
            <w:shd w:val="clear" w:color="000000" w:fill="95B3D7" w:themeFill="accent1" w:themeFillTint="99"/>
            <w:noWrap/>
            <w:vAlign w:val="center"/>
          </w:tcPr>
          <w:p>
            <w:pPr>
              <w:widowControl/>
              <w:adjustRightInd w:val="0"/>
              <w:snapToGrid w:val="0"/>
              <w:spacing w:after="0" w:line="240" w:lineRule="auto"/>
              <w:jc w:val="center"/>
              <w:rPr>
                <w:rFonts w:hint="eastAsia" w:ascii="仿宋_GB2312" w:hAnsi="宋体" w:cs="宋体"/>
                <w:b/>
                <w:bCs/>
                <w:kern w:val="0"/>
                <w:sz w:val="20"/>
                <w:szCs w:val="20"/>
              </w:rPr>
            </w:pPr>
            <w:r>
              <w:rPr>
                <w:rFonts w:hint="eastAsia" w:ascii="仿宋_GB2312" w:hAnsi="宋体" w:cs="宋体"/>
                <w:b/>
                <w:bCs/>
                <w:kern w:val="0"/>
                <w:sz w:val="20"/>
                <w:szCs w:val="20"/>
              </w:rPr>
              <w:t>自查标准</w:t>
            </w:r>
          </w:p>
        </w:tc>
        <w:tc>
          <w:tcPr>
            <w:tcW w:w="1290" w:type="pct"/>
            <w:vMerge w:val="restart"/>
            <w:shd w:val="clear" w:color="000000" w:fill="95B3D7" w:themeFill="accent1" w:themeFillTint="99"/>
            <w:noWrap/>
            <w:vAlign w:val="center"/>
          </w:tcPr>
          <w:p>
            <w:pPr>
              <w:widowControl/>
              <w:adjustRightInd w:val="0"/>
              <w:snapToGrid w:val="0"/>
              <w:spacing w:after="0" w:line="240" w:lineRule="auto"/>
              <w:jc w:val="center"/>
              <w:rPr>
                <w:rFonts w:hint="eastAsia" w:ascii="仿宋_GB2312" w:hAnsi="宋体" w:cs="宋体"/>
                <w:b/>
                <w:bCs/>
                <w:kern w:val="0"/>
                <w:sz w:val="20"/>
                <w:szCs w:val="20"/>
              </w:rPr>
            </w:pPr>
            <w:r>
              <w:rPr>
                <w:rFonts w:hint="eastAsia" w:ascii="仿宋_GB2312" w:hAnsi="宋体" w:cs="宋体"/>
                <w:b/>
                <w:bCs/>
                <w:kern w:val="0"/>
                <w:sz w:val="20"/>
                <w:szCs w:val="20"/>
              </w:rPr>
              <w:t>依据</w:t>
            </w:r>
          </w:p>
        </w:tc>
        <w:tc>
          <w:tcPr>
            <w:tcW w:w="182" w:type="pct"/>
            <w:vMerge w:val="restart"/>
            <w:shd w:val="clear" w:color="000000" w:fill="95B3D7" w:themeFill="accent1" w:themeFillTint="99"/>
            <w:noWrap/>
            <w:vAlign w:val="center"/>
          </w:tcPr>
          <w:p>
            <w:pPr>
              <w:widowControl/>
              <w:adjustRightInd w:val="0"/>
              <w:snapToGrid w:val="0"/>
              <w:spacing w:after="0" w:line="240" w:lineRule="auto"/>
              <w:jc w:val="center"/>
              <w:rPr>
                <w:rFonts w:hint="eastAsia" w:ascii="仿宋_GB2312" w:hAnsi="宋体" w:cs="宋体"/>
                <w:b/>
                <w:bCs/>
                <w:kern w:val="0"/>
                <w:sz w:val="20"/>
                <w:szCs w:val="20"/>
              </w:rPr>
            </w:pPr>
            <w:r>
              <w:rPr>
                <w:rFonts w:hint="eastAsia" w:ascii="仿宋_GB2312" w:hAnsi="宋体" w:cs="宋体"/>
                <w:b/>
                <w:bCs/>
                <w:kern w:val="0"/>
                <w:sz w:val="20"/>
                <w:szCs w:val="20"/>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0" w:hRule="atLeast"/>
          <w:tblHeader/>
          <w:jc w:val="center"/>
        </w:trPr>
        <w:tc>
          <w:tcPr>
            <w:tcW w:w="336" w:type="pct"/>
            <w:vMerge w:val="continue"/>
            <w:vAlign w:val="center"/>
          </w:tcPr>
          <w:p>
            <w:pPr>
              <w:widowControl/>
              <w:adjustRightInd w:val="0"/>
              <w:snapToGrid w:val="0"/>
              <w:spacing w:after="0" w:line="240" w:lineRule="auto"/>
              <w:jc w:val="center"/>
              <w:rPr>
                <w:rFonts w:hint="eastAsia" w:ascii="仿宋_GB2312" w:hAnsi="宋体" w:cs="宋体"/>
                <w:kern w:val="0"/>
                <w:sz w:val="20"/>
                <w:szCs w:val="20"/>
              </w:rPr>
            </w:pPr>
          </w:p>
        </w:tc>
        <w:tc>
          <w:tcPr>
            <w:tcW w:w="383" w:type="pct"/>
            <w:shd w:val="clear" w:color="000000" w:fill="95B3D7" w:themeFill="accent1" w:themeFillTint="99"/>
            <w:noWrap/>
            <w:vAlign w:val="center"/>
          </w:tcPr>
          <w:p>
            <w:pPr>
              <w:widowControl/>
              <w:suppressAutoHyphens/>
              <w:adjustRightInd w:val="0"/>
              <w:snapToGrid w:val="0"/>
              <w:spacing w:after="0" w:line="240" w:lineRule="auto"/>
              <w:jc w:val="center"/>
              <w:rPr>
                <w:rFonts w:hint="eastAsia" w:ascii="仿宋_GB2312" w:hAnsi="仿宋_GB2312" w:cs="仿宋_GB2312"/>
                <w:b/>
                <w:bCs/>
                <w:kern w:val="0"/>
                <w:sz w:val="20"/>
                <w:szCs w:val="20"/>
              </w:rPr>
            </w:pPr>
            <w:r>
              <w:rPr>
                <w:rFonts w:hint="eastAsia" w:ascii="仿宋_GB2312" w:hAnsi="仿宋_GB2312" w:cs="仿宋_GB2312"/>
                <w:b/>
                <w:bCs/>
                <w:kern w:val="0"/>
                <w:sz w:val="20"/>
                <w:szCs w:val="20"/>
              </w:rPr>
              <w:t>“一类”</w:t>
            </w:r>
          </w:p>
          <w:p>
            <w:pPr>
              <w:widowControl/>
              <w:suppressAutoHyphens/>
              <w:adjustRightInd w:val="0"/>
              <w:snapToGrid w:val="0"/>
              <w:spacing w:after="0" w:line="240" w:lineRule="auto"/>
              <w:jc w:val="center"/>
              <w:rPr>
                <w:rFonts w:hint="eastAsia" w:ascii="仿宋_GB2312" w:hAnsi="宋体" w:cs="宋体"/>
                <w:b/>
                <w:bCs/>
                <w:kern w:val="0"/>
                <w:sz w:val="20"/>
                <w:szCs w:val="20"/>
              </w:rPr>
            </w:pPr>
            <w:r>
              <w:rPr>
                <w:rFonts w:hint="eastAsia" w:ascii="仿宋_GB2312" w:hAnsi="仿宋_GB2312" w:cs="仿宋_GB2312"/>
                <w:b/>
                <w:bCs/>
                <w:kern w:val="0"/>
                <w:sz w:val="20"/>
                <w:szCs w:val="20"/>
              </w:rPr>
              <w:t>隐患</w:t>
            </w:r>
          </w:p>
        </w:tc>
        <w:tc>
          <w:tcPr>
            <w:tcW w:w="371" w:type="pct"/>
            <w:shd w:val="clear" w:color="000000" w:fill="95B3D7" w:themeFill="accent1" w:themeFillTint="99"/>
            <w:noWrap/>
            <w:vAlign w:val="center"/>
          </w:tcPr>
          <w:p>
            <w:pPr>
              <w:widowControl/>
              <w:suppressAutoHyphens/>
              <w:adjustRightInd w:val="0"/>
              <w:snapToGrid w:val="0"/>
              <w:spacing w:after="0" w:line="240" w:lineRule="auto"/>
              <w:jc w:val="center"/>
              <w:rPr>
                <w:rFonts w:hint="eastAsia" w:ascii="仿宋_GB2312" w:hAnsi="仿宋_GB2312" w:cs="仿宋_GB2312"/>
                <w:b/>
                <w:bCs/>
                <w:kern w:val="0"/>
                <w:sz w:val="20"/>
                <w:szCs w:val="20"/>
              </w:rPr>
            </w:pPr>
            <w:r>
              <w:rPr>
                <w:rFonts w:hint="eastAsia" w:ascii="仿宋_GB2312" w:hAnsi="仿宋_GB2312" w:cs="仿宋_GB2312"/>
                <w:b/>
                <w:bCs/>
                <w:kern w:val="0"/>
                <w:sz w:val="20"/>
                <w:szCs w:val="20"/>
              </w:rPr>
              <w:t>“二类”</w:t>
            </w:r>
          </w:p>
          <w:p>
            <w:pPr>
              <w:widowControl/>
              <w:suppressAutoHyphens/>
              <w:adjustRightInd w:val="0"/>
              <w:snapToGrid w:val="0"/>
              <w:spacing w:after="0" w:line="240" w:lineRule="auto"/>
              <w:jc w:val="center"/>
              <w:rPr>
                <w:rFonts w:hint="eastAsia" w:ascii="仿宋_GB2312" w:hAnsi="宋体" w:cs="宋体"/>
                <w:b/>
                <w:bCs/>
                <w:kern w:val="0"/>
                <w:sz w:val="20"/>
                <w:szCs w:val="20"/>
              </w:rPr>
            </w:pPr>
            <w:r>
              <w:rPr>
                <w:rFonts w:hint="eastAsia" w:ascii="仿宋_GB2312" w:hAnsi="仿宋_GB2312" w:cs="仿宋_GB2312"/>
                <w:b/>
                <w:bCs/>
                <w:kern w:val="0"/>
                <w:sz w:val="20"/>
                <w:szCs w:val="20"/>
              </w:rPr>
              <w:t>隐患</w:t>
            </w:r>
          </w:p>
        </w:tc>
        <w:tc>
          <w:tcPr>
            <w:tcW w:w="1038" w:type="pct"/>
            <w:vMerge w:val="continue"/>
            <w:vAlign w:val="center"/>
          </w:tcPr>
          <w:p>
            <w:pPr>
              <w:widowControl/>
              <w:adjustRightInd w:val="0"/>
              <w:snapToGrid w:val="0"/>
              <w:spacing w:after="0" w:line="240" w:lineRule="auto"/>
              <w:jc w:val="left"/>
              <w:rPr>
                <w:rFonts w:hint="eastAsia" w:ascii="仿宋_GB2312" w:hAnsi="宋体" w:cs="宋体"/>
                <w:kern w:val="0"/>
                <w:sz w:val="20"/>
                <w:szCs w:val="20"/>
              </w:rPr>
            </w:pPr>
          </w:p>
        </w:tc>
        <w:tc>
          <w:tcPr>
            <w:tcW w:w="1397" w:type="pct"/>
            <w:vMerge w:val="continue"/>
            <w:vAlign w:val="center"/>
          </w:tcPr>
          <w:p>
            <w:pPr>
              <w:widowControl/>
              <w:adjustRightInd w:val="0"/>
              <w:snapToGrid w:val="0"/>
              <w:spacing w:after="0" w:line="240" w:lineRule="auto"/>
              <w:jc w:val="left"/>
              <w:rPr>
                <w:rFonts w:hint="eastAsia" w:ascii="仿宋_GB2312" w:hAnsi="宋体" w:cs="宋体"/>
                <w:kern w:val="0"/>
                <w:sz w:val="20"/>
                <w:szCs w:val="20"/>
              </w:rPr>
            </w:pPr>
          </w:p>
        </w:tc>
        <w:tc>
          <w:tcPr>
            <w:tcW w:w="1290" w:type="pct"/>
            <w:vMerge w:val="continue"/>
            <w:vAlign w:val="center"/>
          </w:tcPr>
          <w:p>
            <w:pPr>
              <w:widowControl/>
              <w:adjustRightInd w:val="0"/>
              <w:snapToGrid w:val="0"/>
              <w:spacing w:after="0" w:line="240" w:lineRule="auto"/>
              <w:jc w:val="left"/>
              <w:rPr>
                <w:rFonts w:hint="eastAsia" w:ascii="仿宋_GB2312" w:hAnsi="宋体" w:cs="宋体"/>
                <w:kern w:val="0"/>
                <w:sz w:val="20"/>
                <w:szCs w:val="20"/>
              </w:rPr>
            </w:pPr>
          </w:p>
        </w:tc>
        <w:tc>
          <w:tcPr>
            <w:tcW w:w="182" w:type="pct"/>
            <w:vMerge w:val="continue"/>
            <w:vAlign w:val="center"/>
          </w:tcPr>
          <w:p>
            <w:pPr>
              <w:widowControl/>
              <w:adjustRightInd w:val="0"/>
              <w:snapToGrid w:val="0"/>
              <w:spacing w:after="0" w:line="240" w:lineRule="auto"/>
              <w:jc w:val="left"/>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12.1.02.001</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基础资料类</w:t>
            </w:r>
          </w:p>
        </w:tc>
        <w:tc>
          <w:tcPr>
            <w:tcW w:w="371"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机构及人员配备类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未按要求设置安全生产管理机构或配备专（兼）职安全生产管理人员。</w:t>
            </w:r>
          </w:p>
        </w:tc>
        <w:tc>
          <w:tcPr>
            <w:tcW w:w="1397"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生产经营单位，应当按照下列规定设置安全生产管理机构或者配备安全生产管理人员：</w:t>
            </w:r>
          </w:p>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（一）从业人员总数超过300人的，应当设置安全生产管理机构，按照不少于从业人员总数0.5%的比例配备专职安全生产管理人员，且最低不得少于3人；</w:t>
            </w:r>
          </w:p>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（二）从业人员总数超过100人且在300人以下的，应当配备不少于2人的专职安全生产管理人员；</w:t>
            </w:r>
          </w:p>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（三）从业人员总数在100人以下的，应当配备专职或者兼职安全生产管理人员，或者委托依法设立的安全生产技术、管理服务机构提供安全生产管理服务。</w:t>
            </w:r>
          </w:p>
        </w:tc>
        <w:tc>
          <w:tcPr>
            <w:tcW w:w="1290"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《中华人民共和国安全生产法》第二十四条；</w:t>
            </w:r>
          </w:p>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《北京市安全生产条例》第二十条；</w:t>
            </w:r>
          </w:p>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《北京市生产经营单位安全生产主体责任规定》第十二条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12.1.03.002</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基础资料类</w:t>
            </w:r>
          </w:p>
        </w:tc>
        <w:tc>
          <w:tcPr>
            <w:tcW w:w="371"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责任制类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等线" w:cs="宋体"/>
                <w:kern w:val="0"/>
                <w:sz w:val="20"/>
                <w:szCs w:val="20"/>
              </w:rPr>
              <w:t>未建立与岗位相匹配的全员安全生产责任制或者未制定实施生产安全事故隐患排查治理制度。</w:t>
            </w:r>
          </w:p>
        </w:tc>
        <w:tc>
          <w:tcPr>
            <w:tcW w:w="1397"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生产经营单位必须建立健全全员安全生产责任制和安全生产规章制度,构建安全风险分级管控和隐患排查治理双重预防机制。</w:t>
            </w:r>
          </w:p>
        </w:tc>
        <w:tc>
          <w:tcPr>
            <w:tcW w:w="1290"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《中华人民共和国安全生产法》第四条、第二十二条；</w:t>
            </w:r>
          </w:p>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《中华人民共和国危险化学品安全法》第五条；</w:t>
            </w:r>
          </w:p>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《北京市安全生产条例》第四条、第十四条；</w:t>
            </w:r>
          </w:p>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《北京市生产经营单位安全生产主体责任规定》第三条、第六条；</w:t>
            </w:r>
          </w:p>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lang w:eastAsia="zh-CN"/>
              </w:rPr>
              <w:t>《化工和危险化学品生产经营企业重大生产安全事故隐患判定准则》（AQ 3067-2026）</w:t>
            </w:r>
            <w:r>
              <w:rPr>
                <w:rFonts w:hint="eastAsia" w:ascii="仿宋_GB2312" w:hAnsi="宋体" w:cs="宋体"/>
                <w:kern w:val="0"/>
                <w:sz w:val="20"/>
                <w:szCs w:val="20"/>
              </w:rPr>
              <w:t>第5.7.6条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12.1.03.003</w:t>
            </w:r>
          </w:p>
        </w:tc>
        <w:tc>
          <w:tcPr>
            <w:tcW w:w="383" w:type="pct"/>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r>
              <w:rPr>
                <w:rFonts w:hint="eastAsia" w:ascii="仿宋_GB2312" w:eastAsia="仿宋_GB2312" w:hAnsiTheme="minorEastAsia"/>
                <w:sz w:val="20"/>
                <w:szCs w:val="20"/>
                <w:lang w:eastAsia="zh-TW" w:bidi="ar"/>
              </w:rPr>
              <w:t>基础资料类</w:t>
            </w:r>
          </w:p>
        </w:tc>
        <w:tc>
          <w:tcPr>
            <w:tcW w:w="371" w:type="pct"/>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r>
              <w:rPr>
                <w:rFonts w:hint="eastAsia" w:ascii="仿宋_GB2312" w:eastAsia="仿宋_GB2312" w:hAnsiTheme="minorEastAsia"/>
                <w:sz w:val="20"/>
                <w:szCs w:val="20"/>
                <w:lang w:eastAsia="zh-TW" w:bidi="ar"/>
              </w:rPr>
              <w:t>责任制类</w:t>
            </w:r>
          </w:p>
        </w:tc>
        <w:tc>
          <w:tcPr>
            <w:tcW w:w="1038" w:type="pct"/>
            <w:shd w:val="clear" w:color="auto" w:fill="FFFFFF"/>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rPr>
            </w:pPr>
            <w:r>
              <w:rPr>
                <w:rFonts w:hint="eastAsia" w:ascii="仿宋_GB2312" w:eastAsia="仿宋_GB2312" w:hAnsiTheme="minorEastAsia"/>
                <w:sz w:val="20"/>
                <w:szCs w:val="20"/>
                <w:lang w:bidi="ar"/>
              </w:rPr>
              <w:t>主要负责人职责不完善。</w:t>
            </w:r>
          </w:p>
        </w:tc>
        <w:tc>
          <w:tcPr>
            <w:tcW w:w="1397" w:type="pct"/>
            <w:vAlign w:val="center"/>
          </w:tcPr>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生产经营单位的主要负责人对本单位的安全生产工作全面负责，履行下列职责：</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(一)建立、健全并督促落实安全生产责任制；</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(二)组织制定并督促落实安全生产规章制度和操作规程；</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(三)组织制定并实施安全生产教育和培训计划；</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(四)保证安全生产投入的有效实施；</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(五)每季度至少研究一次安全生产工作；</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(六)督促检查安全生产工作，及时消除生产安全事故隐患；</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(七)每年向职工代表大会或者职工大会报告安全生产工作情况；依法不需要建立职工代表大会或者职工大会的小型或者微型企业等规模较小的生产经营单位，应当每年向从业人员通报安全生产工作情况；</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(八)组织制定并实施生产安全事故应急救援预案；</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(九)及时、如实报告生产安全事故。</w:t>
            </w:r>
          </w:p>
        </w:tc>
        <w:tc>
          <w:tcPr>
            <w:tcW w:w="1290" w:type="pct"/>
            <w:vAlign w:val="center"/>
          </w:tcPr>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《中华人民共和国安全生产法》第二十一条；</w:t>
            </w:r>
          </w:p>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《北京市生产经营单位安全生产主体责任规定》第四条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12.1.03.004</w:t>
            </w:r>
          </w:p>
        </w:tc>
        <w:tc>
          <w:tcPr>
            <w:tcW w:w="383" w:type="pct"/>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基础资料类</w:t>
            </w:r>
          </w:p>
        </w:tc>
        <w:tc>
          <w:tcPr>
            <w:tcW w:w="371" w:type="pct"/>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责任制类</w:t>
            </w:r>
          </w:p>
        </w:tc>
        <w:tc>
          <w:tcPr>
            <w:tcW w:w="1038" w:type="pct"/>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安全生产管理机构或者安全生产管理人员职责不完善。</w:t>
            </w:r>
          </w:p>
        </w:tc>
        <w:tc>
          <w:tcPr>
            <w:tcW w:w="1397" w:type="pct"/>
            <w:vAlign w:val="center"/>
          </w:tcPr>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生产经营单位的安全生产管理机构或者安全生产管理人员履行下列职责：</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(一)组织或者参与拟订安全生产规章制度、操作规程和生产安全事故应急救援预案；</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(二)组织或者参与安全生产教育和培训，如实记录安全生产教育和培训情况；</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(三)督促落实重大危险源的安全管理措施；</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(四)组织或者参与应急救援演练；</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(五)检查安全生产状况，及时排查事故隐患，提出改进安全生产管理的建议；</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(六)制止和纠正违章指挥、强令冒险作业、违反操作规程的行为；</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(七)督促落实安全生产整改措施；</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(八)督促本单位其他机构和人员履行安全生产职责，组织或者参与安全生产考核，提出奖惩意见；</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(九)依法组织或者参与生产安全事故调查处理。</w:t>
            </w:r>
          </w:p>
        </w:tc>
        <w:tc>
          <w:tcPr>
            <w:tcW w:w="1290" w:type="pct"/>
            <w:vAlign w:val="center"/>
          </w:tcPr>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《中华人民共和国安全生产法》第二十五条；</w:t>
            </w:r>
          </w:p>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《北京市生产经营单位安全生产主体责任规定》第十五条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12.1.01.005</w:t>
            </w:r>
          </w:p>
        </w:tc>
        <w:tc>
          <w:tcPr>
            <w:tcW w:w="383" w:type="pct"/>
            <w:vAlign w:val="center"/>
          </w:tcPr>
          <w:p>
            <w:pPr>
              <w:widowControl/>
              <w:adjustRightInd w:val="0"/>
              <w:snapToGrid w:val="0"/>
              <w:spacing w:after="0" w:line="240" w:lineRule="auto"/>
              <w:jc w:val="center"/>
              <w:rPr>
                <w:rFonts w:hint="eastAsia" w:ascii="仿宋_GB2312" w:hAnsi="等线" w:cs="宋体"/>
                <w:kern w:val="0"/>
                <w:sz w:val="20"/>
                <w:szCs w:val="20"/>
              </w:rPr>
            </w:pPr>
            <w:r>
              <w:rPr>
                <w:rFonts w:hint="eastAsia" w:ascii="仿宋_GB2312" w:hAnsi="宋体" w:cs="宋体"/>
                <w:kern w:val="0"/>
                <w:sz w:val="20"/>
                <w:szCs w:val="20"/>
              </w:rPr>
              <w:t>基础资料类</w:t>
            </w:r>
          </w:p>
        </w:tc>
        <w:tc>
          <w:tcPr>
            <w:tcW w:w="371" w:type="pct"/>
            <w:vAlign w:val="center"/>
          </w:tcPr>
          <w:p>
            <w:pPr>
              <w:widowControl/>
              <w:adjustRightInd w:val="0"/>
              <w:snapToGrid w:val="0"/>
              <w:spacing w:after="0" w:line="240" w:lineRule="auto"/>
              <w:jc w:val="center"/>
              <w:rPr>
                <w:rFonts w:hint="eastAsia" w:ascii="仿宋_GB2312" w:hAnsi="等线" w:cs="宋体"/>
                <w:kern w:val="0"/>
                <w:sz w:val="20"/>
                <w:szCs w:val="20"/>
              </w:rPr>
            </w:pPr>
            <w:r>
              <w:rPr>
                <w:rFonts w:hint="eastAsia" w:ascii="仿宋_GB2312" w:hAnsi="宋体" w:cs="宋体"/>
                <w:kern w:val="0"/>
                <w:sz w:val="20"/>
                <w:szCs w:val="20"/>
              </w:rPr>
              <w:t>责任制类</w:t>
            </w:r>
          </w:p>
        </w:tc>
        <w:tc>
          <w:tcPr>
            <w:tcW w:w="1038" w:type="pct"/>
            <w:vAlign w:val="center"/>
          </w:tcPr>
          <w:p>
            <w:pPr>
              <w:widowControl/>
              <w:adjustRightInd w:val="0"/>
              <w:snapToGrid w:val="0"/>
              <w:spacing w:after="0" w:line="240" w:lineRule="auto"/>
              <w:jc w:val="left"/>
              <w:rPr>
                <w:rFonts w:hint="eastAsia" w:ascii="仿宋_GB2312" w:hAnsi="等线" w:cs="宋体"/>
                <w:kern w:val="0"/>
                <w:sz w:val="20"/>
                <w:szCs w:val="20"/>
              </w:rPr>
            </w:pPr>
            <w:r>
              <w:rPr>
                <w:rFonts w:hint="eastAsia" w:ascii="仿宋_GB2312" w:hAnsi="等线" w:cs="宋体"/>
                <w:kern w:val="0"/>
                <w:sz w:val="20"/>
                <w:szCs w:val="20"/>
              </w:rPr>
              <w:t>生产经营单位未建立责任制相应的机制，未对全员安全生产责任制落实情况的监督考核，保证全员安全生产责任制的落实。</w:t>
            </w:r>
          </w:p>
        </w:tc>
        <w:tc>
          <w:tcPr>
            <w:tcW w:w="1397"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生产经营单位的全员安全生产责任制应当明确各岗位的责任人员、责任范围和考核标准等内容。生产经营单位应当建立相应的机制，加强对全员安全生产责任制落实情况的监督考核，保证全员安全生产责任制的落实。</w:t>
            </w:r>
          </w:p>
        </w:tc>
        <w:tc>
          <w:tcPr>
            <w:tcW w:w="1290"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《中华人民共和国安全生产法》第二十二条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12.1.04.006</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等线" w:cs="宋体"/>
                <w:kern w:val="0"/>
                <w:sz w:val="20"/>
                <w:szCs w:val="20"/>
              </w:rPr>
              <w:t>基础资料类</w:t>
            </w:r>
          </w:p>
        </w:tc>
        <w:tc>
          <w:tcPr>
            <w:tcW w:w="371"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等线" w:cs="宋体"/>
                <w:kern w:val="0"/>
                <w:sz w:val="20"/>
                <w:szCs w:val="20"/>
              </w:rPr>
              <w:t>制度类</w:t>
            </w:r>
          </w:p>
        </w:tc>
        <w:tc>
          <w:tcPr>
            <w:tcW w:w="1038" w:type="pct"/>
            <w:vAlign w:val="center"/>
          </w:tcPr>
          <w:p>
            <w:pPr>
              <w:widowControl/>
              <w:adjustRightInd w:val="0"/>
              <w:snapToGrid w:val="0"/>
              <w:spacing w:after="0" w:line="240" w:lineRule="auto"/>
              <w:jc w:val="left"/>
              <w:rPr>
                <w:rFonts w:hint="eastAsia" w:ascii="仿宋_GB2312" w:hAnsi="等线" w:cs="宋体"/>
                <w:kern w:val="0"/>
                <w:sz w:val="20"/>
                <w:szCs w:val="20"/>
              </w:rPr>
            </w:pPr>
            <w:r>
              <w:rPr>
                <w:rFonts w:hint="eastAsia" w:ascii="仿宋_GB2312" w:hAnsi="等线" w:cs="宋体"/>
                <w:kern w:val="0"/>
                <w:sz w:val="20"/>
                <w:szCs w:val="20"/>
              </w:rPr>
              <w:t>未按企业实际制定、实施安全生产管理制度：</w:t>
            </w:r>
            <w:r>
              <w:rPr>
                <w:rFonts w:hint="eastAsia" w:ascii="仿宋_GB2312" w:hAnsi="等线" w:cs="宋体"/>
                <w:kern w:val="0"/>
                <w:sz w:val="20"/>
                <w:szCs w:val="20"/>
              </w:rPr>
              <w:br w:type="textWrapping"/>
            </w:r>
            <w:r>
              <w:rPr>
                <w:rFonts w:hint="eastAsia" w:ascii="仿宋_GB2312" w:hAnsi="等线" w:cs="宋体"/>
                <w:kern w:val="0"/>
                <w:sz w:val="20"/>
                <w:szCs w:val="20"/>
              </w:rPr>
              <w:t>（一）安全生产教育和培训制度；（二）安全生产检查制度；（三）生产安全事故隐患排查和治理制度；（四）具有较大危险因素的生产经营场所、设备和设施的安全管理制度；（五）安全生产资金投入或者安全生产费用提取、使用和管理制度；（六）危险作业管理制度；（七）特种作业人员管理制度；（八）劳动防护用品配备和使用制度；（九）安全生产奖励和惩罚制度；（十）生产安全事故报告和调查处理制度；（十一）法律、法规、规章规定的其他安全生产制度。</w:t>
            </w:r>
          </w:p>
          <w:p>
            <w:pPr>
              <w:widowControl/>
              <w:adjustRightInd w:val="0"/>
              <w:snapToGrid w:val="0"/>
              <w:spacing w:after="0" w:line="240" w:lineRule="auto"/>
              <w:jc w:val="left"/>
              <w:rPr>
                <w:rFonts w:hint="eastAsia" w:ascii="仿宋_GB2312" w:hAnsi="等线" w:cs="宋体"/>
                <w:kern w:val="0"/>
                <w:sz w:val="20"/>
                <w:szCs w:val="20"/>
              </w:rPr>
            </w:pPr>
            <w:r>
              <w:rPr>
                <w:rFonts w:hint="eastAsia" w:ascii="仿宋_GB2312" w:hAnsi="宋体" w:cs="宋体"/>
                <w:kern w:val="0"/>
                <w:sz w:val="20"/>
                <w:szCs w:val="20"/>
              </w:rPr>
              <w:t>生产、储存危险化学品的企业未建立包括工艺操作、特殊作业、设备管理、储存条件、开停车和检维修、变更等全部生产作业环节在内的过程安全管理制度，明确责任人、岗位职责和操作规程，并组织有效实施。</w:t>
            </w:r>
          </w:p>
        </w:tc>
        <w:tc>
          <w:tcPr>
            <w:tcW w:w="1397"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生产经营单位的主要负责人应当组织制定下列安全生产规章制度：</w:t>
            </w:r>
          </w:p>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（一）安全生产教育和培训制度；</w:t>
            </w:r>
          </w:p>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（二）安全生产检查制度；</w:t>
            </w:r>
          </w:p>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（三）生产安全事故隐患排查和治理制度；</w:t>
            </w:r>
          </w:p>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（四）具有较大危险因素的生产经营场所、设备和设施的安全管理制度；</w:t>
            </w:r>
          </w:p>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（五）安全生产资金投入或者安全生产费用提取、使用和管理制度；</w:t>
            </w:r>
          </w:p>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（六）危险作业管理制度；</w:t>
            </w:r>
          </w:p>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（七）特种作业人员管理制度；</w:t>
            </w:r>
          </w:p>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（八）劳动防护用品配备和使用制度；</w:t>
            </w:r>
          </w:p>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（九）安全生产奖励和惩罚制度；</w:t>
            </w:r>
          </w:p>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（十）生产安全事故报告和调查处理制度；</w:t>
            </w:r>
          </w:p>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（十一）法律、法规、规章规定的其他安全生产制度。</w:t>
            </w:r>
          </w:p>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生产、储存危险化学品的企业应当建立包括工艺操作、特殊作业、设备管理、储存条件、开停车和检维修、变更等全部生产作业环节在内的过程安全管理制度，明确责任人、岗位职责和操作规程，并组织有效实施。</w:t>
            </w:r>
          </w:p>
        </w:tc>
        <w:tc>
          <w:tcPr>
            <w:tcW w:w="1290"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《中华人民共和国安全生产法》第四条；</w:t>
            </w:r>
          </w:p>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《中华人民共和国危险化学品安全法》第三十五条；</w:t>
            </w:r>
          </w:p>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《北京市安全生产条例》第四条；</w:t>
            </w:r>
          </w:p>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《北京市生产经营单位安全生产主体责任规定》第三条、第七条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12.1.04.007</w:t>
            </w:r>
          </w:p>
        </w:tc>
        <w:tc>
          <w:tcPr>
            <w:tcW w:w="383" w:type="pct"/>
            <w:vAlign w:val="center"/>
          </w:tcPr>
          <w:p>
            <w:pPr>
              <w:widowControl/>
              <w:adjustRightInd w:val="0"/>
              <w:snapToGrid w:val="0"/>
              <w:spacing w:after="0" w:line="240" w:lineRule="auto"/>
              <w:jc w:val="center"/>
              <w:rPr>
                <w:rFonts w:hint="eastAsia" w:ascii="仿宋_GB2312" w:hAnsi="等线" w:cs="宋体"/>
                <w:kern w:val="0"/>
                <w:sz w:val="20"/>
                <w:szCs w:val="20"/>
              </w:rPr>
            </w:pPr>
            <w:r>
              <w:rPr>
                <w:rFonts w:hint="eastAsia" w:ascii="仿宋_GB2312" w:hAnsi="等线" w:cs="宋体"/>
                <w:kern w:val="0"/>
                <w:sz w:val="20"/>
                <w:szCs w:val="20"/>
              </w:rPr>
              <w:t>基础资料类</w:t>
            </w:r>
          </w:p>
        </w:tc>
        <w:tc>
          <w:tcPr>
            <w:tcW w:w="371"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等线" w:cs="宋体"/>
                <w:kern w:val="0"/>
                <w:sz w:val="20"/>
                <w:szCs w:val="20"/>
              </w:rPr>
              <w:t>制度类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未建立变更管理制度；变更前未按要求开展安全风险评估；变更未履行变更审批程序；变更后未对相关人员开展培训。</w:t>
            </w:r>
          </w:p>
        </w:tc>
        <w:tc>
          <w:tcPr>
            <w:tcW w:w="1397"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应建立变更管理制度；变更前应按要求开展安全风险评估；变更应履行变更审批程序；变更后应对相关人员开展培训。</w:t>
            </w:r>
          </w:p>
        </w:tc>
        <w:tc>
          <w:tcPr>
            <w:tcW w:w="1290"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lang w:eastAsia="zh-CN"/>
              </w:rPr>
              <w:t>《化工和危险化学品生产经营企业重大生产安全事故隐患判定准则》（AQ 3067-2026）</w:t>
            </w:r>
            <w:r>
              <w:rPr>
                <w:rFonts w:hint="eastAsia" w:ascii="仿宋_GB2312" w:hAnsi="宋体" w:cs="宋体"/>
                <w:kern w:val="0"/>
                <w:sz w:val="20"/>
                <w:szCs w:val="20"/>
              </w:rPr>
              <w:t>第5.7.5条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12.1.04.008</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等线" w:cs="宋体"/>
                <w:kern w:val="0"/>
                <w:sz w:val="20"/>
                <w:szCs w:val="20"/>
              </w:rPr>
              <w:t>基础资料类</w:t>
            </w:r>
          </w:p>
        </w:tc>
        <w:tc>
          <w:tcPr>
            <w:tcW w:w="371"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制度类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生产、储存危险化学品的企业未建立安全风险分级管控制度。</w:t>
            </w:r>
          </w:p>
        </w:tc>
        <w:tc>
          <w:tcPr>
            <w:tcW w:w="1397"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生产、储存危险化学品的企业应当建立安全风险分级管控制度，开展安全风险辨识评估，按照安全风险分级采取相应的管控措施。</w:t>
            </w:r>
          </w:p>
        </w:tc>
        <w:tc>
          <w:tcPr>
            <w:tcW w:w="1290"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《中华人民共和国危险化学品安全法》第三十四条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12.1.04.009</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基础资料类</w:t>
            </w:r>
          </w:p>
        </w:tc>
        <w:tc>
          <w:tcPr>
            <w:tcW w:w="371"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制度类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未建立事故隐患内部报告奖励机制。</w:t>
            </w:r>
          </w:p>
        </w:tc>
        <w:tc>
          <w:tcPr>
            <w:tcW w:w="1397"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按照安全生产治本攻坚三年行动总体要求，推动建立完善各行业领域生产经营单位事故隐患内部报告奖励机制，促进生产经营单位自觉主动、动态性开展事故隐患自查自纠，构筑安全生产领域的“人民防线”。</w:t>
            </w:r>
          </w:p>
        </w:tc>
        <w:tc>
          <w:tcPr>
            <w:tcW w:w="1290"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《国务院安全生产委员会关于推动建立完善生产经营单位事故隐患内部报告奖励机制的意见》安委〔2024〕7号</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12.1.04.010</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基础资料类</w:t>
            </w:r>
          </w:p>
        </w:tc>
        <w:tc>
          <w:tcPr>
            <w:tcW w:w="371" w:type="pct"/>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操作规程类</w:t>
            </w:r>
          </w:p>
        </w:tc>
        <w:tc>
          <w:tcPr>
            <w:tcW w:w="1038" w:type="pct"/>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未制定安全操作规程和工艺控制指标。</w:t>
            </w:r>
          </w:p>
        </w:tc>
        <w:tc>
          <w:tcPr>
            <w:tcW w:w="1397" w:type="pct"/>
            <w:vAlign w:val="center"/>
          </w:tcPr>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eastAsia="zh-TW" w:bidi="ar"/>
              </w:rPr>
              <w:t>应按照法律、法规、规章和国家标准、行业标准，在危险有害因素辨识的基础上，结合工艺流程、技术设备特点以及原辅料危险性等制定安全操作规程</w:t>
            </w:r>
            <w:r>
              <w:rPr>
                <w:rFonts w:hint="eastAsia" w:ascii="仿宋_GB2312" w:cs="宋体" w:hAnsiTheme="minorEastAsia"/>
                <w:kern w:val="0"/>
                <w:sz w:val="20"/>
                <w:szCs w:val="20"/>
                <w:lang w:bidi="ar"/>
              </w:rPr>
              <w:t>和</w:t>
            </w:r>
            <w:r>
              <w:rPr>
                <w:rFonts w:hint="eastAsia" w:ascii="仿宋_GB2312" w:cs="宋体" w:hAnsiTheme="minorEastAsia"/>
                <w:kern w:val="0"/>
                <w:sz w:val="20"/>
                <w:szCs w:val="20"/>
                <w:lang w:eastAsia="zh-TW" w:bidi="ar"/>
              </w:rPr>
              <w:t>工艺控制指标。</w:t>
            </w:r>
          </w:p>
        </w:tc>
        <w:tc>
          <w:tcPr>
            <w:tcW w:w="1290" w:type="pct"/>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18"/>
                <w:szCs w:val="18"/>
                <w:lang w:bidi="ar"/>
              </w:rPr>
            </w:pPr>
            <w:r>
              <w:rPr>
                <w:rFonts w:hint="eastAsia" w:ascii="仿宋_GB2312" w:eastAsia="仿宋_GB2312" w:hAnsiTheme="minorEastAsia"/>
                <w:sz w:val="20"/>
                <w:szCs w:val="20"/>
                <w:lang w:eastAsia="zh-CN" w:bidi="ar"/>
              </w:rPr>
              <w:t>《化工和危险化学品生产经营企业重大生产安全事故隐患判定准则》（AQ 3067-2026）</w:t>
            </w:r>
            <w:r>
              <w:rPr>
                <w:rFonts w:hint="eastAsia" w:ascii="仿宋_GB2312" w:eastAsia="仿宋_GB2312" w:hAnsiTheme="minorEastAsia"/>
                <w:sz w:val="20"/>
                <w:szCs w:val="20"/>
                <w:lang w:bidi="ar"/>
              </w:rPr>
              <w:t>第5.5.2条</w:t>
            </w:r>
          </w:p>
        </w:tc>
        <w:tc>
          <w:tcPr>
            <w:tcW w:w="182" w:type="pct"/>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r>
              <w:rPr>
                <w:rFonts w:hint="eastAsia" w:ascii="仿宋_GB2312"/>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12.1.05.011</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基础资料类</w:t>
            </w:r>
          </w:p>
        </w:tc>
        <w:tc>
          <w:tcPr>
            <w:tcW w:w="371" w:type="pct"/>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rPr>
            </w:pPr>
            <w:r>
              <w:rPr>
                <w:rFonts w:hint="eastAsia" w:ascii="仿宋_GB2312" w:eastAsia="仿宋_GB2312" w:hAnsiTheme="minorEastAsia"/>
                <w:sz w:val="20"/>
                <w:szCs w:val="20"/>
                <w:lang w:eastAsia="zh-TW" w:bidi="ar"/>
              </w:rPr>
              <w:t>操作规程类</w:t>
            </w:r>
          </w:p>
        </w:tc>
        <w:tc>
          <w:tcPr>
            <w:tcW w:w="1038" w:type="pct"/>
            <w:shd w:val="clear" w:color="auto" w:fill="FFFFFF"/>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安全操作规程未明确安全操作要求、作业环境要求、作业防护要求、禁止事项、紧急情况现场处置措施等内容。操作规程编制未按规定7项要素编制。</w:t>
            </w:r>
          </w:p>
        </w:tc>
        <w:tc>
          <w:tcPr>
            <w:tcW w:w="1397" w:type="pct"/>
            <w:shd w:val="clear" w:color="auto" w:fill="FFFFFF"/>
            <w:vAlign w:val="center"/>
          </w:tcPr>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安全操作规程正文应包括以下7项要素，各要素内容应符合其岗位实际：a） 适用范围；b） 安全操作要求；c） 岗位存在的危险有害因素；d） 作业环境；e） 作业防护要求；f） 禁止事项；g） 紧急情况现场处置措施。</w:t>
            </w:r>
          </w:p>
        </w:tc>
        <w:tc>
          <w:tcPr>
            <w:tcW w:w="1290" w:type="pct"/>
            <w:shd w:val="clear" w:color="auto" w:fill="FFFFFF"/>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《中华人民共和国安全生产法》第二十一条；</w:t>
            </w:r>
          </w:p>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eastAsia="zh-TW" w:bidi="ar"/>
              </w:rPr>
              <w:t>《中华人民共和国危险化学品安全法》第</w:t>
            </w:r>
            <w:r>
              <w:rPr>
                <w:rFonts w:hint="eastAsia" w:ascii="仿宋_GB2312" w:eastAsia="仿宋_GB2312" w:hAnsiTheme="minorEastAsia"/>
                <w:sz w:val="20"/>
                <w:szCs w:val="20"/>
                <w:lang w:bidi="ar"/>
              </w:rPr>
              <w:t>四十七</w:t>
            </w:r>
            <w:r>
              <w:rPr>
                <w:rFonts w:hint="eastAsia" w:ascii="仿宋_GB2312" w:eastAsia="仿宋_GB2312" w:hAnsiTheme="minorEastAsia"/>
                <w:sz w:val="20"/>
                <w:szCs w:val="20"/>
                <w:lang w:eastAsia="zh-TW" w:bidi="ar"/>
              </w:rPr>
              <w:t>条</w:t>
            </w:r>
            <w:r>
              <w:rPr>
                <w:rFonts w:hint="eastAsia" w:ascii="仿宋_GB2312" w:eastAsia="仿宋_GB2312" w:hAnsiTheme="minorEastAsia"/>
                <w:sz w:val="20"/>
                <w:szCs w:val="20"/>
                <w:lang w:bidi="ar"/>
              </w:rPr>
              <w:t>；</w:t>
            </w:r>
          </w:p>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《北京市安全生产条例》第二十二条；</w:t>
            </w:r>
          </w:p>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《北京市生产经营单位安全生产主体责任规定》第八条；</w:t>
            </w:r>
          </w:p>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《危险化学品企业安全操作规程编制要求》（DB11/T 2332-2024）第5.1.6.1条</w:t>
            </w:r>
          </w:p>
        </w:tc>
        <w:tc>
          <w:tcPr>
            <w:tcW w:w="182" w:type="pct"/>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12.1.06.012</w:t>
            </w:r>
          </w:p>
        </w:tc>
        <w:tc>
          <w:tcPr>
            <w:tcW w:w="383" w:type="pct"/>
            <w:vAlign w:val="center"/>
          </w:tcPr>
          <w:p>
            <w:pPr>
              <w:adjustRightInd w:val="0"/>
              <w:snapToGrid w:val="0"/>
              <w:spacing w:after="0" w:line="240" w:lineRule="auto"/>
              <w:jc w:val="center"/>
              <w:rPr>
                <w:rFonts w:hint="eastAsia" w:ascii="仿宋_GB2312" w:hAnsiTheme="minorEastAsia"/>
                <w:sz w:val="20"/>
                <w:szCs w:val="20"/>
                <w:lang w:eastAsia="zh-TW" w:bidi="ar"/>
              </w:rPr>
            </w:pPr>
            <w:r>
              <w:rPr>
                <w:rFonts w:hint="eastAsia" w:ascii="仿宋_GB2312" w:hAnsiTheme="minorEastAsia"/>
                <w:sz w:val="20"/>
                <w:szCs w:val="20"/>
                <w:lang w:eastAsia="zh-TW" w:bidi="ar"/>
              </w:rPr>
              <w:t>基础资料类</w:t>
            </w:r>
          </w:p>
        </w:tc>
        <w:tc>
          <w:tcPr>
            <w:tcW w:w="371" w:type="pct"/>
            <w:vAlign w:val="center"/>
          </w:tcPr>
          <w:p>
            <w:pPr>
              <w:widowControl/>
              <w:adjustRightInd w:val="0"/>
              <w:snapToGrid w:val="0"/>
              <w:spacing w:after="0" w:line="240" w:lineRule="auto"/>
              <w:jc w:val="center"/>
              <w:textAlignment w:val="center"/>
              <w:rPr>
                <w:rFonts w:hint="eastAsia" w:ascii="仿宋_GB2312" w:hAnsi="仿宋_GB2312" w:cs="仿宋_GB2312"/>
                <w:color w:val="000000" w:themeColor="text1"/>
                <w:sz w:val="20"/>
                <w:szCs w:val="20"/>
                <w:lang w:eastAsia="zh-TW"/>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记录档案类</w:t>
            </w:r>
          </w:p>
        </w:tc>
        <w:tc>
          <w:tcPr>
            <w:tcW w:w="1038" w:type="pct"/>
            <w:vAlign w:val="center"/>
          </w:tcPr>
          <w:p>
            <w:pPr>
              <w:widowControl/>
              <w:adjustRightInd w:val="0"/>
              <w:snapToGrid w:val="0"/>
              <w:spacing w:after="0" w:line="240" w:lineRule="auto"/>
              <w:jc w:val="left"/>
              <w:textAlignment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危险化学品采购单位未如实登记危险化学品购买、出入库、领取、使用、归还、处置等信息。危险化学品采购单位未通过本市危险化学品信息平台开展危险化学品交易活动，未实现危险化学品全过程可追溯。</w:t>
            </w:r>
          </w:p>
        </w:tc>
        <w:tc>
          <w:tcPr>
            <w:tcW w:w="1397" w:type="pct"/>
            <w:vAlign w:val="center"/>
          </w:tcPr>
          <w:p>
            <w:pPr>
              <w:widowControl/>
              <w:adjustRightInd w:val="0"/>
              <w:snapToGrid w:val="0"/>
              <w:spacing w:after="0" w:line="240" w:lineRule="auto"/>
              <w:jc w:val="left"/>
              <w:textAlignment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危险化学品采购单位应当如实登记危险化学品购买、出入库、领取、使用、归还、处置等信息。鼓励生产经营单位通过本市危险化学品信息平台开展危险化学品交易活动，实现危险化学品全过程可追溯。使用单位在带包装危险化学品收货时，应通过追溯系统扫描追溯标签确认收货信息。散装危险化学品收货时，应通过追溯系统填报收货信息。</w:t>
            </w:r>
          </w:p>
        </w:tc>
        <w:tc>
          <w:tcPr>
            <w:tcW w:w="1290" w:type="pct"/>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eastAsia="zh-CN" w:bidi="ar"/>
              </w:rPr>
              <w:t>《安全生产等级评定技术规范 第2部分：安全生产通用要求》</w:t>
            </w:r>
            <w:r>
              <w:rPr>
                <w:rFonts w:hint="eastAsia" w:ascii="仿宋_GB2312" w:eastAsia="仿宋_GB2312" w:hAnsiTheme="minorEastAsia"/>
                <w:sz w:val="20"/>
                <w:szCs w:val="20"/>
                <w:lang w:bidi="ar"/>
              </w:rPr>
              <w:t>（DB11/T 1322.2-2017）第3.8.1.17条；</w:t>
            </w:r>
          </w:p>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《北京市安全生产条例》第四十六条；</w:t>
            </w:r>
          </w:p>
          <w:p>
            <w:pPr>
              <w:pStyle w:val="10"/>
              <w:widowControl w:val="0"/>
              <w:adjustRightInd w:val="0"/>
              <w:snapToGrid w:val="0"/>
              <w:spacing w:before="0" w:beforeAutospacing="0" w:after="0" w:afterAutospacing="0"/>
              <w:jc w:val="both"/>
              <w:rPr>
                <w:rFonts w:hint="eastAsia"/>
              </w:rPr>
            </w:pPr>
            <w:r>
              <w:rPr>
                <w:rFonts w:hint="eastAsia" w:ascii="仿宋_GB2312" w:eastAsia="仿宋_GB2312" w:hAnsiTheme="minorEastAsia"/>
                <w:sz w:val="20"/>
                <w:szCs w:val="20"/>
                <w:lang w:bidi="ar"/>
              </w:rPr>
              <w:t>《危险化学品全流程追溯管理技术规范》（DB11/T 2196-2023）第7.6.2条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12.1.07.013</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基础资料类</w:t>
            </w:r>
          </w:p>
        </w:tc>
        <w:tc>
          <w:tcPr>
            <w:tcW w:w="371"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风险辨识类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未开展安全风险辨识评估，未按照安全风险分级采取相应的管控措施。生产、储存危险化学品的企业的工艺、设施、设备、原料等发生变更时未重新进行安全风险辨识评估。未根据生产经营活动的特点，制定安全风险辨识程序和方法，全面开展安全风险辨识和评估。未根据风险评估的结果从组织、制度、技术、应急等方面对安全风险进行有效管控。</w:t>
            </w:r>
          </w:p>
        </w:tc>
        <w:tc>
          <w:tcPr>
            <w:tcW w:w="1397"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生产经营单位应当按照下列规定开展安全风险分级管控：</w:t>
            </w:r>
          </w:p>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（一）根据本单位生产经营活动的特点，制定安全风险辨识程序和方法，全面开展安全风险辨识和评估；</w:t>
            </w:r>
          </w:p>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（二）对辨识出的安全风险进行分类梳理，确定安全风险等级；</w:t>
            </w:r>
          </w:p>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（三）从制度、技术、应急等方面，对安全风险进行有效管控；</w:t>
            </w:r>
          </w:p>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（四）建立安全风险公告制度，告知从业人员安全风险基本情况和防范措施。</w:t>
            </w:r>
          </w:p>
        </w:tc>
        <w:tc>
          <w:tcPr>
            <w:tcW w:w="1290"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《北京市安全生产条例》第二十七条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12.1.08.014</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基础资料类</w:t>
            </w:r>
          </w:p>
        </w:tc>
        <w:tc>
          <w:tcPr>
            <w:tcW w:w="371"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隐患排查类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未督促、检查本单位的安全生产工作，及时消除生产安全事故隐患；未按照要求使用生产安全事故隐患排查治理信息系统，如实记录事故隐患情况，未对事故隐患治理实行闭环管理。</w:t>
            </w:r>
          </w:p>
        </w:tc>
        <w:tc>
          <w:tcPr>
            <w:tcW w:w="1397"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生产经营单位应当按照要求使用生产安全事故隐患排查治理信息系统，如实记录事故隐患的排查时间、所属类型、所在位置、责任部门和责任人、治理措施及整改情况等内容。</w:t>
            </w:r>
          </w:p>
        </w:tc>
        <w:tc>
          <w:tcPr>
            <w:tcW w:w="1290"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《北京市生产安全事故隐患排查治理办法》第十六条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12.1.08.015</w:t>
            </w:r>
          </w:p>
        </w:tc>
        <w:tc>
          <w:tcPr>
            <w:tcW w:w="383" w:type="pct"/>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基础资料类</w:t>
            </w:r>
          </w:p>
        </w:tc>
        <w:tc>
          <w:tcPr>
            <w:tcW w:w="371" w:type="pct"/>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隐患排查类</w:t>
            </w:r>
          </w:p>
        </w:tc>
        <w:tc>
          <w:tcPr>
            <w:tcW w:w="1038" w:type="pct"/>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企业主要负责人未每月带队对本单位重大事故隐患排查整治情况至少开展一次检查，并通过“企安安”系统进行记录。</w:t>
            </w:r>
          </w:p>
        </w:tc>
        <w:tc>
          <w:tcPr>
            <w:tcW w:w="1397" w:type="pct"/>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企业主要负责人应每月带队对本单位重大事故隐患排查整治情况至少开展一次检查，并通过“企安安”系统进行记录。</w:t>
            </w:r>
          </w:p>
        </w:tc>
        <w:tc>
          <w:tcPr>
            <w:tcW w:w="1290" w:type="pct"/>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《北京市危险化学品安全生产治本攻坚三年行动实施方案（2024-2026年）》</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12.1.09.016</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基础资料类</w:t>
            </w:r>
          </w:p>
        </w:tc>
        <w:tc>
          <w:tcPr>
            <w:tcW w:w="371"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应急救援类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未进行事故风险辨识、评估和应急资源调查。</w:t>
            </w:r>
          </w:p>
        </w:tc>
        <w:tc>
          <w:tcPr>
            <w:tcW w:w="1397"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编制应急预案前，编制单位应当进行事故风险辨识、评估和应急资源调查。</w:t>
            </w:r>
          </w:p>
        </w:tc>
        <w:tc>
          <w:tcPr>
            <w:tcW w:w="1290"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《生产安全事故应急预案管理办法》第十条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12.1.09.017</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基础资料类</w:t>
            </w:r>
          </w:p>
        </w:tc>
        <w:tc>
          <w:tcPr>
            <w:tcW w:w="371"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应急救援类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未制定本单位生产安全事故应急救援预案。</w:t>
            </w:r>
          </w:p>
        </w:tc>
        <w:tc>
          <w:tcPr>
            <w:tcW w:w="1397"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生产经营单位应当制定本单位生产安全事故应急救援预案。</w:t>
            </w:r>
          </w:p>
        </w:tc>
        <w:tc>
          <w:tcPr>
            <w:tcW w:w="1290"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《中华人民共和国安全生产法》第八十一条；《北京市安全生产条例》第五十五条；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12.1.09.018</w:t>
            </w:r>
          </w:p>
        </w:tc>
        <w:tc>
          <w:tcPr>
            <w:tcW w:w="383" w:type="pct"/>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基础资料类</w:t>
            </w:r>
          </w:p>
        </w:tc>
        <w:tc>
          <w:tcPr>
            <w:tcW w:w="371" w:type="pct"/>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应急救援</w:t>
            </w:r>
            <w:r>
              <w:rPr>
                <w:rFonts w:hint="eastAsia" w:ascii="仿宋_GB2312" w:eastAsia="仿宋_GB2312" w:hAnsiTheme="minorEastAsia"/>
                <w:sz w:val="20"/>
                <w:szCs w:val="20"/>
                <w:lang w:bidi="ar"/>
              </w:rPr>
              <w:t>类</w:t>
            </w:r>
          </w:p>
        </w:tc>
        <w:tc>
          <w:tcPr>
            <w:tcW w:w="1038" w:type="pct"/>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未编制应急处置卡。</w:t>
            </w:r>
          </w:p>
        </w:tc>
        <w:tc>
          <w:tcPr>
            <w:tcW w:w="1397" w:type="pct"/>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生产经营单位应当在编制应急预案的基础上，针对工作场所、岗位的特点，编制简明、实用、有效的应急处置卡。</w:t>
            </w:r>
          </w:p>
        </w:tc>
        <w:tc>
          <w:tcPr>
            <w:tcW w:w="1290" w:type="pct"/>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《生产安全事故应急预案管理办法》第十九条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12.1.09.019</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基础资料类</w:t>
            </w:r>
          </w:p>
        </w:tc>
        <w:tc>
          <w:tcPr>
            <w:tcW w:w="371"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应急救援类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未配备必要的应急救援器材、装备、设备和物资。</w:t>
            </w:r>
          </w:p>
        </w:tc>
        <w:tc>
          <w:tcPr>
            <w:tcW w:w="1397"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单位应配备必要的应急救援器材、装备、设备和物资。</w:t>
            </w:r>
          </w:p>
        </w:tc>
        <w:tc>
          <w:tcPr>
            <w:tcW w:w="1290"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《中华人民共和国危险化学品安全法》第九十一条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12.1.09.020</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基础资料类</w:t>
            </w:r>
          </w:p>
        </w:tc>
        <w:tc>
          <w:tcPr>
            <w:tcW w:w="371"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应急救援类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未按规定定期组织应急演练，或演练结束后未按要求进行应急演练效果评估。</w:t>
            </w:r>
          </w:p>
        </w:tc>
        <w:tc>
          <w:tcPr>
            <w:tcW w:w="1397"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生产经营单位应当制定本单位的应急预案演练计划，根据本单位的事故风险特点，每年至少组织一次综合应急预案演练或者专项应急预案演练，每半年至少组织一次现场处置方案演练。应急预案演练结束后，应急预案演练组织单位应当对应急预案演练效果进行评估，撰写应急预案演练评估报告，分析存在的问题，并对应急预案提出修订意见。</w:t>
            </w:r>
          </w:p>
        </w:tc>
        <w:tc>
          <w:tcPr>
            <w:tcW w:w="1290"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《生产安全事故应急预案管理办法》第三十三条、第三十四条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12.1.09.021</w:t>
            </w:r>
          </w:p>
        </w:tc>
        <w:tc>
          <w:tcPr>
            <w:tcW w:w="383" w:type="pct"/>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基础资料类</w:t>
            </w:r>
          </w:p>
        </w:tc>
        <w:tc>
          <w:tcPr>
            <w:tcW w:w="371" w:type="pct"/>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bidi="ar"/>
              </w:rPr>
            </w:pPr>
            <w:r>
              <w:rPr>
                <w:rFonts w:hint="eastAsia" w:ascii="仿宋_GB2312" w:eastAsia="仿宋_GB2312" w:hAnsiTheme="minorEastAsia"/>
                <w:sz w:val="20"/>
                <w:szCs w:val="20"/>
                <w:lang w:eastAsia="zh-TW" w:bidi="ar"/>
              </w:rPr>
              <w:t>应急救援</w:t>
            </w:r>
            <w:r>
              <w:rPr>
                <w:rFonts w:hint="eastAsia" w:ascii="仿宋_GB2312" w:eastAsia="仿宋_GB2312" w:hAnsiTheme="minorEastAsia"/>
                <w:sz w:val="20"/>
                <w:szCs w:val="20"/>
                <w:lang w:bidi="ar"/>
              </w:rPr>
              <w:t>类</w:t>
            </w:r>
          </w:p>
        </w:tc>
        <w:tc>
          <w:tcPr>
            <w:tcW w:w="1038" w:type="pct"/>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企业主要负责人未每半年至少组织开展一次生产安全事故应急演练。</w:t>
            </w:r>
          </w:p>
        </w:tc>
        <w:tc>
          <w:tcPr>
            <w:tcW w:w="1397" w:type="pct"/>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企业主要负责人应每半年至少组织开展一次生产安全事故应急演练。</w:t>
            </w:r>
          </w:p>
        </w:tc>
        <w:tc>
          <w:tcPr>
            <w:tcW w:w="1290" w:type="pct"/>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《北京市危险化学品安全生产治本攻坚三年行动实施方案（2024-2026年）》</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12.1.10.022</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基础资料类</w:t>
            </w:r>
          </w:p>
        </w:tc>
        <w:tc>
          <w:tcPr>
            <w:tcW w:w="371"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教育培训类</w:t>
            </w:r>
          </w:p>
        </w:tc>
        <w:tc>
          <w:tcPr>
            <w:tcW w:w="1038" w:type="pct"/>
            <w:vAlign w:val="center"/>
          </w:tcPr>
          <w:p>
            <w:pPr>
              <w:widowControl/>
              <w:adjustRightInd w:val="0"/>
              <w:snapToGrid w:val="0"/>
              <w:spacing w:after="0" w:line="240" w:lineRule="auto"/>
              <w:jc w:val="left"/>
              <w:rPr>
                <w:rFonts w:hint="eastAsia" w:ascii="仿宋_GB2312" w:hAnsiTheme="minorEastAsia"/>
                <w:sz w:val="20"/>
                <w:szCs w:val="20"/>
                <w:lang w:bidi="ar"/>
              </w:rPr>
            </w:pPr>
            <w:r>
              <w:rPr>
                <w:rFonts w:hint="eastAsia" w:ascii="仿宋_GB2312" w:hAnsiTheme="minorEastAsia"/>
                <w:sz w:val="20"/>
                <w:szCs w:val="20"/>
                <w:lang w:bidi="ar"/>
              </w:rPr>
              <w:t>未按照法律、法规、规章和国家标准、行业标准的要求对从主要负责人、一线员工、派遣劳动者、实习生等进行相应的安全生产教育和培训。培训学时和内容不符合法规要求。</w:t>
            </w:r>
          </w:p>
        </w:tc>
        <w:tc>
          <w:tcPr>
            <w:tcW w:w="1397"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w:t>
            </w:r>
          </w:p>
        </w:tc>
        <w:tc>
          <w:tcPr>
            <w:tcW w:w="1290"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《中华人民共和国安全生产法》第二十八条、第二十九条</w:t>
            </w:r>
          </w:p>
          <w:p>
            <w:pPr>
              <w:widowControl/>
              <w:adjustRightInd w:val="0"/>
              <w:snapToGrid w:val="0"/>
              <w:spacing w:after="0" w:line="240" w:lineRule="auto"/>
              <w:jc w:val="left"/>
              <w:rPr>
                <w:rFonts w:hint="eastAsia" w:ascii="仿宋_GB2312" w:hAnsi="宋体" w:cs="宋体"/>
                <w:kern w:val="0"/>
                <w:sz w:val="20"/>
                <w:szCs w:val="20"/>
              </w:rPr>
            </w:pP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12.1.10.023</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基础资料类</w:t>
            </w:r>
          </w:p>
        </w:tc>
        <w:tc>
          <w:tcPr>
            <w:tcW w:w="371"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教育培训类</w:t>
            </w:r>
          </w:p>
        </w:tc>
        <w:tc>
          <w:tcPr>
            <w:tcW w:w="1038" w:type="pct"/>
            <w:vAlign w:val="center"/>
          </w:tcPr>
          <w:p>
            <w:pPr>
              <w:widowControl/>
              <w:adjustRightInd w:val="0"/>
              <w:snapToGrid w:val="0"/>
              <w:spacing w:after="0" w:line="240" w:lineRule="auto"/>
              <w:jc w:val="left"/>
              <w:rPr>
                <w:rFonts w:hint="eastAsia" w:ascii="仿宋_GB2312" w:hAnsiTheme="minorEastAsia"/>
                <w:sz w:val="20"/>
                <w:szCs w:val="20"/>
                <w:lang w:bidi="ar"/>
              </w:rPr>
            </w:pPr>
            <w:r>
              <w:rPr>
                <w:rFonts w:hint="eastAsia" w:ascii="仿宋_GB2312" w:hAnsiTheme="minorEastAsia"/>
                <w:sz w:val="20"/>
                <w:szCs w:val="20"/>
                <w:lang w:bidi="ar"/>
              </w:rPr>
              <w:t>特种作业人员未接受与其所从事的特种作业相应的安全技术培训。</w:t>
            </w:r>
          </w:p>
        </w:tc>
        <w:tc>
          <w:tcPr>
            <w:tcW w:w="1397" w:type="pct"/>
            <w:vAlign w:val="center"/>
          </w:tcPr>
          <w:p>
            <w:pPr>
              <w:widowControl/>
              <w:adjustRightInd w:val="0"/>
              <w:snapToGrid w:val="0"/>
              <w:spacing w:after="0" w:line="240" w:lineRule="auto"/>
              <w:jc w:val="left"/>
              <w:rPr>
                <w:rFonts w:hint="eastAsia" w:ascii="仿宋_GB2312" w:hAnsi="等线" w:cs="宋体"/>
                <w:kern w:val="0"/>
                <w:sz w:val="20"/>
                <w:szCs w:val="20"/>
              </w:rPr>
            </w:pPr>
            <w:r>
              <w:rPr>
                <w:rFonts w:hint="eastAsia" w:ascii="仿宋_GB2312" w:hAnsi="等线" w:cs="宋体"/>
                <w:kern w:val="0"/>
                <w:sz w:val="20"/>
                <w:szCs w:val="20"/>
              </w:rPr>
              <w:t>特种作业人员应当接受与其所从事的特种作业相应的安全技术培训，包括理论培训和实际操作培训。</w:t>
            </w:r>
          </w:p>
        </w:tc>
        <w:tc>
          <w:tcPr>
            <w:tcW w:w="1290" w:type="pct"/>
            <w:vAlign w:val="center"/>
          </w:tcPr>
          <w:p>
            <w:pPr>
              <w:widowControl/>
              <w:adjustRightInd w:val="0"/>
              <w:snapToGrid w:val="0"/>
              <w:spacing w:after="0" w:line="240" w:lineRule="auto"/>
              <w:jc w:val="left"/>
              <w:rPr>
                <w:rFonts w:hint="eastAsia" w:ascii="仿宋_GB2312" w:hAnsi="等线" w:cs="宋体"/>
                <w:kern w:val="0"/>
                <w:sz w:val="20"/>
                <w:szCs w:val="20"/>
              </w:rPr>
            </w:pPr>
            <w:r>
              <w:rPr>
                <w:rFonts w:hint="eastAsia" w:ascii="仿宋_GB2312" w:hAnsi="等线" w:cs="宋体"/>
                <w:kern w:val="0"/>
                <w:sz w:val="20"/>
                <w:szCs w:val="20"/>
              </w:rPr>
              <w:t>《特种作业人员安全技术培训考核管理规定》第九条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12.1.12.024</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Theme="minorEastAsia"/>
                <w:sz w:val="20"/>
                <w:szCs w:val="20"/>
                <w:lang w:bidi="ar"/>
              </w:rPr>
              <w:t>基础资料类</w:t>
            </w:r>
          </w:p>
        </w:tc>
        <w:tc>
          <w:tcPr>
            <w:tcW w:w="371"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Theme="minorEastAsia"/>
                <w:sz w:val="20"/>
                <w:szCs w:val="20"/>
                <w:lang w:bidi="ar"/>
              </w:rPr>
              <w:t>相关方管理</w:t>
            </w:r>
          </w:p>
        </w:tc>
        <w:tc>
          <w:tcPr>
            <w:tcW w:w="1038" w:type="pct"/>
            <w:vAlign w:val="center"/>
          </w:tcPr>
          <w:p>
            <w:pPr>
              <w:widowControl/>
              <w:adjustRightInd w:val="0"/>
              <w:snapToGrid w:val="0"/>
              <w:spacing w:after="0" w:line="240" w:lineRule="auto"/>
              <w:jc w:val="left"/>
              <w:rPr>
                <w:rFonts w:hint="eastAsia" w:ascii="仿宋_GB2312" w:hAnsi="等线" w:cs="宋体"/>
                <w:kern w:val="0"/>
                <w:sz w:val="20"/>
                <w:szCs w:val="20"/>
              </w:rPr>
            </w:pPr>
            <w:r>
              <w:rPr>
                <w:rFonts w:hint="eastAsia" w:ascii="仿宋_GB2312" w:hAnsiTheme="minorEastAsia"/>
                <w:sz w:val="20"/>
                <w:szCs w:val="20"/>
                <w:lang w:bidi="ar"/>
              </w:rPr>
              <w:t>出租单位应加强对租赁厂房“三合一”“多合一”现象的安全检查，及时消除因居住与生产、经营、存储功能混合使用导致的重大安全隐患。</w:t>
            </w:r>
          </w:p>
        </w:tc>
        <w:tc>
          <w:tcPr>
            <w:tcW w:w="1397" w:type="pct"/>
            <w:vAlign w:val="center"/>
          </w:tcPr>
          <w:p>
            <w:pPr>
              <w:widowControl/>
              <w:adjustRightInd w:val="0"/>
              <w:snapToGrid w:val="0"/>
              <w:spacing w:after="0" w:line="240" w:lineRule="auto"/>
              <w:jc w:val="left"/>
              <w:rPr>
                <w:rFonts w:hint="eastAsia" w:ascii="仿宋_GB2312" w:hAnsi="等线" w:cs="宋体"/>
                <w:kern w:val="0"/>
                <w:sz w:val="20"/>
                <w:szCs w:val="20"/>
              </w:rPr>
            </w:pPr>
            <w:r>
              <w:rPr>
                <w:rFonts w:hint="eastAsia" w:ascii="仿宋_GB2312" w:hAnsi="等线" w:cs="宋体"/>
                <w:kern w:val="0"/>
                <w:sz w:val="20"/>
                <w:szCs w:val="20"/>
              </w:rPr>
              <w:t>生产经营单位不得将生产经营项目、场所、设备发包或者出租给不具备安全生产条件或者相应资质的单位或者个人。生产经营单位对承包单位、承租单位的安全生产工作统一协调、管理，定期进行安全检查，发现安全问题的，应当及时督促整改。</w:t>
            </w:r>
          </w:p>
        </w:tc>
        <w:tc>
          <w:tcPr>
            <w:tcW w:w="1290" w:type="pct"/>
            <w:vAlign w:val="center"/>
          </w:tcPr>
          <w:p>
            <w:pPr>
              <w:widowControl/>
              <w:adjustRightInd w:val="0"/>
              <w:snapToGrid w:val="0"/>
              <w:spacing w:after="0" w:line="240" w:lineRule="auto"/>
              <w:jc w:val="left"/>
              <w:rPr>
                <w:rFonts w:hint="eastAsia" w:ascii="仿宋_GB2312" w:hAnsi="等线" w:cs="宋体"/>
                <w:kern w:val="0"/>
                <w:sz w:val="20"/>
                <w:szCs w:val="20"/>
              </w:rPr>
            </w:pPr>
            <w:r>
              <w:rPr>
                <w:rFonts w:hint="eastAsia" w:ascii="仿宋_GB2312" w:hAnsi="等线" w:cs="宋体"/>
                <w:kern w:val="0"/>
                <w:sz w:val="20"/>
                <w:szCs w:val="20"/>
              </w:rPr>
              <w:t>《中华人民共和国安全生产法》第四十九条</w:t>
            </w:r>
          </w:p>
          <w:p>
            <w:pPr>
              <w:widowControl/>
              <w:adjustRightInd w:val="0"/>
              <w:snapToGrid w:val="0"/>
              <w:spacing w:after="0" w:line="240" w:lineRule="auto"/>
              <w:jc w:val="left"/>
              <w:rPr>
                <w:rFonts w:hint="eastAsia" w:ascii="仿宋_GB2312" w:hAnsi="等线" w:cs="宋体"/>
                <w:kern w:val="0"/>
                <w:sz w:val="20"/>
                <w:szCs w:val="20"/>
              </w:rPr>
            </w:pPr>
            <w:r>
              <w:rPr>
                <w:rFonts w:hint="eastAsia" w:ascii="仿宋_GB2312" w:hAnsi="等线" w:cs="宋体"/>
                <w:kern w:val="0"/>
                <w:sz w:val="20"/>
                <w:szCs w:val="20"/>
              </w:rPr>
              <w:t>《北京市安全生产委员会关于开展安全隐患大排查大清理大整治专项行动的通知》（京安发〔2017〕15号）</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12.1.12.025</w:t>
            </w:r>
          </w:p>
        </w:tc>
        <w:tc>
          <w:tcPr>
            <w:tcW w:w="383" w:type="pct"/>
            <w:vAlign w:val="center"/>
          </w:tcPr>
          <w:p>
            <w:pPr>
              <w:widowControl/>
              <w:adjustRightInd w:val="0"/>
              <w:snapToGrid w:val="0"/>
              <w:spacing w:after="0" w:line="240" w:lineRule="auto"/>
              <w:jc w:val="center"/>
              <w:rPr>
                <w:rFonts w:hint="eastAsia" w:ascii="仿宋_GB2312" w:hAnsiTheme="minorEastAsia"/>
                <w:sz w:val="20"/>
                <w:szCs w:val="20"/>
                <w:lang w:bidi="ar"/>
              </w:rPr>
            </w:pPr>
            <w:r>
              <w:rPr>
                <w:rFonts w:hint="eastAsia" w:ascii="仿宋_GB2312" w:hAnsiTheme="minorEastAsia"/>
                <w:sz w:val="20"/>
                <w:szCs w:val="20"/>
                <w:lang w:bidi="ar"/>
              </w:rPr>
              <w:t>基础资料类</w:t>
            </w:r>
          </w:p>
        </w:tc>
        <w:tc>
          <w:tcPr>
            <w:tcW w:w="371" w:type="pct"/>
            <w:vAlign w:val="center"/>
          </w:tcPr>
          <w:p>
            <w:pPr>
              <w:widowControl/>
              <w:adjustRightInd w:val="0"/>
              <w:snapToGrid w:val="0"/>
              <w:spacing w:after="0" w:line="240" w:lineRule="auto"/>
              <w:jc w:val="center"/>
              <w:rPr>
                <w:rFonts w:hint="eastAsia" w:ascii="仿宋_GB2312" w:hAnsiTheme="minorEastAsia"/>
                <w:sz w:val="20"/>
                <w:szCs w:val="20"/>
                <w:lang w:bidi="ar"/>
              </w:rPr>
            </w:pPr>
            <w:r>
              <w:rPr>
                <w:rFonts w:hint="eastAsia" w:ascii="仿宋_GB2312" w:hAnsiTheme="minorEastAsia"/>
                <w:sz w:val="20"/>
                <w:szCs w:val="20"/>
                <w:lang w:bidi="ar"/>
              </w:rPr>
              <w:t>相关方管理</w:t>
            </w:r>
          </w:p>
        </w:tc>
        <w:tc>
          <w:tcPr>
            <w:tcW w:w="1038" w:type="pct"/>
            <w:vAlign w:val="center"/>
          </w:tcPr>
          <w:p>
            <w:pPr>
              <w:widowControl/>
              <w:adjustRightInd w:val="0"/>
              <w:snapToGrid w:val="0"/>
              <w:spacing w:after="0" w:line="240" w:lineRule="auto"/>
              <w:jc w:val="left"/>
              <w:rPr>
                <w:rFonts w:hint="eastAsia" w:ascii="仿宋_GB2312" w:hAnsiTheme="minorEastAsia"/>
                <w:sz w:val="20"/>
                <w:szCs w:val="20"/>
                <w:lang w:bidi="ar"/>
              </w:rPr>
            </w:pPr>
            <w:r>
              <w:rPr>
                <w:rFonts w:hint="eastAsia" w:ascii="仿宋_GB2312" w:hAnsiTheme="minorEastAsia"/>
                <w:sz w:val="20"/>
                <w:szCs w:val="20"/>
                <w:lang w:bidi="ar"/>
              </w:rPr>
              <w:t>两个以上生产经营单位在同一作业区域内进行生产经营活动，可能危及对方生产安全的，未签订安全生产管理协议，明确各自的安全生产管理职责和应当采取的安全措施，未指定专职安全生产管理人员进行安全检查与协调。</w:t>
            </w:r>
          </w:p>
        </w:tc>
        <w:tc>
          <w:tcPr>
            <w:tcW w:w="1397" w:type="pct"/>
            <w:vAlign w:val="center"/>
          </w:tcPr>
          <w:p>
            <w:pPr>
              <w:widowControl/>
              <w:adjustRightInd w:val="0"/>
              <w:snapToGrid w:val="0"/>
              <w:spacing w:after="0" w:line="240" w:lineRule="auto"/>
              <w:jc w:val="left"/>
              <w:rPr>
                <w:rFonts w:hint="eastAsia" w:ascii="仿宋_GB2312" w:hAnsi="等线" w:cs="宋体"/>
                <w:kern w:val="0"/>
                <w:sz w:val="20"/>
                <w:szCs w:val="20"/>
              </w:rPr>
            </w:pPr>
            <w:r>
              <w:rPr>
                <w:rFonts w:hint="eastAsia" w:ascii="仿宋_GB2312" w:hAnsi="等线" w:cs="宋体"/>
                <w:kern w:val="0"/>
                <w:sz w:val="20"/>
                <w:szCs w:val="20"/>
              </w:rPr>
              <w:t>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tc>
        <w:tc>
          <w:tcPr>
            <w:tcW w:w="1290" w:type="pct"/>
            <w:vAlign w:val="center"/>
          </w:tcPr>
          <w:p>
            <w:pPr>
              <w:widowControl/>
              <w:adjustRightInd w:val="0"/>
              <w:snapToGrid w:val="0"/>
              <w:spacing w:after="0" w:line="240" w:lineRule="auto"/>
              <w:jc w:val="left"/>
              <w:rPr>
                <w:rFonts w:hint="eastAsia" w:ascii="仿宋_GB2312" w:hAnsi="等线" w:cs="宋体"/>
                <w:kern w:val="0"/>
                <w:sz w:val="20"/>
                <w:szCs w:val="20"/>
              </w:rPr>
            </w:pPr>
            <w:r>
              <w:rPr>
                <w:rFonts w:hint="eastAsia" w:ascii="仿宋_GB2312" w:hAnsi="等线" w:cs="宋体"/>
                <w:kern w:val="0"/>
                <w:sz w:val="20"/>
                <w:szCs w:val="20"/>
              </w:rPr>
              <w:t>《中华人民共和国安全生产法》第四十八条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12.1.12.026</w:t>
            </w:r>
          </w:p>
        </w:tc>
        <w:tc>
          <w:tcPr>
            <w:tcW w:w="383" w:type="pct"/>
            <w:vAlign w:val="center"/>
          </w:tcPr>
          <w:p>
            <w:pPr>
              <w:widowControl/>
              <w:adjustRightInd w:val="0"/>
              <w:snapToGrid w:val="0"/>
              <w:spacing w:after="0" w:line="240" w:lineRule="auto"/>
              <w:jc w:val="center"/>
              <w:rPr>
                <w:rFonts w:hint="eastAsia" w:ascii="仿宋_GB2312" w:hAnsiTheme="minorEastAsia"/>
                <w:sz w:val="20"/>
                <w:szCs w:val="20"/>
                <w:lang w:bidi="ar"/>
              </w:rPr>
            </w:pPr>
            <w:r>
              <w:rPr>
                <w:rFonts w:hint="eastAsia" w:ascii="仿宋_GB2312" w:hAnsiTheme="minorEastAsia"/>
                <w:sz w:val="20"/>
                <w:szCs w:val="20"/>
                <w:lang w:bidi="ar"/>
              </w:rPr>
              <w:t>基础资料类</w:t>
            </w:r>
          </w:p>
        </w:tc>
        <w:tc>
          <w:tcPr>
            <w:tcW w:w="371" w:type="pct"/>
            <w:vAlign w:val="center"/>
          </w:tcPr>
          <w:p>
            <w:pPr>
              <w:widowControl/>
              <w:adjustRightInd w:val="0"/>
              <w:snapToGrid w:val="0"/>
              <w:spacing w:after="0" w:line="240" w:lineRule="auto"/>
              <w:jc w:val="center"/>
              <w:rPr>
                <w:rFonts w:hint="eastAsia" w:ascii="仿宋_GB2312" w:hAnsiTheme="minorEastAsia"/>
                <w:sz w:val="20"/>
                <w:szCs w:val="20"/>
                <w:lang w:bidi="ar"/>
              </w:rPr>
            </w:pPr>
            <w:r>
              <w:rPr>
                <w:rFonts w:hint="eastAsia" w:ascii="仿宋_GB2312" w:hAnsiTheme="minorEastAsia"/>
                <w:sz w:val="20"/>
                <w:szCs w:val="20"/>
                <w:lang w:bidi="ar"/>
              </w:rPr>
              <w:t>相关方管理</w:t>
            </w:r>
          </w:p>
        </w:tc>
        <w:tc>
          <w:tcPr>
            <w:tcW w:w="1038" w:type="pct"/>
            <w:vAlign w:val="center"/>
          </w:tcPr>
          <w:p>
            <w:pPr>
              <w:widowControl/>
              <w:adjustRightInd w:val="0"/>
              <w:snapToGrid w:val="0"/>
              <w:spacing w:after="0" w:line="240" w:lineRule="auto"/>
              <w:jc w:val="left"/>
              <w:rPr>
                <w:rFonts w:hint="eastAsia" w:ascii="仿宋_GB2312" w:hAnsiTheme="minorEastAsia"/>
                <w:sz w:val="20"/>
                <w:szCs w:val="20"/>
                <w:lang w:bidi="ar"/>
              </w:rPr>
            </w:pPr>
            <w:r>
              <w:rPr>
                <w:rFonts w:hint="eastAsia" w:ascii="仿宋_GB2312" w:hAnsiTheme="minorEastAsia"/>
                <w:sz w:val="20"/>
                <w:szCs w:val="20"/>
                <w:lang w:bidi="ar"/>
              </w:rPr>
              <w:t>生产经营项目、场所发包或者出租给其他单位的，生产经营单位未与承包单位、承租单位签订专门的安全生产管理协议，或者在承包合同、租赁合同中约定各自的安全生产管理职责；生产经营单位未对承包单位、承租单位的安全生产工作统一协调、管理，未定期进行安全检查，发现安全问题的，未及时督促整改。</w:t>
            </w:r>
          </w:p>
        </w:tc>
        <w:tc>
          <w:tcPr>
            <w:tcW w:w="1397" w:type="pct"/>
            <w:vAlign w:val="center"/>
          </w:tcPr>
          <w:p>
            <w:pPr>
              <w:widowControl/>
              <w:adjustRightInd w:val="0"/>
              <w:snapToGrid w:val="0"/>
              <w:spacing w:after="0" w:line="240" w:lineRule="auto"/>
              <w:jc w:val="left"/>
              <w:rPr>
                <w:rFonts w:hint="eastAsia" w:ascii="仿宋_GB2312" w:hAnsi="等线" w:cs="宋体"/>
                <w:kern w:val="0"/>
                <w:sz w:val="20"/>
                <w:szCs w:val="20"/>
              </w:rPr>
            </w:pPr>
            <w:r>
              <w:rPr>
                <w:rFonts w:hint="eastAsia" w:ascii="仿宋_GB2312" w:hAnsi="等线" w:cs="宋体"/>
                <w:kern w:val="0"/>
                <w:sz w:val="20"/>
                <w:szCs w:val="20"/>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tc>
        <w:tc>
          <w:tcPr>
            <w:tcW w:w="1290" w:type="pct"/>
            <w:vAlign w:val="center"/>
          </w:tcPr>
          <w:p>
            <w:pPr>
              <w:widowControl/>
              <w:adjustRightInd w:val="0"/>
              <w:snapToGrid w:val="0"/>
              <w:spacing w:after="0" w:line="240" w:lineRule="auto"/>
              <w:jc w:val="left"/>
              <w:rPr>
                <w:rFonts w:hint="eastAsia" w:ascii="仿宋_GB2312" w:hAnsi="等线" w:cs="宋体"/>
                <w:kern w:val="0"/>
                <w:sz w:val="20"/>
                <w:szCs w:val="20"/>
              </w:rPr>
            </w:pPr>
            <w:r>
              <w:rPr>
                <w:rFonts w:hint="eastAsia" w:ascii="仿宋_GB2312" w:hAnsi="等线" w:cs="宋体"/>
                <w:kern w:val="0"/>
                <w:sz w:val="20"/>
                <w:szCs w:val="20"/>
              </w:rPr>
              <w:t>《中华人民共和国安全生产法》第四十九条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12.1.13.027</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基础资料类</w:t>
            </w:r>
          </w:p>
        </w:tc>
        <w:tc>
          <w:tcPr>
            <w:tcW w:w="371"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安全生产投入类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生产经营单位的决策机构、主要负责人或者个人经营的投资人未保证安全生产所必需的资金投入。</w:t>
            </w:r>
          </w:p>
        </w:tc>
        <w:tc>
          <w:tcPr>
            <w:tcW w:w="1397"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生产经营单位的决策机构、主要负责人或者个人经营的投资人应当保证安全生产所必需的资金投入。</w:t>
            </w:r>
          </w:p>
        </w:tc>
        <w:tc>
          <w:tcPr>
            <w:tcW w:w="1290"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《北京市安全生产条例》第十八条；《北京市生产经营单位安全生产主体责任规定》第九条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12.1.14.028</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基础资料</w:t>
            </w:r>
            <w:r>
              <w:rPr>
                <w:rFonts w:hint="eastAsia" w:ascii="仿宋_GB2312" w:hAnsi="等线"/>
                <w:sz w:val="20"/>
                <w:szCs w:val="20"/>
              </w:rPr>
              <w:t>类</w:t>
            </w:r>
          </w:p>
        </w:tc>
        <w:tc>
          <w:tcPr>
            <w:tcW w:w="371"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劳动防护用品类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未为从业人员提供符合国家标准或者行业标准的劳动防护用品。未监督、教育从业人员按照使用规则佩戴、使用。从业人员未正确佩戴和使用劳动防护用品。</w:t>
            </w:r>
          </w:p>
        </w:tc>
        <w:tc>
          <w:tcPr>
            <w:tcW w:w="1397"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生产经营单位必须为从业人员提供符合国家标准或者行业标准的劳动防护用品，并监督、教育从业人员按照使用规则佩戴、使用。</w:t>
            </w:r>
          </w:p>
        </w:tc>
        <w:tc>
          <w:tcPr>
            <w:tcW w:w="1290"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《中华人民共和国安全生产法》第四十五条；第五十七条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12.1.15.029</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基础资料类</w:t>
            </w:r>
          </w:p>
        </w:tc>
        <w:tc>
          <w:tcPr>
            <w:tcW w:w="371"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其它类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生产经营单位新建、改建、扩建工程项目的安全设施，必须与主体工程同时设计、同时施工、同时投入生产和使用。安全设施投资应当纳入建设项目概算。危险化学品使用单位未组织开展新、改、扩建储存设施的安全预评价或安全条件论证、安全设施设计、安全验收评价工作。未经正规设计且涉及重点监管危险化工工艺、甲乙类车间、仓库和罐区以及粉尘爆炸等危险场所的化工企业，未开展安全设计诊断和现状安全评价工作。</w:t>
            </w:r>
          </w:p>
        </w:tc>
        <w:tc>
          <w:tcPr>
            <w:tcW w:w="1397"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生产经营单位新建、改建、扩建工程项目的安全设施，必须与主体工程同时设计、同时施工、同时投入生产和使用。安全设施投资应当纳入建设项目概算。危险化学品使用单位应组织开展新、改、扩建储存设施的安全预评价或安全条件论证、安全设施设计、安全验收评价工作。对未经正规设计且涉及重点监管危险化工工艺、甲乙类车间、仓库和罐区以及粉尘爆炸等危险场所的化工企业，督促开展安全设计诊断和现状安全评价，着力解决建筑物防火间距不足等历史遗留问题。</w:t>
            </w:r>
          </w:p>
        </w:tc>
        <w:tc>
          <w:tcPr>
            <w:tcW w:w="1290"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《中华人民共和国安全生产法》第三十一条；</w:t>
            </w:r>
          </w:p>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《中华人民共和国危险化学品安全法》第二十四条；</w:t>
            </w:r>
          </w:p>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《北京市危险化学品使用单位储存设施安全评价工作指引（试行）》</w:t>
            </w:r>
          </w:p>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《2026年北京市危化品安全生产工作要点》（九）</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12.1.15.030</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基础资料类</w:t>
            </w:r>
          </w:p>
        </w:tc>
        <w:tc>
          <w:tcPr>
            <w:tcW w:w="371" w:type="pct"/>
            <w:vAlign w:val="center"/>
          </w:tcPr>
          <w:p>
            <w:pPr>
              <w:widowControl/>
              <w:adjustRightInd w:val="0"/>
              <w:snapToGrid w:val="0"/>
              <w:spacing w:after="0" w:line="240" w:lineRule="auto"/>
              <w:jc w:val="center"/>
              <w:rPr>
                <w:rFonts w:hint="eastAsia" w:ascii="仿宋_GB2312" w:hAnsiTheme="minorEastAsia"/>
                <w:sz w:val="20"/>
                <w:szCs w:val="20"/>
              </w:rPr>
            </w:pPr>
            <w:r>
              <w:rPr>
                <w:rFonts w:hint="eastAsia" w:ascii="仿宋_GB2312" w:hAnsi="宋体" w:cs="宋体"/>
                <w:kern w:val="0"/>
                <w:sz w:val="20"/>
                <w:szCs w:val="20"/>
              </w:rPr>
              <w:t>其它类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建设项目试生产前未完成“三查四定”;试生产方案未经审查;未进行PSSR即投料开车。</w:t>
            </w:r>
          </w:p>
        </w:tc>
        <w:tc>
          <w:tcPr>
            <w:tcW w:w="1397" w:type="pct"/>
            <w:vAlign w:val="center"/>
          </w:tcPr>
          <w:p>
            <w:pPr>
              <w:widowControl/>
              <w:adjustRightInd w:val="0"/>
              <w:snapToGrid w:val="0"/>
              <w:spacing w:after="0" w:line="240" w:lineRule="auto"/>
              <w:rPr>
                <w:rFonts w:hint="eastAsia" w:ascii="仿宋_GB2312" w:hAnsi="宋体" w:cs="宋体"/>
                <w:kern w:val="0"/>
                <w:sz w:val="20"/>
                <w:szCs w:val="20"/>
              </w:rPr>
            </w:pPr>
            <w:r>
              <w:rPr>
                <w:rFonts w:hint="eastAsia" w:ascii="仿宋_GB2312" w:hAnsi="宋体" w:cs="宋体"/>
                <w:kern w:val="0"/>
                <w:sz w:val="20"/>
                <w:szCs w:val="20"/>
              </w:rPr>
              <w:t>建设项目试生产前</w:t>
            </w:r>
            <w:r>
              <w:rPr>
                <w:rFonts w:hint="eastAsia" w:ascii="仿宋_GB2312" w:hAnsi="宋体" w:cs="宋体"/>
                <w:kern w:val="0"/>
                <w:sz w:val="20"/>
                <w:szCs w:val="20"/>
                <w:lang w:val="en-US" w:eastAsia="zh-CN"/>
              </w:rPr>
              <w:t>应</w:t>
            </w:r>
            <w:r>
              <w:rPr>
                <w:rFonts w:hint="eastAsia" w:ascii="仿宋_GB2312" w:hAnsi="宋体" w:cs="宋体"/>
                <w:kern w:val="0"/>
                <w:sz w:val="20"/>
                <w:szCs w:val="20"/>
              </w:rPr>
              <w:t>完成“三查四定”;试生产方案</w:t>
            </w:r>
            <w:r>
              <w:rPr>
                <w:rFonts w:hint="eastAsia" w:ascii="仿宋_GB2312" w:hAnsi="宋体" w:cs="宋体"/>
                <w:kern w:val="0"/>
                <w:sz w:val="20"/>
                <w:szCs w:val="20"/>
                <w:lang w:val="en-US" w:eastAsia="zh-CN"/>
              </w:rPr>
              <w:t>应</w:t>
            </w:r>
            <w:r>
              <w:rPr>
                <w:rFonts w:hint="eastAsia" w:ascii="仿宋_GB2312" w:hAnsi="宋体" w:cs="宋体"/>
                <w:kern w:val="0"/>
                <w:sz w:val="20"/>
                <w:szCs w:val="20"/>
              </w:rPr>
              <w:t>经审查;</w:t>
            </w:r>
            <w:r>
              <w:rPr>
                <w:rFonts w:hint="eastAsia" w:ascii="仿宋_GB2312" w:hAnsi="宋体" w:cs="宋体"/>
                <w:kern w:val="0"/>
                <w:sz w:val="20"/>
                <w:szCs w:val="20"/>
                <w:lang w:val="en-US" w:eastAsia="zh-CN"/>
              </w:rPr>
              <w:t>应</w:t>
            </w:r>
            <w:r>
              <w:rPr>
                <w:rFonts w:hint="eastAsia" w:ascii="仿宋_GB2312" w:hAnsi="宋体" w:cs="宋体"/>
                <w:kern w:val="0"/>
                <w:sz w:val="20"/>
                <w:szCs w:val="20"/>
              </w:rPr>
              <w:t>进行PSSR</w:t>
            </w:r>
            <w:r>
              <w:rPr>
                <w:rFonts w:hint="eastAsia" w:ascii="仿宋_GB2312" w:hAnsi="宋体" w:cs="宋体"/>
                <w:kern w:val="0"/>
                <w:sz w:val="20"/>
                <w:szCs w:val="20"/>
                <w:lang w:val="en-US" w:eastAsia="zh-CN"/>
              </w:rPr>
              <w:t>后</w:t>
            </w:r>
            <w:r>
              <w:rPr>
                <w:rFonts w:hint="eastAsia" w:ascii="仿宋_GB2312" w:hAnsi="宋体" w:cs="宋体"/>
                <w:kern w:val="0"/>
                <w:sz w:val="20"/>
                <w:szCs w:val="20"/>
              </w:rPr>
              <w:t>投料开车。</w:t>
            </w:r>
          </w:p>
        </w:tc>
        <w:tc>
          <w:tcPr>
            <w:tcW w:w="1290" w:type="pct"/>
            <w:vAlign w:val="center"/>
          </w:tcPr>
          <w:p>
            <w:pPr>
              <w:widowControl/>
              <w:adjustRightInd w:val="0"/>
              <w:snapToGrid w:val="0"/>
              <w:spacing w:after="0" w:line="240" w:lineRule="auto"/>
              <w:rPr>
                <w:rFonts w:hint="eastAsia" w:ascii="仿宋_GB2312" w:hAnsi="宋体" w:cs="宋体"/>
                <w:kern w:val="0"/>
                <w:sz w:val="20"/>
                <w:szCs w:val="20"/>
              </w:rPr>
            </w:pPr>
            <w:r>
              <w:rPr>
                <w:rFonts w:hint="eastAsia" w:ascii="仿宋_GB2312" w:hAnsi="宋体" w:cs="宋体"/>
                <w:kern w:val="0"/>
                <w:sz w:val="20"/>
                <w:szCs w:val="20"/>
                <w:lang w:eastAsia="zh-CN"/>
              </w:rPr>
              <w:t>《化工和危险化学品生产经营企业重大生产安全事故隐患判定准则》（AQ 3067-2026）</w:t>
            </w:r>
            <w:r>
              <w:rPr>
                <w:rFonts w:hint="eastAsia" w:ascii="仿宋_GB2312" w:hAnsi="宋体" w:cs="宋体"/>
                <w:kern w:val="0"/>
                <w:sz w:val="20"/>
                <w:szCs w:val="20"/>
              </w:rPr>
              <w:t>第5.</w:t>
            </w:r>
            <w:r>
              <w:rPr>
                <w:rFonts w:hint="eastAsia" w:ascii="仿宋_GB2312" w:hAnsi="宋体" w:cs="宋体"/>
                <w:kern w:val="0"/>
                <w:sz w:val="20"/>
                <w:szCs w:val="20"/>
                <w:lang w:val="en-US" w:eastAsia="zh-CN"/>
              </w:rPr>
              <w:t>5</w:t>
            </w:r>
            <w:r>
              <w:rPr>
                <w:rFonts w:hint="eastAsia" w:ascii="仿宋_GB2312" w:hAnsi="宋体" w:cs="宋体"/>
                <w:kern w:val="0"/>
                <w:sz w:val="20"/>
                <w:szCs w:val="20"/>
              </w:rPr>
              <w:t>.1条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12.1.15.031</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基础资料类</w:t>
            </w:r>
          </w:p>
        </w:tc>
        <w:tc>
          <w:tcPr>
            <w:tcW w:w="371" w:type="pct"/>
            <w:vAlign w:val="center"/>
          </w:tcPr>
          <w:p>
            <w:pPr>
              <w:widowControl/>
              <w:adjustRightInd w:val="0"/>
              <w:snapToGrid w:val="0"/>
              <w:spacing w:after="0" w:line="240" w:lineRule="auto"/>
              <w:jc w:val="center"/>
              <w:rPr>
                <w:rFonts w:hint="eastAsia" w:ascii="仿宋_GB2312" w:hAnsiTheme="minorEastAsia"/>
                <w:sz w:val="20"/>
                <w:szCs w:val="20"/>
              </w:rPr>
            </w:pPr>
            <w:r>
              <w:rPr>
                <w:rFonts w:hint="eastAsia" w:ascii="仿宋_GB2312" w:hAnsi="宋体" w:cs="宋体"/>
                <w:kern w:val="0"/>
                <w:sz w:val="20"/>
                <w:szCs w:val="20"/>
              </w:rPr>
              <w:t>其它类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涉及“两重点一重大”生产装置和储存设施的企业，未每三年开展一次危险与可操作性分析（HAZOP）。</w:t>
            </w:r>
          </w:p>
        </w:tc>
        <w:tc>
          <w:tcPr>
            <w:tcW w:w="1397" w:type="pct"/>
            <w:vAlign w:val="center"/>
          </w:tcPr>
          <w:p>
            <w:pPr>
              <w:widowControl/>
              <w:adjustRightInd w:val="0"/>
              <w:snapToGrid w:val="0"/>
              <w:spacing w:after="0" w:line="240" w:lineRule="auto"/>
              <w:rPr>
                <w:rFonts w:hint="eastAsia" w:ascii="仿宋_GB2312" w:hAnsi="宋体" w:cs="宋体"/>
                <w:kern w:val="0"/>
                <w:sz w:val="20"/>
                <w:szCs w:val="20"/>
              </w:rPr>
            </w:pPr>
            <w:r>
              <w:rPr>
                <w:rFonts w:hint="eastAsia" w:ascii="仿宋_GB2312" w:hAnsi="宋体" w:cs="宋体"/>
                <w:kern w:val="0"/>
                <w:sz w:val="20"/>
                <w:szCs w:val="20"/>
              </w:rPr>
              <w:t>持续强化化工安全仪表系统全生命周期管理，涉及“两重点一重大”生产装置和储存设施的企业，每三年开展一次危险与可操作性分析（HAZOP），完善化工安全仪表系统配备。</w:t>
            </w:r>
          </w:p>
        </w:tc>
        <w:tc>
          <w:tcPr>
            <w:tcW w:w="1290" w:type="pct"/>
            <w:vAlign w:val="center"/>
          </w:tcPr>
          <w:p>
            <w:pPr>
              <w:widowControl/>
              <w:adjustRightInd w:val="0"/>
              <w:snapToGrid w:val="0"/>
              <w:spacing w:after="0" w:line="240" w:lineRule="auto"/>
              <w:rPr>
                <w:rFonts w:hint="eastAsia" w:ascii="仿宋_GB2312" w:hAnsi="宋体" w:cs="宋体"/>
                <w:kern w:val="0"/>
                <w:sz w:val="20"/>
                <w:szCs w:val="20"/>
              </w:rPr>
            </w:pPr>
            <w:r>
              <w:rPr>
                <w:rFonts w:hint="eastAsia" w:ascii="仿宋_GB2312" w:hAnsi="宋体" w:cs="宋体"/>
                <w:kern w:val="0"/>
                <w:sz w:val="20"/>
                <w:szCs w:val="20"/>
              </w:rPr>
              <w:t>《2026年北京市危化品安全生产工作要点》（十三）</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Theme="minorEastAsia"/>
                <w:sz w:val="20"/>
                <w:szCs w:val="20"/>
              </w:rPr>
              <w:t>12.2.01.033</w:t>
            </w:r>
          </w:p>
        </w:tc>
        <w:tc>
          <w:tcPr>
            <w:tcW w:w="383" w:type="pct"/>
            <w:shd w:val="clear" w:color="auto" w:fill="FFFFFF"/>
            <w:vAlign w:val="center"/>
          </w:tcPr>
          <w:p>
            <w:pPr>
              <w:adjustRightInd w:val="0"/>
              <w:snapToGrid w:val="0"/>
              <w:spacing w:after="0" w:line="240" w:lineRule="auto"/>
              <w:jc w:val="center"/>
              <w:rPr>
                <w:rFonts w:hint="eastAsia" w:ascii="仿宋_GB2312" w:hAnsiTheme="minorEastAsia"/>
                <w:sz w:val="20"/>
                <w:szCs w:val="20"/>
                <w:lang w:eastAsia="zh-TW" w:bidi="ar"/>
              </w:rPr>
            </w:pPr>
            <w:r>
              <w:rPr>
                <w:rFonts w:hint="eastAsia" w:ascii="仿宋_GB2312" w:hAnsiTheme="minorEastAsia"/>
                <w:sz w:val="20"/>
                <w:szCs w:val="20"/>
                <w:lang w:eastAsia="zh-TW" w:bidi="ar"/>
              </w:rPr>
              <w:t>设备设施及物料类</w:t>
            </w:r>
          </w:p>
        </w:tc>
        <w:tc>
          <w:tcPr>
            <w:tcW w:w="371" w:type="pct"/>
            <w:shd w:val="clear" w:color="auto" w:fill="FFFFFF"/>
            <w:vAlign w:val="center"/>
          </w:tcPr>
          <w:p>
            <w:pPr>
              <w:pStyle w:val="10"/>
              <w:widowControl w:val="0"/>
              <w:adjustRightInd w:val="0"/>
              <w:snapToGrid w:val="0"/>
              <w:spacing w:before="0" w:beforeAutospacing="0" w:after="0" w:afterAutospacing="0"/>
              <w:jc w:val="center"/>
              <w:rPr>
                <w:rFonts w:hint="eastAsia" w:ascii="仿宋_GB2312" w:hAnsi="等线" w:eastAsia="仿宋_GB2312"/>
                <w:sz w:val="20"/>
                <w:szCs w:val="20"/>
              </w:rPr>
            </w:pPr>
            <w:r>
              <w:rPr>
                <w:rFonts w:hint="eastAsia" w:ascii="仿宋_GB2312" w:hAnsi="等线" w:eastAsia="仿宋_GB2312"/>
                <w:sz w:val="20"/>
                <w:szCs w:val="20"/>
              </w:rPr>
              <w:t>物料类</w:t>
            </w:r>
          </w:p>
        </w:tc>
        <w:tc>
          <w:tcPr>
            <w:tcW w:w="1038" w:type="pct"/>
            <w:shd w:val="clear" w:color="auto" w:fill="FFFFFF"/>
            <w:vAlign w:val="center"/>
          </w:tcPr>
          <w:p>
            <w:pPr>
              <w:pStyle w:val="10"/>
              <w:widowControl w:val="0"/>
              <w:adjustRightInd w:val="0"/>
              <w:snapToGrid w:val="0"/>
              <w:spacing w:before="0" w:beforeAutospacing="0" w:after="0" w:afterAutospacing="0"/>
              <w:jc w:val="both"/>
              <w:rPr>
                <w:rFonts w:hint="eastAsia" w:ascii="仿宋_GB2312" w:hAnsi="等线" w:eastAsia="仿宋_GB2312"/>
                <w:sz w:val="20"/>
                <w:szCs w:val="20"/>
              </w:rPr>
            </w:pPr>
            <w:r>
              <w:rPr>
                <w:rFonts w:hint="eastAsia" w:ascii="仿宋_GB2312" w:eastAsia="仿宋_GB2312" w:hAnsiTheme="minorEastAsia"/>
                <w:sz w:val="20"/>
                <w:szCs w:val="20"/>
                <w:lang w:bidi="ar"/>
              </w:rPr>
              <w:t>企业未根据生产物料及产品的性质采取相应的防火、防爆、防毒、防腐等安全技术措施</w:t>
            </w:r>
            <w:r>
              <w:rPr>
                <w:rFonts w:hint="eastAsia" w:ascii="仿宋_GB2312" w:hAnsiTheme="minorEastAsia"/>
                <w:sz w:val="20"/>
                <w:szCs w:val="20"/>
                <w:lang w:bidi="ar"/>
              </w:rPr>
              <w:t>。</w:t>
            </w:r>
          </w:p>
        </w:tc>
        <w:tc>
          <w:tcPr>
            <w:tcW w:w="1397" w:type="pct"/>
            <w:vAlign w:val="center"/>
          </w:tcPr>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应根据生产物料及产品的性质采取相应的防火、防爆、防毒、防腐等安全技术措施。</w:t>
            </w:r>
          </w:p>
        </w:tc>
        <w:tc>
          <w:tcPr>
            <w:tcW w:w="1290" w:type="pct"/>
            <w:shd w:val="clear" w:color="auto" w:fill="FFFFFF"/>
            <w:vAlign w:val="center"/>
          </w:tcPr>
          <w:p>
            <w:pPr>
              <w:pStyle w:val="10"/>
              <w:widowControl w:val="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《生产过程安全基本要求》</w:t>
            </w:r>
            <w:r>
              <w:rPr>
                <w:rFonts w:hint="eastAsia" w:ascii="仿宋_GB2312" w:eastAsia="仿宋_GB2312" w:hAnsiTheme="minorEastAsia"/>
                <w:sz w:val="20"/>
                <w:szCs w:val="20"/>
                <w:lang w:eastAsia="zh-CN" w:bidi="ar"/>
              </w:rPr>
              <w:t>（GB 12801-2025）</w:t>
            </w:r>
            <w:r>
              <w:rPr>
                <w:rFonts w:hint="eastAsia" w:ascii="仿宋_GB2312" w:eastAsia="仿宋_GB2312" w:hAnsiTheme="minorEastAsia"/>
                <w:sz w:val="20"/>
                <w:szCs w:val="20"/>
                <w:lang w:bidi="ar"/>
              </w:rPr>
              <w:t>第4.5.1条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Theme="minorEastAsia"/>
                <w:sz w:val="20"/>
                <w:szCs w:val="20"/>
              </w:rPr>
              <w:t>12.2.01.034</w:t>
            </w:r>
          </w:p>
        </w:tc>
        <w:tc>
          <w:tcPr>
            <w:tcW w:w="383" w:type="pct"/>
            <w:shd w:val="clear" w:color="auto" w:fill="FFFFFF"/>
            <w:vAlign w:val="center"/>
          </w:tcPr>
          <w:p>
            <w:pPr>
              <w:adjustRightInd w:val="0"/>
              <w:snapToGrid w:val="0"/>
              <w:spacing w:after="0" w:line="240" w:lineRule="auto"/>
              <w:jc w:val="center"/>
              <w:rPr>
                <w:rFonts w:hint="eastAsia" w:ascii="仿宋_GB2312" w:hAnsiTheme="minorEastAsia"/>
                <w:sz w:val="20"/>
                <w:szCs w:val="20"/>
                <w:lang w:eastAsia="zh-TW" w:bidi="ar"/>
              </w:rPr>
            </w:pPr>
            <w:r>
              <w:rPr>
                <w:rFonts w:hint="eastAsia" w:ascii="仿宋_GB2312" w:hAnsiTheme="minorEastAsia"/>
                <w:sz w:val="20"/>
                <w:szCs w:val="20"/>
                <w:lang w:eastAsia="zh-TW" w:bidi="ar"/>
              </w:rPr>
              <w:t>设备设施及物料类</w:t>
            </w:r>
          </w:p>
        </w:tc>
        <w:tc>
          <w:tcPr>
            <w:tcW w:w="371" w:type="pct"/>
            <w:shd w:val="clear" w:color="auto" w:fill="FFFFFF"/>
            <w:vAlign w:val="center"/>
          </w:tcPr>
          <w:p>
            <w:pPr>
              <w:pStyle w:val="10"/>
              <w:widowControl w:val="0"/>
              <w:adjustRightInd w:val="0"/>
              <w:snapToGrid w:val="0"/>
              <w:spacing w:before="0" w:beforeAutospacing="0" w:after="0" w:afterAutospacing="0"/>
              <w:jc w:val="center"/>
              <w:rPr>
                <w:rFonts w:hint="eastAsia" w:ascii="仿宋_GB2312" w:hAnsi="等线" w:eastAsia="仿宋_GB2312"/>
                <w:sz w:val="20"/>
                <w:szCs w:val="20"/>
              </w:rPr>
            </w:pPr>
            <w:r>
              <w:rPr>
                <w:rFonts w:hint="eastAsia" w:ascii="仿宋_GB2312" w:hAnsi="等线" w:eastAsia="仿宋_GB2312"/>
                <w:sz w:val="20"/>
                <w:szCs w:val="20"/>
              </w:rPr>
              <w:t>物料类</w:t>
            </w:r>
          </w:p>
        </w:tc>
        <w:tc>
          <w:tcPr>
            <w:tcW w:w="1038" w:type="pct"/>
            <w:shd w:val="clear" w:color="auto" w:fill="FFFFFF"/>
            <w:vAlign w:val="center"/>
          </w:tcPr>
          <w:p>
            <w:pPr>
              <w:pStyle w:val="10"/>
              <w:widowControl w:val="0"/>
              <w:adjustRightInd w:val="0"/>
              <w:snapToGrid w:val="0"/>
              <w:spacing w:before="0" w:beforeAutospacing="0" w:after="0" w:afterAutospacing="0"/>
              <w:jc w:val="both"/>
              <w:rPr>
                <w:rFonts w:hint="eastAsia" w:ascii="仿宋_GB2312" w:hAnsi="等线" w:eastAsia="仿宋_GB2312"/>
                <w:sz w:val="20"/>
                <w:szCs w:val="20"/>
              </w:rPr>
            </w:pPr>
            <w:r>
              <w:rPr>
                <w:rFonts w:hint="eastAsia" w:ascii="仿宋_GB2312" w:eastAsia="仿宋_GB2312" w:hAnsiTheme="minorEastAsia"/>
                <w:sz w:val="20"/>
                <w:szCs w:val="20"/>
                <w:lang w:bidi="ar"/>
              </w:rPr>
              <w:t>企业各类</w:t>
            </w:r>
            <w:r>
              <w:rPr>
                <w:rFonts w:ascii="仿宋_GB2312" w:hAnsi="等线" w:eastAsia="仿宋_GB2312"/>
                <w:sz w:val="20"/>
                <w:szCs w:val="20"/>
              </w:rPr>
              <w:t>物料的储存</w:t>
            </w:r>
            <w:r>
              <w:rPr>
                <w:rFonts w:hint="eastAsia" w:ascii="仿宋_GB2312" w:hAnsi="等线" w:eastAsia="仿宋_GB2312"/>
                <w:sz w:val="20"/>
                <w:szCs w:val="20"/>
              </w:rPr>
              <w:t>不</w:t>
            </w:r>
            <w:r>
              <w:rPr>
                <w:rFonts w:ascii="仿宋_GB2312" w:hAnsi="等线" w:eastAsia="仿宋_GB2312"/>
                <w:sz w:val="20"/>
                <w:szCs w:val="20"/>
              </w:rPr>
              <w:t>符合</w:t>
            </w:r>
            <w:r>
              <w:rPr>
                <w:rFonts w:hint="eastAsia" w:ascii="仿宋_GB2312" w:hAnsi="等线" w:eastAsia="仿宋_GB2312"/>
                <w:sz w:val="20"/>
                <w:szCs w:val="20"/>
              </w:rPr>
              <w:t>规范要求</w:t>
            </w:r>
            <w:r>
              <w:rPr>
                <w:rFonts w:ascii="仿宋_GB2312" w:hAnsi="等线" w:eastAsia="仿宋_GB2312"/>
                <w:sz w:val="20"/>
                <w:szCs w:val="20"/>
              </w:rPr>
              <w:t>。</w:t>
            </w:r>
          </w:p>
        </w:tc>
        <w:tc>
          <w:tcPr>
            <w:tcW w:w="1397" w:type="pct"/>
            <w:vAlign w:val="center"/>
          </w:tcPr>
          <w:p>
            <w:pPr>
              <w:pStyle w:val="10"/>
              <w:widowControl w:val="0"/>
              <w:adjustRightInd w:val="0"/>
              <w:snapToGrid w:val="0"/>
              <w:spacing w:before="0" w:beforeAutospacing="0" w:after="0" w:afterAutospacing="0"/>
              <w:jc w:val="both"/>
              <w:rPr>
                <w:rFonts w:hint="eastAsia" w:ascii="仿宋_GB2312" w:hAnsi="等线" w:eastAsia="仿宋_GB2312"/>
                <w:sz w:val="20"/>
                <w:szCs w:val="20"/>
              </w:rPr>
            </w:pPr>
            <w:r>
              <w:rPr>
                <w:rFonts w:ascii="仿宋_GB2312" w:hAnsi="等线" w:eastAsia="仿宋_GB2312"/>
                <w:sz w:val="20"/>
                <w:szCs w:val="20"/>
              </w:rPr>
              <w:t>各类物料的储存符合以下要求:</w:t>
            </w:r>
          </w:p>
          <w:p>
            <w:pPr>
              <w:pStyle w:val="10"/>
              <w:widowControl w:val="0"/>
              <w:adjustRightInd w:val="0"/>
              <w:snapToGrid w:val="0"/>
              <w:spacing w:before="0" w:beforeAutospacing="0" w:after="0" w:afterAutospacing="0"/>
              <w:jc w:val="both"/>
              <w:rPr>
                <w:rFonts w:hint="eastAsia" w:ascii="仿宋_GB2312" w:hAnsi="等线" w:eastAsia="仿宋_GB2312"/>
                <w:sz w:val="20"/>
                <w:szCs w:val="20"/>
              </w:rPr>
            </w:pPr>
            <w:r>
              <w:rPr>
                <w:rFonts w:ascii="仿宋_GB2312" w:hAnsi="等线" w:eastAsia="仿宋_GB2312"/>
                <w:sz w:val="20"/>
                <w:szCs w:val="20"/>
              </w:rPr>
              <w:t>生产物料和产品应按照隔离、隔开、分离的原则分区分类储存,存储条件应防止温度、湿度等因素产生的安全影响;相互禁忌或消防要求不同时不应混放混存;</w:t>
            </w:r>
          </w:p>
          <w:p>
            <w:pPr>
              <w:pStyle w:val="10"/>
              <w:widowControl w:val="0"/>
              <w:adjustRightInd w:val="0"/>
              <w:snapToGrid w:val="0"/>
              <w:spacing w:before="0" w:beforeAutospacing="0" w:after="0" w:afterAutospacing="0"/>
              <w:jc w:val="both"/>
              <w:rPr>
                <w:rFonts w:hint="eastAsia" w:ascii="仿宋_GB2312" w:hAnsi="等线" w:eastAsia="仿宋_GB2312"/>
                <w:sz w:val="20"/>
                <w:szCs w:val="20"/>
              </w:rPr>
            </w:pPr>
            <w:r>
              <w:rPr>
                <w:rFonts w:ascii="仿宋_GB2312" w:hAnsi="等线" w:eastAsia="仿宋_GB2312"/>
                <w:sz w:val="20"/>
                <w:szCs w:val="20"/>
              </w:rPr>
              <w:t>成垛堆放的生产物料和产品,其垛高、垛距和垛基础等应符合安全要求;堆码不应遮挡消防设施、安全疏散通道和出口;</w:t>
            </w:r>
          </w:p>
          <w:p>
            <w:pPr>
              <w:pStyle w:val="10"/>
              <w:widowControl w:val="0"/>
              <w:adjustRightInd w:val="0"/>
              <w:snapToGrid w:val="0"/>
              <w:spacing w:before="0" w:beforeAutospacing="0" w:after="0" w:afterAutospacing="0"/>
              <w:jc w:val="both"/>
              <w:rPr>
                <w:rFonts w:hint="eastAsia" w:ascii="仿宋_GB2312" w:hAnsi="等线" w:eastAsia="仿宋_GB2312"/>
                <w:sz w:val="20"/>
                <w:szCs w:val="20"/>
              </w:rPr>
            </w:pPr>
            <w:r>
              <w:rPr>
                <w:rFonts w:ascii="仿宋_GB2312" w:hAnsi="等线" w:eastAsia="仿宋_GB2312"/>
                <w:sz w:val="20"/>
                <w:szCs w:val="20"/>
              </w:rPr>
              <w:t>存放物料的货架、容器等应具有相应的强度、刚度、耐腐蚀性能;</w:t>
            </w:r>
          </w:p>
          <w:p>
            <w:pPr>
              <w:pStyle w:val="10"/>
              <w:widowControl w:val="0"/>
              <w:adjustRightInd w:val="0"/>
              <w:snapToGrid w:val="0"/>
              <w:spacing w:before="0" w:beforeAutospacing="0" w:after="0" w:afterAutospacing="0"/>
              <w:jc w:val="both"/>
              <w:rPr>
                <w:rFonts w:hint="eastAsia" w:ascii="仿宋_GB2312" w:hAnsi="等线" w:eastAsia="仿宋_GB2312"/>
                <w:sz w:val="20"/>
                <w:szCs w:val="20"/>
              </w:rPr>
            </w:pPr>
            <w:r>
              <w:rPr>
                <w:rFonts w:ascii="仿宋_GB2312" w:hAnsi="等线" w:eastAsia="仿宋_GB2312"/>
                <w:sz w:val="20"/>
                <w:szCs w:val="20"/>
              </w:rPr>
              <w:t>储存场所及设施应标明储存物料的名称、规格和其他安全注意事项;</w:t>
            </w:r>
          </w:p>
          <w:p>
            <w:pPr>
              <w:pStyle w:val="10"/>
              <w:widowControl w:val="0"/>
              <w:adjustRightInd w:val="0"/>
              <w:snapToGrid w:val="0"/>
              <w:spacing w:before="0" w:beforeAutospacing="0" w:after="0" w:afterAutospacing="0"/>
              <w:jc w:val="both"/>
              <w:rPr>
                <w:rFonts w:hint="eastAsia" w:ascii="仿宋_GB2312" w:hAnsi="等线" w:eastAsia="仿宋_GB2312"/>
                <w:sz w:val="20"/>
                <w:szCs w:val="20"/>
              </w:rPr>
            </w:pPr>
            <w:r>
              <w:rPr>
                <w:rFonts w:ascii="仿宋_GB2312" w:hAnsi="等线" w:eastAsia="仿宋_GB2312"/>
                <w:sz w:val="20"/>
                <w:szCs w:val="20"/>
              </w:rPr>
              <w:t>危险化学品应储存在危险化学品仓库或化学品柜中,其包装应符合安全要求,并应附有中文危险化学品安全技术说明书和安全标签;危险化学品仓库内不应进行分装、改装、开桶等作业,仓库的设计应符合 GB15603的规定;</w:t>
            </w:r>
          </w:p>
          <w:p>
            <w:pPr>
              <w:pStyle w:val="10"/>
              <w:widowControl w:val="0"/>
              <w:adjustRightInd w:val="0"/>
              <w:snapToGrid w:val="0"/>
              <w:spacing w:before="0" w:beforeAutospacing="0" w:after="0" w:afterAutospacing="0"/>
              <w:jc w:val="both"/>
              <w:rPr>
                <w:rFonts w:hint="eastAsia" w:ascii="仿宋_GB2312" w:hAnsi="等线" w:eastAsia="仿宋_GB2312"/>
                <w:sz w:val="20"/>
                <w:szCs w:val="20"/>
              </w:rPr>
            </w:pPr>
            <w:r>
              <w:rPr>
                <w:rFonts w:ascii="仿宋_GB2312" w:hAnsi="等线" w:eastAsia="仿宋_GB2312"/>
                <w:sz w:val="20"/>
                <w:szCs w:val="20"/>
              </w:rPr>
              <w:t>储罐应根据物料性质、储存条件设置压力仪表、液位仪表及超限报警等安全防护装置。</w:t>
            </w:r>
          </w:p>
        </w:tc>
        <w:tc>
          <w:tcPr>
            <w:tcW w:w="1290" w:type="pct"/>
            <w:shd w:val="clear" w:color="auto" w:fill="FFFFFF"/>
            <w:vAlign w:val="center"/>
          </w:tcPr>
          <w:p>
            <w:pPr>
              <w:pStyle w:val="10"/>
              <w:widowControl w:val="0"/>
              <w:adjustRightInd w:val="0"/>
              <w:snapToGrid w:val="0"/>
              <w:spacing w:before="0" w:beforeAutospacing="0" w:after="0" w:afterAutospacing="0"/>
              <w:jc w:val="both"/>
              <w:rPr>
                <w:rFonts w:hint="eastAsia" w:ascii="仿宋_GB2312" w:hAnsi="等线" w:eastAsia="仿宋_GB2312"/>
                <w:sz w:val="20"/>
                <w:szCs w:val="20"/>
              </w:rPr>
            </w:pPr>
            <w:r>
              <w:rPr>
                <w:rFonts w:hint="eastAsia" w:ascii="仿宋_GB2312" w:eastAsia="仿宋_GB2312" w:hAnsiTheme="minorEastAsia"/>
                <w:sz w:val="20"/>
                <w:szCs w:val="20"/>
                <w:lang w:bidi="ar"/>
              </w:rPr>
              <w:t>《生产过程安全基本要求》（GB</w:t>
            </w:r>
            <w:r>
              <w:rPr>
                <w:rFonts w:hint="eastAsia" w:ascii="仿宋_GB2312" w:eastAsia="仿宋_GB2312" w:hAnsiTheme="minorEastAsia"/>
                <w:sz w:val="20"/>
                <w:szCs w:val="20"/>
                <w:lang w:val="en-US" w:eastAsia="zh-CN" w:bidi="ar"/>
              </w:rPr>
              <w:t xml:space="preserve"> </w:t>
            </w:r>
            <w:r>
              <w:rPr>
                <w:rFonts w:hint="eastAsia" w:ascii="仿宋_GB2312" w:eastAsia="仿宋_GB2312" w:hAnsiTheme="minorEastAsia"/>
                <w:sz w:val="20"/>
                <w:szCs w:val="20"/>
                <w:lang w:bidi="ar"/>
              </w:rPr>
              <w:t>12801-2025）第4.5.5条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12.2.02.035</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设备设施及物料类</w:t>
            </w:r>
          </w:p>
        </w:tc>
        <w:tc>
          <w:tcPr>
            <w:tcW w:w="371"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Theme="minorEastAsia"/>
                <w:sz w:val="20"/>
                <w:szCs w:val="20"/>
              </w:rPr>
              <w:t>工艺及生产设备设施类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使用淘汰落后危险化学品安全生产工艺技术设备目录中的工艺、技术、设备。新开发的化工工艺未按照要求进行小试、中试、工业化试验</w:t>
            </w:r>
            <w:r>
              <w:rPr>
                <w:rFonts w:hint="eastAsia" w:ascii="仿宋_GB2312" w:hAnsi="宋体" w:cs="宋体"/>
                <w:kern w:val="0"/>
                <w:sz w:val="20"/>
                <w:szCs w:val="20"/>
                <w:lang w:eastAsia="zh-CN"/>
              </w:rPr>
              <w:t>，</w:t>
            </w:r>
            <w:r>
              <w:rPr>
                <w:rFonts w:hint="eastAsia" w:ascii="仿宋_GB2312" w:hAnsi="宋体" w:cs="宋体"/>
                <w:kern w:val="0"/>
                <w:sz w:val="20"/>
                <w:szCs w:val="20"/>
              </w:rPr>
              <w:t>直接进行工业化应用</w:t>
            </w:r>
            <w:r>
              <w:rPr>
                <w:rFonts w:hint="eastAsia" w:ascii="仿宋_GB2312" w:hAnsi="宋体" w:cs="宋体"/>
                <w:kern w:val="0"/>
                <w:sz w:val="20"/>
                <w:szCs w:val="20"/>
                <w:lang w:eastAsia="zh-CN"/>
              </w:rPr>
              <w:t>；</w:t>
            </w:r>
            <w:r>
              <w:rPr>
                <w:rFonts w:hint="eastAsia" w:ascii="仿宋_GB2312" w:hAnsi="宋体" w:cs="宋体"/>
                <w:kern w:val="0"/>
                <w:sz w:val="20"/>
                <w:szCs w:val="20"/>
              </w:rPr>
              <w:t>采用中试、工业化试验装置作为工业化生产装置</w:t>
            </w:r>
            <w:r>
              <w:rPr>
                <w:rFonts w:hint="eastAsia" w:ascii="仿宋_GB2312" w:hAnsi="宋体" w:cs="宋体"/>
                <w:kern w:val="0"/>
                <w:sz w:val="20"/>
                <w:szCs w:val="20"/>
                <w:lang w:eastAsia="zh-CN"/>
              </w:rPr>
              <w:t>；</w:t>
            </w:r>
            <w:r>
              <w:rPr>
                <w:rFonts w:hint="eastAsia" w:ascii="仿宋_GB2312" w:hAnsi="宋体" w:cs="宋体"/>
                <w:kern w:val="0"/>
                <w:sz w:val="20"/>
                <w:szCs w:val="20"/>
              </w:rPr>
              <w:t>国内首次使用的化工工艺未经过省级人民政府有关部门组织的安全可靠性论证。工艺技术来源不明</w:t>
            </w:r>
            <w:r>
              <w:rPr>
                <w:rFonts w:hint="eastAsia" w:ascii="仿宋_GB2312" w:hAnsi="宋体" w:cs="宋体"/>
                <w:kern w:val="0"/>
                <w:sz w:val="20"/>
                <w:szCs w:val="20"/>
                <w:lang w:eastAsia="zh-CN"/>
              </w:rPr>
              <w:t>；</w:t>
            </w:r>
            <w:r>
              <w:rPr>
                <w:rFonts w:hint="eastAsia" w:ascii="仿宋_GB2312" w:hAnsi="宋体" w:cs="宋体"/>
                <w:kern w:val="0"/>
                <w:sz w:val="20"/>
                <w:szCs w:val="20"/>
              </w:rPr>
              <w:t>国外引进或国内转让的生产工艺技术，未提供工艺技术的设计基础、工艺说明、工艺设备清单、工艺控制方式、控制参数以及过程危险性分析报告等工艺技术资料。</w:t>
            </w:r>
          </w:p>
        </w:tc>
        <w:tc>
          <w:tcPr>
            <w:tcW w:w="1397" w:type="pct"/>
            <w:vAlign w:val="center"/>
          </w:tcPr>
          <w:p>
            <w:pPr>
              <w:widowControl/>
              <w:adjustRightInd w:val="0"/>
              <w:snapToGrid w:val="0"/>
              <w:spacing w:after="0" w:line="240" w:lineRule="auto"/>
              <w:rPr>
                <w:rFonts w:hint="eastAsia" w:ascii="仿宋_GB2312" w:hAnsi="宋体" w:cs="宋体"/>
                <w:kern w:val="0"/>
                <w:sz w:val="20"/>
                <w:szCs w:val="20"/>
              </w:rPr>
            </w:pPr>
            <w:r>
              <w:rPr>
                <w:rFonts w:hint="eastAsia" w:ascii="仿宋_GB2312" w:hAnsi="宋体" w:cs="宋体"/>
                <w:kern w:val="0"/>
                <w:sz w:val="20"/>
                <w:szCs w:val="20"/>
              </w:rPr>
              <w:t>生产经营单位不得使用应当淘汰的危及生产安全的工艺、设备。新开发的化工工艺</w:t>
            </w:r>
            <w:r>
              <w:rPr>
                <w:rFonts w:hint="eastAsia" w:ascii="仿宋_GB2312" w:hAnsi="宋体" w:cs="宋体"/>
                <w:kern w:val="0"/>
                <w:sz w:val="20"/>
                <w:szCs w:val="20"/>
                <w:lang w:val="en-US" w:eastAsia="zh-CN"/>
              </w:rPr>
              <w:t>应</w:t>
            </w:r>
            <w:r>
              <w:rPr>
                <w:rFonts w:hint="eastAsia" w:ascii="仿宋_GB2312" w:hAnsi="宋体" w:cs="宋体"/>
                <w:kern w:val="0"/>
                <w:sz w:val="20"/>
                <w:szCs w:val="20"/>
              </w:rPr>
              <w:t>按照要求进行小试、中试、工业化试验</w:t>
            </w:r>
            <w:r>
              <w:rPr>
                <w:rFonts w:hint="eastAsia" w:ascii="仿宋_GB2312" w:hAnsi="宋体" w:cs="宋体"/>
                <w:kern w:val="0"/>
                <w:sz w:val="20"/>
                <w:szCs w:val="20"/>
                <w:lang w:eastAsia="zh-CN"/>
              </w:rPr>
              <w:t>，</w:t>
            </w:r>
            <w:r>
              <w:rPr>
                <w:rFonts w:hint="eastAsia" w:ascii="仿宋_GB2312" w:hAnsi="宋体" w:cs="宋体"/>
                <w:kern w:val="0"/>
                <w:sz w:val="20"/>
                <w:szCs w:val="20"/>
                <w:lang w:val="en-US" w:eastAsia="zh-CN"/>
              </w:rPr>
              <w:t>然后进行</w:t>
            </w:r>
            <w:r>
              <w:rPr>
                <w:rFonts w:hint="eastAsia" w:ascii="仿宋_GB2312" w:hAnsi="宋体" w:cs="宋体"/>
                <w:kern w:val="0"/>
                <w:sz w:val="20"/>
                <w:szCs w:val="20"/>
              </w:rPr>
              <w:t>工业化应用</w:t>
            </w:r>
            <w:r>
              <w:rPr>
                <w:rFonts w:hint="eastAsia" w:ascii="仿宋_GB2312" w:hAnsi="宋体" w:cs="宋体"/>
                <w:kern w:val="0"/>
                <w:sz w:val="20"/>
                <w:szCs w:val="20"/>
                <w:lang w:eastAsia="zh-CN"/>
              </w:rPr>
              <w:t>；</w:t>
            </w:r>
            <w:r>
              <w:rPr>
                <w:rFonts w:hint="eastAsia" w:ascii="仿宋_GB2312" w:hAnsi="宋体" w:cs="宋体"/>
                <w:kern w:val="0"/>
                <w:sz w:val="20"/>
                <w:szCs w:val="20"/>
                <w:lang w:val="en-US" w:eastAsia="zh-CN"/>
              </w:rPr>
              <w:t>不得</w:t>
            </w:r>
            <w:r>
              <w:rPr>
                <w:rFonts w:hint="eastAsia" w:ascii="仿宋_GB2312" w:hAnsi="宋体" w:cs="宋体"/>
                <w:kern w:val="0"/>
                <w:sz w:val="20"/>
                <w:szCs w:val="20"/>
              </w:rPr>
              <w:t>采用中试、工业化试验装置作为工业化生产装置</w:t>
            </w:r>
            <w:r>
              <w:rPr>
                <w:rFonts w:hint="eastAsia" w:ascii="仿宋_GB2312" w:hAnsi="宋体" w:cs="宋体"/>
                <w:kern w:val="0"/>
                <w:sz w:val="20"/>
                <w:szCs w:val="20"/>
                <w:lang w:eastAsia="zh-CN"/>
              </w:rPr>
              <w:t>；</w:t>
            </w:r>
            <w:r>
              <w:rPr>
                <w:rFonts w:hint="eastAsia" w:ascii="仿宋_GB2312" w:hAnsi="宋体" w:cs="宋体"/>
                <w:kern w:val="0"/>
                <w:sz w:val="20"/>
                <w:szCs w:val="20"/>
              </w:rPr>
              <w:t>国内首次使用的化工工艺</w:t>
            </w:r>
            <w:r>
              <w:rPr>
                <w:rFonts w:hint="eastAsia" w:ascii="仿宋_GB2312" w:hAnsi="宋体" w:cs="宋体"/>
                <w:kern w:val="0"/>
                <w:sz w:val="20"/>
                <w:szCs w:val="20"/>
                <w:lang w:val="en-US" w:eastAsia="zh-CN"/>
              </w:rPr>
              <w:t>应</w:t>
            </w:r>
            <w:r>
              <w:rPr>
                <w:rFonts w:hint="eastAsia" w:ascii="仿宋_GB2312" w:hAnsi="宋体" w:cs="宋体"/>
                <w:kern w:val="0"/>
                <w:sz w:val="20"/>
                <w:szCs w:val="20"/>
              </w:rPr>
              <w:t>经过省级人民政府有关部门组织的安全可靠性论证。工艺技术</w:t>
            </w:r>
            <w:r>
              <w:rPr>
                <w:rFonts w:hint="eastAsia" w:ascii="仿宋_GB2312" w:hAnsi="宋体" w:cs="宋体"/>
                <w:kern w:val="0"/>
                <w:sz w:val="20"/>
                <w:szCs w:val="20"/>
                <w:lang w:val="en-US" w:eastAsia="zh-CN"/>
              </w:rPr>
              <w:t>应</w:t>
            </w:r>
            <w:r>
              <w:rPr>
                <w:rFonts w:hint="eastAsia" w:ascii="仿宋_GB2312" w:hAnsi="宋体" w:cs="宋体"/>
                <w:kern w:val="0"/>
                <w:sz w:val="20"/>
                <w:szCs w:val="20"/>
              </w:rPr>
              <w:t>来源</w:t>
            </w:r>
            <w:r>
              <w:rPr>
                <w:rFonts w:hint="eastAsia" w:ascii="仿宋_GB2312" w:hAnsi="宋体" w:cs="宋体"/>
                <w:kern w:val="0"/>
                <w:sz w:val="20"/>
                <w:szCs w:val="20"/>
                <w:lang w:val="en-US" w:eastAsia="zh-CN"/>
              </w:rPr>
              <w:t>明确</w:t>
            </w:r>
            <w:r>
              <w:rPr>
                <w:rFonts w:hint="eastAsia" w:ascii="仿宋_GB2312" w:hAnsi="宋体" w:cs="宋体"/>
                <w:kern w:val="0"/>
                <w:sz w:val="20"/>
                <w:szCs w:val="20"/>
                <w:lang w:eastAsia="zh-CN"/>
              </w:rPr>
              <w:t>；</w:t>
            </w:r>
            <w:r>
              <w:rPr>
                <w:rFonts w:hint="eastAsia" w:ascii="仿宋_GB2312" w:hAnsi="宋体" w:cs="宋体"/>
                <w:kern w:val="0"/>
                <w:sz w:val="20"/>
                <w:szCs w:val="20"/>
              </w:rPr>
              <w:t>国外引进或国内转让的生产工艺技术，</w:t>
            </w:r>
            <w:r>
              <w:rPr>
                <w:rFonts w:hint="eastAsia" w:ascii="仿宋_GB2312" w:hAnsi="宋体" w:cs="宋体"/>
                <w:kern w:val="0"/>
                <w:sz w:val="20"/>
                <w:szCs w:val="20"/>
                <w:lang w:val="en-US" w:eastAsia="zh-CN"/>
              </w:rPr>
              <w:t>应</w:t>
            </w:r>
            <w:r>
              <w:rPr>
                <w:rFonts w:hint="eastAsia" w:ascii="仿宋_GB2312" w:hAnsi="宋体" w:cs="宋体"/>
                <w:kern w:val="0"/>
                <w:sz w:val="20"/>
                <w:szCs w:val="20"/>
              </w:rPr>
              <w:t>提供工艺技术的设计基础、工艺说明、工艺设备清单、工艺控制方式、控制参数以及过程危险性分析报告等工艺技术资料。</w:t>
            </w:r>
          </w:p>
        </w:tc>
        <w:tc>
          <w:tcPr>
            <w:tcW w:w="1290" w:type="pct"/>
            <w:vAlign w:val="center"/>
          </w:tcPr>
          <w:p>
            <w:pPr>
              <w:widowControl/>
              <w:adjustRightInd w:val="0"/>
              <w:snapToGrid w:val="0"/>
              <w:spacing w:after="0" w:line="240" w:lineRule="auto"/>
              <w:rPr>
                <w:rFonts w:hint="eastAsia" w:ascii="仿宋_GB2312" w:hAnsi="宋体" w:cs="宋体"/>
                <w:kern w:val="0"/>
                <w:sz w:val="20"/>
                <w:szCs w:val="20"/>
              </w:rPr>
            </w:pPr>
            <w:r>
              <w:rPr>
                <w:rFonts w:hint="eastAsia" w:ascii="仿宋_GB2312" w:hAnsi="宋体" w:cs="宋体"/>
                <w:kern w:val="0"/>
                <w:sz w:val="20"/>
                <w:szCs w:val="20"/>
              </w:rPr>
              <w:t>《中华人民共和国安全生产法》第三十八条；</w:t>
            </w:r>
          </w:p>
          <w:p>
            <w:pPr>
              <w:widowControl/>
              <w:adjustRightInd w:val="0"/>
              <w:snapToGrid w:val="0"/>
              <w:spacing w:after="0" w:line="240" w:lineRule="auto"/>
              <w:rPr>
                <w:rFonts w:hint="eastAsia" w:ascii="仿宋_GB2312" w:hAnsi="宋体" w:cs="宋体"/>
                <w:kern w:val="0"/>
                <w:sz w:val="20"/>
                <w:szCs w:val="20"/>
              </w:rPr>
            </w:pPr>
            <w:r>
              <w:rPr>
                <w:rFonts w:hint="eastAsia" w:ascii="仿宋_GB2312" w:hAnsi="宋体" w:cs="宋体"/>
                <w:kern w:val="0"/>
                <w:sz w:val="20"/>
                <w:szCs w:val="20"/>
              </w:rPr>
              <w:t>《北京市安全生产条例》第二十六条；</w:t>
            </w:r>
          </w:p>
          <w:p>
            <w:pPr>
              <w:widowControl/>
              <w:adjustRightInd w:val="0"/>
              <w:snapToGrid w:val="0"/>
              <w:spacing w:after="0" w:line="240" w:lineRule="auto"/>
              <w:rPr>
                <w:rFonts w:hint="eastAsia" w:ascii="仿宋_GB2312" w:hAnsi="宋体" w:eastAsia="仿宋_GB2312" w:cs="宋体"/>
                <w:kern w:val="0"/>
                <w:sz w:val="20"/>
                <w:szCs w:val="20"/>
                <w:lang w:eastAsia="zh-CN"/>
              </w:rPr>
            </w:pPr>
            <w:r>
              <w:rPr>
                <w:rFonts w:hint="eastAsia" w:ascii="仿宋_GB2312" w:hAnsi="宋体" w:cs="宋体"/>
                <w:kern w:val="0"/>
                <w:sz w:val="20"/>
                <w:szCs w:val="20"/>
                <w:lang w:eastAsia="zh-CN"/>
              </w:rPr>
              <w:t>《化工和危险化学品生产经营企业重大生产安全事故隐患判定准则》（AQ 3067-2026）</w:t>
            </w:r>
            <w:r>
              <w:rPr>
                <w:rFonts w:hint="eastAsia" w:ascii="仿宋_GB2312" w:hAnsi="宋体" w:cs="宋体"/>
                <w:kern w:val="0"/>
                <w:sz w:val="20"/>
                <w:szCs w:val="20"/>
              </w:rPr>
              <w:t>第5.3.1条</w:t>
            </w:r>
            <w:r>
              <w:rPr>
                <w:rFonts w:hint="eastAsia" w:ascii="仿宋_GB2312" w:hAnsi="宋体" w:cs="宋体"/>
                <w:kern w:val="0"/>
                <w:sz w:val="20"/>
                <w:szCs w:val="20"/>
                <w:lang w:eastAsia="zh-CN"/>
              </w:rPr>
              <w:t>、</w:t>
            </w:r>
            <w:r>
              <w:rPr>
                <w:rFonts w:hint="eastAsia" w:ascii="仿宋_GB2312" w:hAnsi="宋体" w:cs="宋体"/>
                <w:kern w:val="0"/>
                <w:sz w:val="20"/>
                <w:szCs w:val="20"/>
              </w:rPr>
              <w:t>第5.3.</w:t>
            </w:r>
            <w:r>
              <w:rPr>
                <w:rFonts w:hint="eastAsia" w:ascii="仿宋_GB2312" w:hAnsi="宋体" w:cs="宋体"/>
                <w:kern w:val="0"/>
                <w:sz w:val="20"/>
                <w:szCs w:val="20"/>
                <w:lang w:val="en-US" w:eastAsia="zh-CN"/>
              </w:rPr>
              <w:t>2</w:t>
            </w:r>
            <w:r>
              <w:rPr>
                <w:rFonts w:hint="eastAsia" w:ascii="仿宋_GB2312" w:hAnsi="宋体" w:cs="宋体"/>
                <w:kern w:val="0"/>
                <w:sz w:val="20"/>
                <w:szCs w:val="20"/>
              </w:rPr>
              <w:t>条</w:t>
            </w:r>
            <w:r>
              <w:rPr>
                <w:rFonts w:hint="eastAsia" w:ascii="仿宋_GB2312" w:hAnsi="宋体" w:cs="宋体"/>
                <w:kern w:val="0"/>
                <w:sz w:val="20"/>
                <w:szCs w:val="20"/>
                <w:lang w:eastAsia="zh-CN"/>
              </w:rPr>
              <w:t>、</w:t>
            </w:r>
            <w:r>
              <w:rPr>
                <w:rFonts w:hint="eastAsia" w:ascii="仿宋_GB2312" w:hAnsi="宋体" w:cs="宋体"/>
                <w:kern w:val="0"/>
                <w:sz w:val="20"/>
                <w:szCs w:val="20"/>
              </w:rPr>
              <w:t>第5.3.</w:t>
            </w:r>
            <w:r>
              <w:rPr>
                <w:rFonts w:hint="eastAsia" w:ascii="仿宋_GB2312" w:hAnsi="宋体" w:cs="宋体"/>
                <w:kern w:val="0"/>
                <w:sz w:val="20"/>
                <w:szCs w:val="20"/>
                <w:lang w:val="en-US" w:eastAsia="zh-CN"/>
              </w:rPr>
              <w:t>3</w:t>
            </w:r>
            <w:r>
              <w:rPr>
                <w:rFonts w:hint="eastAsia" w:ascii="仿宋_GB2312" w:hAnsi="宋体" w:cs="宋体"/>
                <w:kern w:val="0"/>
                <w:sz w:val="20"/>
                <w:szCs w:val="20"/>
              </w:rPr>
              <w:t>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12.2.02.036</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设备设施及物料类</w:t>
            </w:r>
          </w:p>
        </w:tc>
        <w:tc>
          <w:tcPr>
            <w:tcW w:w="371" w:type="pct"/>
            <w:vAlign w:val="center"/>
          </w:tcPr>
          <w:p>
            <w:pPr>
              <w:widowControl/>
              <w:adjustRightInd w:val="0"/>
              <w:snapToGrid w:val="0"/>
              <w:spacing w:after="0" w:line="240" w:lineRule="auto"/>
              <w:jc w:val="center"/>
              <w:rPr>
                <w:rFonts w:hint="eastAsia" w:ascii="仿宋_GB2312" w:hAnsiTheme="minorEastAsia"/>
                <w:sz w:val="20"/>
                <w:szCs w:val="20"/>
              </w:rPr>
            </w:pPr>
            <w:r>
              <w:rPr>
                <w:rFonts w:hint="eastAsia" w:ascii="仿宋_GB2312" w:hAnsiTheme="minorEastAsia"/>
                <w:sz w:val="20"/>
                <w:szCs w:val="20"/>
              </w:rPr>
              <w:t>工艺及生产设备设施类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易挥发性可燃液体物料储罐罐顶的油气收集管道未设置阻爆轰型阻火器</w:t>
            </w:r>
            <w:r>
              <w:rPr>
                <w:rFonts w:hint="eastAsia" w:ascii="仿宋_GB2312" w:hAnsi="宋体" w:cs="宋体"/>
                <w:kern w:val="0"/>
                <w:sz w:val="20"/>
                <w:szCs w:val="20"/>
                <w:lang w:eastAsia="zh-CN"/>
              </w:rPr>
              <w:t>；</w:t>
            </w:r>
            <w:r>
              <w:rPr>
                <w:rFonts w:hint="eastAsia" w:ascii="仿宋_GB2312" w:hAnsi="宋体" w:cs="宋体"/>
                <w:kern w:val="0"/>
                <w:sz w:val="20"/>
                <w:szCs w:val="20"/>
              </w:rPr>
              <w:t>混合后能发生化学反应的气体共用收集系统。</w:t>
            </w:r>
          </w:p>
        </w:tc>
        <w:tc>
          <w:tcPr>
            <w:tcW w:w="1397"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易挥发性可燃液体物料储罐罐顶的油气收集管道</w:t>
            </w:r>
            <w:r>
              <w:rPr>
                <w:rFonts w:hint="eastAsia" w:ascii="仿宋_GB2312" w:hAnsi="宋体" w:cs="宋体"/>
                <w:kern w:val="0"/>
                <w:sz w:val="20"/>
                <w:szCs w:val="20"/>
                <w:lang w:val="en-US" w:eastAsia="zh-CN"/>
              </w:rPr>
              <w:t>应</w:t>
            </w:r>
            <w:r>
              <w:rPr>
                <w:rFonts w:hint="eastAsia" w:ascii="仿宋_GB2312" w:hAnsi="宋体" w:cs="宋体"/>
                <w:kern w:val="0"/>
                <w:sz w:val="20"/>
                <w:szCs w:val="20"/>
              </w:rPr>
              <w:t>设置阻爆轰型阻火器</w:t>
            </w:r>
            <w:r>
              <w:rPr>
                <w:rFonts w:hint="eastAsia" w:ascii="仿宋_GB2312" w:hAnsi="宋体" w:cs="宋体"/>
                <w:kern w:val="0"/>
                <w:sz w:val="20"/>
                <w:szCs w:val="20"/>
                <w:lang w:eastAsia="zh-CN"/>
              </w:rPr>
              <w:t>；</w:t>
            </w:r>
            <w:r>
              <w:rPr>
                <w:rFonts w:hint="eastAsia" w:ascii="仿宋_GB2312" w:hAnsi="宋体" w:cs="宋体"/>
                <w:kern w:val="0"/>
                <w:sz w:val="20"/>
                <w:szCs w:val="20"/>
              </w:rPr>
              <w:t>混合后能发生化学反应的气体</w:t>
            </w:r>
            <w:r>
              <w:rPr>
                <w:rFonts w:hint="eastAsia" w:ascii="仿宋_GB2312" w:hAnsi="宋体" w:cs="宋体"/>
                <w:kern w:val="0"/>
                <w:sz w:val="20"/>
                <w:szCs w:val="20"/>
                <w:lang w:val="en-US" w:eastAsia="zh-CN"/>
              </w:rPr>
              <w:t>不得</w:t>
            </w:r>
            <w:r>
              <w:rPr>
                <w:rFonts w:hint="eastAsia" w:ascii="仿宋_GB2312" w:hAnsi="宋体" w:cs="宋体"/>
                <w:kern w:val="0"/>
                <w:sz w:val="20"/>
                <w:szCs w:val="20"/>
              </w:rPr>
              <w:t>共用收集系统。</w:t>
            </w:r>
          </w:p>
        </w:tc>
        <w:tc>
          <w:tcPr>
            <w:tcW w:w="1290"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lang w:eastAsia="zh-CN"/>
              </w:rPr>
              <w:t>《化工和危险化学品生产经营企业重大生产安全事故隐患判定准则》（AQ 3067-2026）</w:t>
            </w:r>
            <w:r>
              <w:rPr>
                <w:rFonts w:hint="eastAsia" w:ascii="仿宋_GB2312" w:hAnsi="宋体" w:cs="宋体"/>
                <w:kern w:val="0"/>
                <w:sz w:val="20"/>
                <w:szCs w:val="20"/>
              </w:rPr>
              <w:t>第5.</w:t>
            </w:r>
            <w:r>
              <w:rPr>
                <w:rFonts w:hint="eastAsia" w:ascii="仿宋_GB2312" w:hAnsi="宋体" w:cs="宋体"/>
                <w:kern w:val="0"/>
                <w:sz w:val="20"/>
                <w:szCs w:val="20"/>
                <w:lang w:val="en-US" w:eastAsia="zh-CN"/>
              </w:rPr>
              <w:t>4</w:t>
            </w:r>
            <w:r>
              <w:rPr>
                <w:rFonts w:hint="eastAsia" w:ascii="仿宋_GB2312" w:hAnsi="宋体" w:cs="宋体"/>
                <w:kern w:val="0"/>
                <w:sz w:val="20"/>
                <w:szCs w:val="20"/>
              </w:rPr>
              <w:t>.</w:t>
            </w:r>
            <w:r>
              <w:rPr>
                <w:rFonts w:hint="eastAsia" w:ascii="仿宋_GB2312" w:hAnsi="宋体" w:cs="宋体"/>
                <w:kern w:val="0"/>
                <w:sz w:val="20"/>
                <w:szCs w:val="20"/>
                <w:lang w:val="en-US" w:eastAsia="zh-CN"/>
              </w:rPr>
              <w:t>5</w:t>
            </w:r>
            <w:r>
              <w:rPr>
                <w:rFonts w:hint="eastAsia" w:ascii="仿宋_GB2312" w:hAnsi="宋体" w:cs="宋体"/>
                <w:kern w:val="0"/>
                <w:sz w:val="20"/>
                <w:szCs w:val="20"/>
              </w:rPr>
              <w:t>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12.2.02.037</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设备设施及物料类</w:t>
            </w:r>
          </w:p>
        </w:tc>
        <w:tc>
          <w:tcPr>
            <w:tcW w:w="371" w:type="pct"/>
            <w:vAlign w:val="center"/>
          </w:tcPr>
          <w:p>
            <w:pPr>
              <w:widowControl/>
              <w:adjustRightInd w:val="0"/>
              <w:snapToGrid w:val="0"/>
              <w:spacing w:after="0" w:line="240" w:lineRule="auto"/>
              <w:jc w:val="center"/>
              <w:rPr>
                <w:rFonts w:hint="eastAsia" w:ascii="仿宋_GB2312" w:hAnsiTheme="minorEastAsia"/>
                <w:sz w:val="20"/>
                <w:szCs w:val="20"/>
              </w:rPr>
            </w:pPr>
            <w:r>
              <w:rPr>
                <w:rFonts w:hint="eastAsia" w:ascii="仿宋_GB2312" w:hAnsiTheme="minorEastAsia"/>
                <w:sz w:val="20"/>
                <w:szCs w:val="20"/>
              </w:rPr>
              <w:t>工艺及生产设备设施类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涉及重点监管的危险化工工艺生产装置、构成重大危险源的生产装置或储存设施未实现自动化控制；装备的自动化控制系统未投入使用或功能失效。</w:t>
            </w:r>
          </w:p>
        </w:tc>
        <w:tc>
          <w:tcPr>
            <w:tcW w:w="1397"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涉及重点监管的危险化工工艺生产装置、构成重大危险源的生产装置或储存设施应实现自动化控制。</w:t>
            </w:r>
          </w:p>
        </w:tc>
        <w:tc>
          <w:tcPr>
            <w:tcW w:w="1290"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lang w:eastAsia="zh-CN"/>
              </w:rPr>
              <w:t>《化工和危险化学品生产经营企业重大生产安全事故隐患判定准则》（AQ 3067-2026）</w:t>
            </w:r>
            <w:r>
              <w:rPr>
                <w:rFonts w:hint="eastAsia" w:ascii="仿宋_GB2312" w:hAnsi="宋体" w:cs="宋体"/>
                <w:kern w:val="0"/>
                <w:sz w:val="20"/>
                <w:szCs w:val="20"/>
              </w:rPr>
              <w:t>第5.5.3条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12.2.02.038</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设备设施及物料类</w:t>
            </w:r>
          </w:p>
        </w:tc>
        <w:tc>
          <w:tcPr>
            <w:tcW w:w="371" w:type="pct"/>
            <w:vAlign w:val="center"/>
          </w:tcPr>
          <w:p>
            <w:pPr>
              <w:widowControl/>
              <w:adjustRightInd w:val="0"/>
              <w:snapToGrid w:val="0"/>
              <w:spacing w:after="0" w:line="240" w:lineRule="auto"/>
              <w:jc w:val="center"/>
              <w:rPr>
                <w:rFonts w:hint="eastAsia" w:ascii="仿宋_GB2312" w:hAnsiTheme="minorEastAsia"/>
                <w:sz w:val="20"/>
                <w:szCs w:val="20"/>
              </w:rPr>
            </w:pPr>
            <w:r>
              <w:rPr>
                <w:rFonts w:hint="eastAsia" w:ascii="仿宋_GB2312" w:hAnsiTheme="minorEastAsia"/>
                <w:sz w:val="20"/>
                <w:szCs w:val="20"/>
              </w:rPr>
              <w:t>工艺及生产设备设施类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涉及重点监管的危险化工工艺生产装置未实现紧急停车功能；紧急停车系统未投入使用或功能失效。</w:t>
            </w:r>
          </w:p>
        </w:tc>
        <w:tc>
          <w:tcPr>
            <w:tcW w:w="1397"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涉及重点监管的危险化工工艺生产装置应实现紧急停车功能。</w:t>
            </w:r>
          </w:p>
        </w:tc>
        <w:tc>
          <w:tcPr>
            <w:tcW w:w="1290"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lang w:eastAsia="zh-CN"/>
              </w:rPr>
              <w:t>《化工和危险化学品生产经营企业重大生产安全事故隐患判定准则》（AQ 3067-2026）</w:t>
            </w:r>
            <w:r>
              <w:rPr>
                <w:rFonts w:hint="eastAsia" w:ascii="仿宋_GB2312" w:hAnsi="宋体" w:cs="宋体"/>
                <w:kern w:val="0"/>
                <w:sz w:val="20"/>
                <w:szCs w:val="20"/>
              </w:rPr>
              <w:t>第5.5.4条</w:t>
            </w:r>
          </w:p>
        </w:tc>
        <w:tc>
          <w:tcPr>
            <w:tcW w:w="182" w:type="pct"/>
            <w:vAlign w:val="center"/>
          </w:tcPr>
          <w:p>
            <w:pPr>
              <w:widowControl/>
              <w:adjustRightInd w:val="0"/>
              <w:snapToGrid w:val="0"/>
              <w:spacing w:after="0" w:line="240" w:lineRule="auto"/>
              <w:jc w:val="center"/>
              <w:rPr>
                <w:rFonts w:hint="eastAsia" w:ascii="仿宋_GB2312" w:hAnsi="仿宋" w:cs="宋体"/>
                <w:kern w:val="0"/>
                <w:sz w:val="20"/>
                <w:szCs w:val="20"/>
              </w:rPr>
            </w:pPr>
            <w:r>
              <w:rPr>
                <w:rFonts w:hint="eastAsia" w:ascii="仿宋_GB2312"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12.2.02.039</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设备设施及物料类</w:t>
            </w:r>
          </w:p>
        </w:tc>
        <w:tc>
          <w:tcPr>
            <w:tcW w:w="371"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Theme="minorEastAsia"/>
                <w:sz w:val="20"/>
                <w:szCs w:val="20"/>
              </w:rPr>
              <w:t>工艺及生产设备设施类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精细化工装置未按要求开展反应安全风险评估，或反应安全风险评估条件与实际工况不相符；未按照AQ3062的要求获得原料、催化剂、中间产品</w:t>
            </w:r>
            <w:r>
              <w:rPr>
                <w:rFonts w:hint="eastAsia" w:ascii="仿宋_GB2312" w:hAnsi="宋体" w:cs="宋体"/>
                <w:kern w:val="0"/>
                <w:sz w:val="20"/>
                <w:szCs w:val="20"/>
                <w:lang w:eastAsia="zh-CN"/>
              </w:rPr>
              <w:t>、</w:t>
            </w:r>
            <w:r>
              <w:rPr>
                <w:rFonts w:hint="eastAsia" w:ascii="仿宋_GB2312" w:hAnsi="宋体" w:cs="宋体"/>
                <w:kern w:val="0"/>
                <w:sz w:val="20"/>
                <w:szCs w:val="20"/>
              </w:rPr>
              <w:t>产品、副产物，以及蒸馏(精馏)等后处理过程涉及的各相关物料的热分解起始分解温度、分解热等物料热稳定性数据；工艺控制指标发生变更且超出设计范围、原辅料发生变更或投料顺序发生改变未重新开展反应安全风险评估；未按照反应安全风险评估结论和建议落实安全风险管控措施。</w:t>
            </w:r>
          </w:p>
        </w:tc>
        <w:tc>
          <w:tcPr>
            <w:tcW w:w="1397"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精细化工装置应按要求开展反应安全风险评估。</w:t>
            </w:r>
          </w:p>
        </w:tc>
        <w:tc>
          <w:tcPr>
            <w:tcW w:w="1290"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lang w:eastAsia="zh-CN"/>
              </w:rPr>
              <w:t>《化工和危险化学品生产经营企业重大生产安全事故隐患判定准则》（AQ 3067-2026）</w:t>
            </w:r>
            <w:r>
              <w:rPr>
                <w:rFonts w:hint="eastAsia" w:ascii="仿宋_GB2312" w:hAnsi="宋体" w:cs="宋体"/>
                <w:kern w:val="0"/>
                <w:sz w:val="20"/>
                <w:szCs w:val="20"/>
              </w:rPr>
              <w:t>第5.3.5条</w:t>
            </w:r>
          </w:p>
        </w:tc>
        <w:tc>
          <w:tcPr>
            <w:tcW w:w="182" w:type="pct"/>
            <w:vAlign w:val="center"/>
          </w:tcPr>
          <w:p>
            <w:pPr>
              <w:widowControl/>
              <w:adjustRightInd w:val="0"/>
              <w:snapToGrid w:val="0"/>
              <w:spacing w:after="0" w:line="240" w:lineRule="auto"/>
              <w:jc w:val="center"/>
              <w:rPr>
                <w:rFonts w:hint="eastAsia" w:ascii="仿宋_GB2312" w:hAnsi="仿宋" w:cs="宋体"/>
                <w:kern w:val="0"/>
                <w:sz w:val="20"/>
                <w:szCs w:val="20"/>
              </w:rPr>
            </w:pPr>
            <w:r>
              <w:rPr>
                <w:rFonts w:hint="eastAsia" w:ascii="仿宋_GB2312"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Theme="minorEastAsia"/>
                <w:sz w:val="20"/>
                <w:szCs w:val="20"/>
              </w:rPr>
              <w:t>12.2.03.040</w:t>
            </w:r>
          </w:p>
        </w:tc>
        <w:tc>
          <w:tcPr>
            <w:tcW w:w="383" w:type="pct"/>
            <w:shd w:val="clear" w:color="auto" w:fill="FFFFFF"/>
            <w:vAlign w:val="center"/>
          </w:tcPr>
          <w:p>
            <w:pPr>
              <w:adjustRightInd w:val="0"/>
              <w:snapToGrid w:val="0"/>
              <w:spacing w:after="0" w:line="240" w:lineRule="auto"/>
              <w:jc w:val="center"/>
              <w:rPr>
                <w:rFonts w:hint="eastAsia" w:ascii="仿宋_GB2312" w:hAnsiTheme="minorEastAsia"/>
                <w:sz w:val="20"/>
                <w:szCs w:val="20"/>
                <w:lang w:eastAsia="zh-TW" w:bidi="ar"/>
              </w:rPr>
            </w:pPr>
            <w:r>
              <w:rPr>
                <w:rFonts w:hint="eastAsia" w:ascii="仿宋_GB2312" w:hAnsiTheme="minorEastAsia"/>
                <w:sz w:val="20"/>
                <w:szCs w:val="20"/>
                <w:lang w:eastAsia="zh-TW" w:bidi="ar"/>
              </w:rPr>
              <w:t>设备设施及物料类</w:t>
            </w:r>
          </w:p>
        </w:tc>
        <w:tc>
          <w:tcPr>
            <w:tcW w:w="371" w:type="pct"/>
            <w:shd w:val="clear" w:color="auto" w:fill="FFFFFF"/>
            <w:vAlign w:val="center"/>
          </w:tcPr>
          <w:p>
            <w:pPr>
              <w:pStyle w:val="10"/>
              <w:widowControl w:val="0"/>
              <w:adjustRightInd w:val="0"/>
              <w:snapToGrid w:val="0"/>
              <w:spacing w:before="0" w:beforeAutospacing="0" w:after="0" w:afterAutospacing="0"/>
              <w:jc w:val="center"/>
              <w:rPr>
                <w:rFonts w:hint="eastAsia" w:ascii="仿宋_GB2312" w:hAnsi="等线" w:eastAsia="仿宋_GB2312"/>
                <w:sz w:val="20"/>
                <w:szCs w:val="20"/>
              </w:rPr>
            </w:pPr>
            <w:r>
              <w:rPr>
                <w:rFonts w:hint="eastAsia" w:ascii="仿宋_GB2312" w:hAnsi="等线" w:eastAsia="仿宋_GB2312"/>
                <w:sz w:val="20"/>
                <w:szCs w:val="20"/>
              </w:rPr>
              <w:t>辅助系统设备设施类</w:t>
            </w:r>
          </w:p>
        </w:tc>
        <w:tc>
          <w:tcPr>
            <w:tcW w:w="1038" w:type="pct"/>
            <w:shd w:val="clear" w:color="auto" w:fill="FFFFFF"/>
            <w:vAlign w:val="center"/>
          </w:tcPr>
          <w:p>
            <w:pPr>
              <w:pStyle w:val="10"/>
              <w:widowControl w:val="0"/>
              <w:adjustRightInd w:val="0"/>
              <w:snapToGrid w:val="0"/>
              <w:spacing w:before="0" w:beforeAutospacing="0" w:after="0" w:afterAutospacing="0"/>
              <w:jc w:val="both"/>
              <w:rPr>
                <w:rFonts w:hint="eastAsia" w:ascii="仿宋_GB2312" w:hAnsi="等线" w:eastAsia="仿宋_GB2312"/>
                <w:sz w:val="20"/>
                <w:szCs w:val="20"/>
              </w:rPr>
            </w:pPr>
            <w:r>
              <w:rPr>
                <w:rFonts w:hint="eastAsia" w:ascii="仿宋_GB2312" w:eastAsia="仿宋_GB2312" w:hAnsiTheme="minorEastAsia"/>
                <w:sz w:val="20"/>
                <w:szCs w:val="20"/>
                <w:lang w:bidi="ar"/>
              </w:rPr>
              <w:t>对可能突然放散大量有毒气体、有爆炸危险气体或粉尘的场所，未设置事故通风系统。</w:t>
            </w:r>
          </w:p>
        </w:tc>
        <w:tc>
          <w:tcPr>
            <w:tcW w:w="1397" w:type="pct"/>
            <w:vAlign w:val="center"/>
          </w:tcPr>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对可能突然放散大量有毒气体、有爆炸危险气体或粉尘的场所，应根据工艺设计要求设置事故通风系统。</w:t>
            </w:r>
          </w:p>
        </w:tc>
        <w:tc>
          <w:tcPr>
            <w:tcW w:w="1290" w:type="pct"/>
            <w:shd w:val="clear" w:color="auto" w:fill="FFFFFF"/>
            <w:vAlign w:val="center"/>
          </w:tcPr>
          <w:p>
            <w:pPr>
              <w:pStyle w:val="10"/>
              <w:widowControl w:val="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《工业建筑供暖通风与空气调节设计规范》（GB 50019-2015）第6.4.1条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Theme="minorEastAsia"/>
                <w:sz w:val="20"/>
                <w:szCs w:val="20"/>
              </w:rPr>
              <w:t>12.2.06.041</w:t>
            </w:r>
          </w:p>
        </w:tc>
        <w:tc>
          <w:tcPr>
            <w:tcW w:w="383" w:type="pct"/>
            <w:shd w:val="clear" w:color="auto" w:fill="FFFFFF"/>
            <w:vAlign w:val="center"/>
          </w:tcPr>
          <w:p>
            <w:pPr>
              <w:adjustRightInd w:val="0"/>
              <w:snapToGrid w:val="0"/>
              <w:spacing w:after="0" w:line="240" w:lineRule="auto"/>
              <w:jc w:val="center"/>
              <w:rPr>
                <w:rFonts w:hint="eastAsia" w:ascii="仿宋_GB2312" w:hAnsiTheme="minorEastAsia"/>
                <w:sz w:val="20"/>
                <w:szCs w:val="20"/>
                <w:lang w:eastAsia="zh-TW" w:bidi="ar"/>
              </w:rPr>
            </w:pPr>
            <w:r>
              <w:rPr>
                <w:rFonts w:hint="eastAsia" w:ascii="仿宋_GB2312" w:hAnsiTheme="minorEastAsia"/>
                <w:sz w:val="20"/>
                <w:szCs w:val="20"/>
                <w:lang w:eastAsia="zh-TW" w:bidi="ar"/>
              </w:rPr>
              <w:t>设备设施及物料类</w:t>
            </w:r>
          </w:p>
        </w:tc>
        <w:tc>
          <w:tcPr>
            <w:tcW w:w="371" w:type="pct"/>
            <w:shd w:val="clear" w:color="auto" w:fill="FFFFFF"/>
            <w:vAlign w:val="center"/>
          </w:tcPr>
          <w:p>
            <w:pPr>
              <w:pStyle w:val="10"/>
              <w:widowControl w:val="0"/>
              <w:adjustRightInd w:val="0"/>
              <w:snapToGrid w:val="0"/>
              <w:spacing w:before="0" w:beforeAutospacing="0" w:after="0" w:afterAutospacing="0"/>
              <w:jc w:val="center"/>
              <w:rPr>
                <w:rFonts w:hint="eastAsia" w:ascii="仿宋_GB2312" w:hAnsi="等线" w:eastAsia="仿宋_GB2312"/>
                <w:sz w:val="20"/>
                <w:szCs w:val="20"/>
              </w:rPr>
            </w:pPr>
            <w:r>
              <w:rPr>
                <w:rFonts w:hint="eastAsia" w:ascii="仿宋_GB2312" w:hAnsi="等线" w:eastAsia="仿宋_GB2312"/>
                <w:sz w:val="20"/>
                <w:szCs w:val="20"/>
              </w:rPr>
              <w:t>特种设备类</w:t>
            </w:r>
          </w:p>
        </w:tc>
        <w:tc>
          <w:tcPr>
            <w:tcW w:w="1038" w:type="pct"/>
            <w:shd w:val="clear" w:color="auto" w:fill="FFFFFF"/>
            <w:vAlign w:val="center"/>
          </w:tcPr>
          <w:p>
            <w:pPr>
              <w:pStyle w:val="10"/>
              <w:widowControl w:val="0"/>
              <w:adjustRightInd w:val="0"/>
              <w:snapToGrid w:val="0"/>
              <w:spacing w:before="0" w:beforeAutospacing="0" w:after="0" w:afterAutospacing="0"/>
              <w:jc w:val="both"/>
              <w:rPr>
                <w:rFonts w:hint="eastAsia" w:ascii="仿宋_GB2312" w:hAnsi="等线" w:eastAsia="仿宋_GB2312"/>
                <w:sz w:val="20"/>
                <w:szCs w:val="20"/>
              </w:rPr>
            </w:pPr>
            <w:r>
              <w:rPr>
                <w:rFonts w:hint="eastAsia" w:ascii="仿宋_GB2312" w:hAnsi="等线" w:eastAsia="仿宋_GB2312"/>
                <w:sz w:val="20"/>
                <w:szCs w:val="20"/>
              </w:rPr>
              <w:t>特种设备的显著位置未张贴</w:t>
            </w:r>
            <w:r>
              <w:rPr>
                <w:rFonts w:hint="eastAsia" w:ascii="仿宋_GB2312" w:eastAsia="仿宋_GB2312" w:hAnsiTheme="minorEastAsia"/>
                <w:sz w:val="20"/>
                <w:szCs w:val="20"/>
                <w:lang w:bidi="ar"/>
              </w:rPr>
              <w:t>登记标志。</w:t>
            </w:r>
          </w:p>
        </w:tc>
        <w:tc>
          <w:tcPr>
            <w:tcW w:w="1397" w:type="pct"/>
            <w:vAlign w:val="center"/>
          </w:tcPr>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特种设备使用单位应当在特种设备投入使用前或者投入使用后三十日内，向负责特种设备安全监督管理的部门办理使用登记，取得使用登记证书。登记标志应当置于该特种设备的显著位置。 </w:t>
            </w:r>
          </w:p>
        </w:tc>
        <w:tc>
          <w:tcPr>
            <w:tcW w:w="1290" w:type="pct"/>
            <w:shd w:val="clear" w:color="auto" w:fill="FFFFFF"/>
            <w:vAlign w:val="center"/>
          </w:tcPr>
          <w:p>
            <w:pPr>
              <w:pStyle w:val="10"/>
              <w:widowControl w:val="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《中华人民共和国特种设备安全法》第三十三条</w:t>
            </w:r>
          </w:p>
        </w:tc>
        <w:tc>
          <w:tcPr>
            <w:tcW w:w="182" w:type="pct"/>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Theme="minorEastAsia"/>
                <w:sz w:val="20"/>
                <w:szCs w:val="20"/>
              </w:rPr>
              <w:t>12.2.06.042</w:t>
            </w:r>
          </w:p>
        </w:tc>
        <w:tc>
          <w:tcPr>
            <w:tcW w:w="383" w:type="pct"/>
            <w:shd w:val="clear" w:color="auto" w:fill="FFFFFF"/>
            <w:vAlign w:val="center"/>
          </w:tcPr>
          <w:p>
            <w:pPr>
              <w:adjustRightInd w:val="0"/>
              <w:snapToGrid w:val="0"/>
              <w:spacing w:after="0" w:line="240" w:lineRule="auto"/>
              <w:jc w:val="center"/>
              <w:rPr>
                <w:rFonts w:hint="eastAsia" w:ascii="仿宋_GB2312" w:hAnsiTheme="minorEastAsia"/>
                <w:sz w:val="20"/>
                <w:szCs w:val="20"/>
                <w:lang w:eastAsia="zh-TW" w:bidi="ar"/>
              </w:rPr>
            </w:pPr>
            <w:r>
              <w:rPr>
                <w:rFonts w:hint="eastAsia" w:ascii="仿宋_GB2312" w:hAnsiTheme="minorEastAsia"/>
                <w:sz w:val="20"/>
                <w:szCs w:val="20"/>
                <w:lang w:eastAsia="zh-TW" w:bidi="ar"/>
              </w:rPr>
              <w:t>设备设施及物料类</w:t>
            </w:r>
          </w:p>
        </w:tc>
        <w:tc>
          <w:tcPr>
            <w:tcW w:w="371" w:type="pct"/>
            <w:shd w:val="clear" w:color="auto" w:fill="FFFFFF"/>
            <w:vAlign w:val="center"/>
          </w:tcPr>
          <w:p>
            <w:pPr>
              <w:pStyle w:val="10"/>
              <w:widowControl w:val="0"/>
              <w:adjustRightInd w:val="0"/>
              <w:snapToGrid w:val="0"/>
              <w:spacing w:before="0" w:beforeAutospacing="0" w:after="0" w:afterAutospacing="0"/>
              <w:jc w:val="center"/>
              <w:rPr>
                <w:rFonts w:hint="eastAsia" w:ascii="仿宋_GB2312" w:hAnsi="等线" w:eastAsia="仿宋_GB2312"/>
                <w:sz w:val="20"/>
                <w:szCs w:val="20"/>
              </w:rPr>
            </w:pPr>
            <w:r>
              <w:rPr>
                <w:rFonts w:hint="eastAsia" w:ascii="仿宋_GB2312" w:hAnsi="等线" w:eastAsia="仿宋_GB2312"/>
                <w:sz w:val="20"/>
                <w:szCs w:val="20"/>
              </w:rPr>
              <w:t>特种设备类</w:t>
            </w:r>
          </w:p>
        </w:tc>
        <w:tc>
          <w:tcPr>
            <w:tcW w:w="1038" w:type="pct"/>
            <w:shd w:val="clear" w:color="auto" w:fill="FFFFFF"/>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特种设备使用单位特种设备安全技术档案欠缺。</w:t>
            </w:r>
          </w:p>
        </w:tc>
        <w:tc>
          <w:tcPr>
            <w:tcW w:w="1397" w:type="pct"/>
            <w:vAlign w:val="center"/>
          </w:tcPr>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特种设备使用单位应当建立特种设备安全技术档案。安全技术档案应当包括以下内容： </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（一）特种设备的设计文件、产品质量合格证明、安装及使用维护保养说明、监督检验证明等相关技术资料和文件； </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（二）特种设备的定期检验和定期自行检查记录； </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（三）特种设备的日常使用状况记录； </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（四）特种设备及其附属仪器仪表的维护保养记录； </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（五）特种设备的运行故障和事故记录。 </w:t>
            </w:r>
          </w:p>
        </w:tc>
        <w:tc>
          <w:tcPr>
            <w:tcW w:w="1290" w:type="pct"/>
            <w:shd w:val="clear" w:color="auto" w:fill="FFFFFF"/>
            <w:vAlign w:val="center"/>
          </w:tcPr>
          <w:p>
            <w:pPr>
              <w:pStyle w:val="10"/>
              <w:widowControl w:val="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《中华人民共和国特种设备安全法》第三十五条</w:t>
            </w:r>
          </w:p>
        </w:tc>
        <w:tc>
          <w:tcPr>
            <w:tcW w:w="182" w:type="pct"/>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Theme="minorEastAsia"/>
                <w:sz w:val="20"/>
                <w:szCs w:val="20"/>
              </w:rPr>
              <w:t>12.2.06.043</w:t>
            </w:r>
          </w:p>
        </w:tc>
        <w:tc>
          <w:tcPr>
            <w:tcW w:w="383" w:type="pct"/>
            <w:shd w:val="clear" w:color="auto" w:fill="FFFFFF"/>
            <w:vAlign w:val="center"/>
          </w:tcPr>
          <w:p>
            <w:pPr>
              <w:adjustRightInd w:val="0"/>
              <w:snapToGrid w:val="0"/>
              <w:spacing w:after="0" w:line="240" w:lineRule="auto"/>
              <w:jc w:val="center"/>
              <w:rPr>
                <w:rFonts w:hint="eastAsia" w:ascii="仿宋_GB2312" w:hAnsiTheme="minorEastAsia"/>
                <w:sz w:val="20"/>
                <w:szCs w:val="20"/>
                <w:lang w:eastAsia="zh-TW" w:bidi="ar"/>
              </w:rPr>
            </w:pPr>
            <w:r>
              <w:rPr>
                <w:rFonts w:hint="eastAsia" w:ascii="仿宋_GB2312" w:hAnsiTheme="minorEastAsia"/>
                <w:sz w:val="20"/>
                <w:szCs w:val="20"/>
                <w:lang w:eastAsia="zh-TW" w:bidi="ar"/>
              </w:rPr>
              <w:t>设备设施及物料类</w:t>
            </w:r>
          </w:p>
        </w:tc>
        <w:tc>
          <w:tcPr>
            <w:tcW w:w="371" w:type="pct"/>
            <w:shd w:val="clear" w:color="auto" w:fill="FFFFFF"/>
            <w:vAlign w:val="center"/>
          </w:tcPr>
          <w:p>
            <w:pPr>
              <w:pStyle w:val="10"/>
              <w:widowControl w:val="0"/>
              <w:adjustRightInd w:val="0"/>
              <w:snapToGrid w:val="0"/>
              <w:spacing w:before="0" w:beforeAutospacing="0" w:after="0" w:afterAutospacing="0"/>
              <w:jc w:val="center"/>
              <w:rPr>
                <w:rFonts w:hint="eastAsia" w:ascii="仿宋_GB2312" w:hAnsi="等线" w:eastAsia="仿宋_GB2312"/>
                <w:sz w:val="20"/>
                <w:szCs w:val="20"/>
              </w:rPr>
            </w:pPr>
            <w:r>
              <w:rPr>
                <w:rFonts w:hint="eastAsia" w:ascii="仿宋_GB2312" w:hAnsi="等线" w:eastAsia="仿宋_GB2312"/>
                <w:sz w:val="20"/>
                <w:szCs w:val="20"/>
              </w:rPr>
              <w:t>特种设备类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安全阀、爆破片等安全附件未正常投用。</w:t>
            </w:r>
          </w:p>
        </w:tc>
        <w:tc>
          <w:tcPr>
            <w:tcW w:w="1397"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安全阀、爆破片应按设计要求设置并正常投用。</w:t>
            </w:r>
          </w:p>
        </w:tc>
        <w:tc>
          <w:tcPr>
            <w:tcW w:w="1290"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lang w:eastAsia="zh-CN"/>
              </w:rPr>
              <w:t>《化工和危险化学品生产经营企业重大生产安全事故隐患判定准则》（AQ 3067-2026）</w:t>
            </w:r>
            <w:r>
              <w:rPr>
                <w:rFonts w:hint="eastAsia" w:ascii="仿宋_GB2312" w:hAnsi="宋体" w:cs="宋体"/>
                <w:kern w:val="0"/>
                <w:sz w:val="20"/>
                <w:szCs w:val="20"/>
              </w:rPr>
              <w:t>第5.4.6条</w:t>
            </w:r>
          </w:p>
        </w:tc>
        <w:tc>
          <w:tcPr>
            <w:tcW w:w="182" w:type="pct"/>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r>
              <w:rPr>
                <w:rFonts w:hint="eastAsia" w:ascii="仿宋_GB2312"/>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Theme="minorEastAsia"/>
                <w:sz w:val="20"/>
                <w:szCs w:val="20"/>
              </w:rPr>
              <w:t>12.2.06.044</w:t>
            </w:r>
          </w:p>
        </w:tc>
        <w:tc>
          <w:tcPr>
            <w:tcW w:w="383" w:type="pct"/>
            <w:shd w:val="clear" w:color="auto" w:fill="FFFFFF"/>
            <w:vAlign w:val="center"/>
          </w:tcPr>
          <w:p>
            <w:pPr>
              <w:adjustRightInd w:val="0"/>
              <w:snapToGrid w:val="0"/>
              <w:spacing w:after="0" w:line="240" w:lineRule="auto"/>
              <w:jc w:val="center"/>
              <w:rPr>
                <w:rFonts w:hint="eastAsia" w:ascii="仿宋_GB2312" w:hAnsiTheme="minorEastAsia"/>
                <w:sz w:val="20"/>
                <w:szCs w:val="20"/>
                <w:lang w:eastAsia="zh-TW" w:bidi="ar"/>
              </w:rPr>
            </w:pPr>
            <w:r>
              <w:rPr>
                <w:rFonts w:hint="eastAsia" w:ascii="仿宋_GB2312" w:hAnsiTheme="minorEastAsia"/>
                <w:sz w:val="20"/>
                <w:szCs w:val="20"/>
                <w:lang w:eastAsia="zh-TW" w:bidi="ar"/>
              </w:rPr>
              <w:t>设备设施及物料类</w:t>
            </w:r>
          </w:p>
        </w:tc>
        <w:tc>
          <w:tcPr>
            <w:tcW w:w="371" w:type="pct"/>
            <w:shd w:val="clear" w:color="auto" w:fill="FFFFFF"/>
            <w:vAlign w:val="center"/>
          </w:tcPr>
          <w:p>
            <w:pPr>
              <w:pStyle w:val="10"/>
              <w:widowControl w:val="0"/>
              <w:adjustRightInd w:val="0"/>
              <w:snapToGrid w:val="0"/>
              <w:spacing w:before="0" w:beforeAutospacing="0" w:after="0" w:afterAutospacing="0"/>
              <w:jc w:val="center"/>
              <w:rPr>
                <w:rFonts w:hint="eastAsia" w:ascii="仿宋_GB2312" w:hAnsi="等线" w:eastAsia="仿宋_GB2312"/>
                <w:sz w:val="20"/>
                <w:szCs w:val="20"/>
              </w:rPr>
            </w:pPr>
            <w:r>
              <w:rPr>
                <w:rFonts w:hint="eastAsia" w:ascii="仿宋_GB2312" w:hAnsi="等线" w:eastAsia="仿宋_GB2312"/>
                <w:sz w:val="20"/>
                <w:szCs w:val="20"/>
              </w:rPr>
              <w:t>特种设备类</w:t>
            </w:r>
          </w:p>
        </w:tc>
        <w:tc>
          <w:tcPr>
            <w:tcW w:w="1038" w:type="pct"/>
            <w:shd w:val="clear" w:color="auto" w:fill="FFFFFF"/>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ascii="仿宋_GB2312" w:eastAsia="仿宋_GB2312" w:hAnsiTheme="minorEastAsia"/>
                <w:sz w:val="20"/>
                <w:szCs w:val="20"/>
                <w:lang w:bidi="ar"/>
              </w:rPr>
              <w:t>压力表的选型</w:t>
            </w:r>
            <w:r>
              <w:rPr>
                <w:rFonts w:hint="eastAsia" w:ascii="仿宋_GB2312" w:eastAsia="仿宋_GB2312" w:hAnsiTheme="minorEastAsia"/>
                <w:sz w:val="20"/>
                <w:szCs w:val="20"/>
                <w:lang w:bidi="ar"/>
              </w:rPr>
              <w:t>不</w:t>
            </w:r>
            <w:r>
              <w:rPr>
                <w:rFonts w:ascii="仿宋_GB2312" w:eastAsia="仿宋_GB2312" w:hAnsiTheme="minorEastAsia"/>
                <w:sz w:val="20"/>
                <w:szCs w:val="20"/>
                <w:lang w:bidi="ar"/>
              </w:rPr>
              <w:t>符合相关要求，</w:t>
            </w:r>
            <w:r>
              <w:rPr>
                <w:rFonts w:hint="eastAsia" w:ascii="仿宋_GB2312" w:eastAsia="仿宋_GB2312" w:hAnsiTheme="minorEastAsia"/>
                <w:sz w:val="20"/>
                <w:szCs w:val="20"/>
                <w:lang w:bidi="ar"/>
              </w:rPr>
              <w:t>缺少</w:t>
            </w:r>
            <w:r>
              <w:rPr>
                <w:rFonts w:ascii="仿宋_GB2312" w:eastAsia="仿宋_GB2312" w:hAnsiTheme="minorEastAsia"/>
                <w:sz w:val="20"/>
                <w:szCs w:val="20"/>
                <w:lang w:bidi="ar"/>
              </w:rPr>
              <w:t>压力范围及检定标记</w:t>
            </w:r>
            <w:r>
              <w:rPr>
                <w:rFonts w:hint="eastAsia" w:ascii="仿宋_GB2312" w:eastAsia="仿宋_GB2312" w:hAnsiTheme="minorEastAsia"/>
                <w:sz w:val="20"/>
                <w:szCs w:val="20"/>
                <w:lang w:bidi="ar"/>
              </w:rPr>
              <w:t>标识</w:t>
            </w:r>
            <w:r>
              <w:rPr>
                <w:rFonts w:ascii="仿宋_GB2312" w:eastAsia="仿宋_GB2312" w:hAnsiTheme="minorEastAsia"/>
                <w:sz w:val="20"/>
                <w:szCs w:val="20"/>
                <w:lang w:bidi="ar"/>
              </w:rPr>
              <w:t>。</w:t>
            </w:r>
          </w:p>
        </w:tc>
        <w:tc>
          <w:tcPr>
            <w:tcW w:w="1397" w:type="pct"/>
            <w:vAlign w:val="center"/>
          </w:tcPr>
          <w:p>
            <w:pPr>
              <w:adjustRightInd w:val="0"/>
              <w:snapToGrid w:val="0"/>
              <w:spacing w:after="0" w:line="240" w:lineRule="auto"/>
              <w:jc w:val="left"/>
              <w:rPr>
                <w:rFonts w:hint="eastAsia" w:ascii="仿宋_GB2312" w:cs="宋体" w:hAnsiTheme="minorEastAsia"/>
                <w:kern w:val="0"/>
                <w:sz w:val="20"/>
                <w:szCs w:val="20"/>
                <w:lang w:bidi="ar"/>
              </w:rPr>
            </w:pPr>
            <w:r>
              <w:rPr>
                <w:rFonts w:ascii="仿宋_GB2312" w:cs="宋体" w:hAnsiTheme="minorEastAsia"/>
                <w:kern w:val="0"/>
                <w:sz w:val="20"/>
                <w:szCs w:val="20"/>
                <w:lang w:bidi="ar"/>
              </w:rPr>
              <w:t>压力表的选型应符合相关要求，压力范围及检定标记明显。</w:t>
            </w:r>
          </w:p>
        </w:tc>
        <w:tc>
          <w:tcPr>
            <w:tcW w:w="1290" w:type="pct"/>
            <w:shd w:val="clear" w:color="auto" w:fill="FFFFFF"/>
            <w:vAlign w:val="center"/>
          </w:tcPr>
          <w:p>
            <w:pPr>
              <w:adjustRightInd w:val="0"/>
              <w:snapToGrid w:val="0"/>
              <w:spacing w:after="0" w:line="240" w:lineRule="auto"/>
              <w:jc w:val="left"/>
              <w:rPr>
                <w:rFonts w:hint="eastAsia" w:ascii="仿宋_GB2312" w:cs="宋体" w:hAnsiTheme="minorEastAsia"/>
                <w:kern w:val="0"/>
                <w:sz w:val="20"/>
                <w:szCs w:val="20"/>
                <w:lang w:bidi="ar"/>
              </w:rPr>
            </w:pPr>
            <w:r>
              <w:rPr>
                <w:rFonts w:ascii="仿宋_GB2312" w:cs="宋体" w:hAnsiTheme="minorEastAsia"/>
                <w:kern w:val="0"/>
                <w:sz w:val="20"/>
                <w:szCs w:val="20"/>
                <w:lang w:bidi="ar"/>
              </w:rPr>
              <w:t>《固定式压力容器安全技术监察规程》(TSG 21-2016)第9.2.1条</w:t>
            </w:r>
          </w:p>
        </w:tc>
        <w:tc>
          <w:tcPr>
            <w:tcW w:w="182" w:type="pct"/>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Theme="minorEastAsia"/>
                <w:sz w:val="20"/>
                <w:szCs w:val="20"/>
              </w:rPr>
              <w:t>12.2.07.045</w:t>
            </w:r>
          </w:p>
        </w:tc>
        <w:tc>
          <w:tcPr>
            <w:tcW w:w="383" w:type="pct"/>
            <w:shd w:val="clear" w:color="auto" w:fill="FFFFFF"/>
            <w:vAlign w:val="center"/>
          </w:tcPr>
          <w:p>
            <w:pPr>
              <w:adjustRightInd w:val="0"/>
              <w:snapToGrid w:val="0"/>
              <w:spacing w:after="0" w:line="240" w:lineRule="auto"/>
              <w:jc w:val="center"/>
              <w:rPr>
                <w:rFonts w:hint="eastAsia" w:ascii="仿宋_GB2312" w:hAnsiTheme="minorEastAsia"/>
                <w:sz w:val="20"/>
                <w:szCs w:val="20"/>
                <w:lang w:eastAsia="zh-TW" w:bidi="ar"/>
              </w:rPr>
            </w:pPr>
            <w:r>
              <w:rPr>
                <w:rFonts w:hint="eastAsia" w:ascii="仿宋_GB2312" w:hAnsiTheme="minorEastAsia"/>
                <w:sz w:val="20"/>
                <w:szCs w:val="20"/>
                <w:lang w:eastAsia="zh-TW" w:bidi="ar"/>
              </w:rPr>
              <w:t>设备设施及物料类</w:t>
            </w:r>
          </w:p>
        </w:tc>
        <w:tc>
          <w:tcPr>
            <w:tcW w:w="371" w:type="pct"/>
            <w:shd w:val="clear" w:color="auto" w:fill="FFFFFF"/>
            <w:vAlign w:val="center"/>
          </w:tcPr>
          <w:p>
            <w:pPr>
              <w:pStyle w:val="10"/>
              <w:widowControl w:val="0"/>
              <w:adjustRightInd w:val="0"/>
              <w:snapToGrid w:val="0"/>
              <w:spacing w:before="0" w:beforeAutospacing="0" w:after="0" w:afterAutospacing="0"/>
              <w:jc w:val="center"/>
              <w:rPr>
                <w:rFonts w:hint="eastAsia" w:ascii="仿宋_GB2312" w:hAnsi="等线" w:eastAsia="仿宋_GB2312"/>
                <w:sz w:val="20"/>
                <w:szCs w:val="20"/>
              </w:rPr>
            </w:pPr>
            <w:r>
              <w:rPr>
                <w:rFonts w:hint="eastAsia" w:ascii="仿宋_GB2312" w:hAnsi="等线" w:eastAsia="仿宋_GB2312"/>
                <w:sz w:val="20"/>
                <w:szCs w:val="20"/>
              </w:rPr>
              <w:t>通用设备类</w:t>
            </w:r>
          </w:p>
        </w:tc>
        <w:tc>
          <w:tcPr>
            <w:tcW w:w="1038" w:type="pct"/>
            <w:shd w:val="clear" w:color="auto" w:fill="FFFFFF"/>
            <w:vAlign w:val="center"/>
          </w:tcPr>
          <w:p>
            <w:pPr>
              <w:pStyle w:val="10"/>
              <w:widowControl w:val="0"/>
              <w:adjustRightInd w:val="0"/>
              <w:snapToGrid w:val="0"/>
              <w:spacing w:before="0" w:beforeAutospacing="0" w:after="0" w:afterAutospacing="0"/>
              <w:jc w:val="both"/>
              <w:rPr>
                <w:rFonts w:hint="eastAsia" w:ascii="仿宋_GB2312" w:hAnsi="等线" w:eastAsia="仿宋_GB2312"/>
                <w:sz w:val="20"/>
                <w:szCs w:val="20"/>
              </w:rPr>
            </w:pPr>
            <w:r>
              <w:rPr>
                <w:rFonts w:hint="eastAsia" w:ascii="仿宋_GB2312" w:eastAsia="仿宋_GB2312" w:hAnsiTheme="minorEastAsia"/>
                <w:sz w:val="20"/>
                <w:szCs w:val="20"/>
                <w:lang w:bidi="ar"/>
              </w:rPr>
              <w:t>生产设备转动、传动部位等缺少设置防护罩、防护网或防护栏杆等安全防护装置。</w:t>
            </w:r>
          </w:p>
        </w:tc>
        <w:tc>
          <w:tcPr>
            <w:tcW w:w="1397" w:type="pct"/>
            <w:vAlign w:val="center"/>
          </w:tcPr>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生产设备转动、传动部位等应设置防护罩、防护网或防护栏杆等安全防护装置。</w:t>
            </w:r>
          </w:p>
        </w:tc>
        <w:tc>
          <w:tcPr>
            <w:tcW w:w="1290" w:type="pct"/>
            <w:shd w:val="clear" w:color="auto" w:fill="FFFFFF"/>
            <w:vAlign w:val="center"/>
          </w:tcPr>
          <w:p>
            <w:pPr>
              <w:pStyle w:val="10"/>
              <w:widowControl w:val="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《生产过程安全基本要求》</w:t>
            </w:r>
            <w:r>
              <w:rPr>
                <w:rFonts w:hint="eastAsia" w:ascii="仿宋_GB2312" w:eastAsia="仿宋_GB2312" w:hAnsiTheme="minorEastAsia"/>
                <w:sz w:val="20"/>
                <w:szCs w:val="20"/>
                <w:lang w:eastAsia="zh-CN" w:bidi="ar"/>
              </w:rPr>
              <w:t>（GB 12801-2025）</w:t>
            </w:r>
            <w:r>
              <w:rPr>
                <w:rFonts w:hint="eastAsia" w:ascii="仿宋_GB2312" w:eastAsia="仿宋_GB2312" w:hAnsiTheme="minorEastAsia"/>
                <w:sz w:val="20"/>
                <w:szCs w:val="20"/>
                <w:lang w:bidi="ar"/>
              </w:rPr>
              <w:t>第5.4.1条</w:t>
            </w:r>
          </w:p>
        </w:tc>
        <w:tc>
          <w:tcPr>
            <w:tcW w:w="182" w:type="pct"/>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Theme="minorEastAsia"/>
                <w:sz w:val="20"/>
                <w:szCs w:val="20"/>
              </w:rPr>
              <w:t>12.2.07.046</w:t>
            </w:r>
          </w:p>
        </w:tc>
        <w:tc>
          <w:tcPr>
            <w:tcW w:w="383" w:type="pct"/>
            <w:shd w:val="clear" w:color="auto" w:fill="FFFFFF"/>
            <w:vAlign w:val="center"/>
          </w:tcPr>
          <w:p>
            <w:pPr>
              <w:adjustRightInd w:val="0"/>
              <w:snapToGrid w:val="0"/>
              <w:spacing w:after="0" w:line="240" w:lineRule="auto"/>
              <w:jc w:val="center"/>
              <w:rPr>
                <w:rFonts w:hint="eastAsia" w:ascii="仿宋_GB2312" w:hAnsiTheme="minorEastAsia"/>
                <w:sz w:val="20"/>
                <w:szCs w:val="20"/>
                <w:lang w:eastAsia="zh-TW" w:bidi="ar"/>
              </w:rPr>
            </w:pPr>
            <w:r>
              <w:rPr>
                <w:rFonts w:hint="eastAsia" w:ascii="仿宋_GB2312" w:hAnsiTheme="minorEastAsia"/>
                <w:sz w:val="20"/>
                <w:szCs w:val="20"/>
                <w:lang w:eastAsia="zh-TW" w:bidi="ar"/>
              </w:rPr>
              <w:t>设备设施及物料类</w:t>
            </w:r>
          </w:p>
        </w:tc>
        <w:tc>
          <w:tcPr>
            <w:tcW w:w="371" w:type="pct"/>
            <w:shd w:val="clear" w:color="auto" w:fill="FFFFFF"/>
            <w:vAlign w:val="center"/>
          </w:tcPr>
          <w:p>
            <w:pPr>
              <w:pStyle w:val="10"/>
              <w:widowControl w:val="0"/>
              <w:adjustRightInd w:val="0"/>
              <w:snapToGrid w:val="0"/>
              <w:spacing w:before="0" w:beforeAutospacing="0" w:after="0" w:afterAutospacing="0"/>
              <w:jc w:val="center"/>
              <w:rPr>
                <w:rFonts w:hint="eastAsia" w:ascii="仿宋_GB2312" w:hAnsi="等线" w:eastAsia="仿宋_GB2312"/>
                <w:sz w:val="20"/>
                <w:szCs w:val="20"/>
              </w:rPr>
            </w:pPr>
            <w:r>
              <w:rPr>
                <w:rFonts w:hint="eastAsia" w:ascii="仿宋_GB2312" w:hAnsi="等线" w:eastAsia="仿宋_GB2312"/>
                <w:sz w:val="20"/>
                <w:szCs w:val="20"/>
              </w:rPr>
              <w:t>通用设备类</w:t>
            </w:r>
          </w:p>
        </w:tc>
        <w:tc>
          <w:tcPr>
            <w:tcW w:w="1038" w:type="pct"/>
            <w:shd w:val="clear" w:color="auto" w:fill="FFFFFF"/>
            <w:vAlign w:val="center"/>
          </w:tcPr>
          <w:p>
            <w:pPr>
              <w:pStyle w:val="10"/>
              <w:widowControl w:val="0"/>
              <w:adjustRightInd w:val="0"/>
              <w:snapToGrid w:val="0"/>
              <w:spacing w:before="0" w:beforeAutospacing="0" w:after="0" w:afterAutospacing="0"/>
              <w:jc w:val="both"/>
              <w:rPr>
                <w:rFonts w:hint="eastAsia" w:ascii="仿宋_GB2312" w:hAnsi="等线" w:eastAsia="仿宋_GB2312"/>
                <w:sz w:val="20"/>
                <w:szCs w:val="20"/>
              </w:rPr>
            </w:pPr>
            <w:r>
              <w:rPr>
                <w:rFonts w:hint="eastAsia" w:ascii="仿宋_GB2312" w:eastAsia="仿宋_GB2312" w:hAnsiTheme="minorEastAsia"/>
                <w:sz w:val="20"/>
                <w:szCs w:val="20"/>
                <w:lang w:bidi="ar"/>
              </w:rPr>
              <w:t>有可能对作业人员造成挤压或压制的生产设备缺少紧急停车开关和机械闭锁装置。</w:t>
            </w:r>
          </w:p>
        </w:tc>
        <w:tc>
          <w:tcPr>
            <w:tcW w:w="1397" w:type="pct"/>
            <w:vAlign w:val="center"/>
          </w:tcPr>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有可能对作业人员造成挤压或压制的生产设备应设置紧急停车开关和机械闭锁装置。</w:t>
            </w:r>
          </w:p>
        </w:tc>
        <w:tc>
          <w:tcPr>
            <w:tcW w:w="1290" w:type="pct"/>
            <w:shd w:val="clear" w:color="auto" w:fill="FFFFFF"/>
            <w:vAlign w:val="center"/>
          </w:tcPr>
          <w:p>
            <w:pPr>
              <w:pStyle w:val="10"/>
              <w:widowControl w:val="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《生产过程安全基本要求》</w:t>
            </w:r>
            <w:r>
              <w:rPr>
                <w:rFonts w:hint="eastAsia" w:ascii="仿宋_GB2312" w:eastAsia="仿宋_GB2312" w:hAnsiTheme="minorEastAsia"/>
                <w:sz w:val="20"/>
                <w:szCs w:val="20"/>
                <w:lang w:eastAsia="zh-CN" w:bidi="ar"/>
              </w:rPr>
              <w:t>（GB 12801-2025）</w:t>
            </w:r>
            <w:r>
              <w:rPr>
                <w:rFonts w:hint="eastAsia" w:ascii="仿宋_GB2312" w:eastAsia="仿宋_GB2312" w:hAnsiTheme="minorEastAsia"/>
                <w:sz w:val="20"/>
                <w:szCs w:val="20"/>
                <w:lang w:bidi="ar"/>
              </w:rPr>
              <w:t>第5.4.3条</w:t>
            </w:r>
          </w:p>
        </w:tc>
        <w:tc>
          <w:tcPr>
            <w:tcW w:w="182" w:type="pct"/>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Theme="minorEastAsia"/>
                <w:sz w:val="20"/>
                <w:szCs w:val="20"/>
              </w:rPr>
              <w:t>12.2.08.047</w:t>
            </w:r>
          </w:p>
        </w:tc>
        <w:tc>
          <w:tcPr>
            <w:tcW w:w="383" w:type="pct"/>
            <w:shd w:val="clear" w:color="auto" w:fill="FFFFFF"/>
            <w:vAlign w:val="center"/>
          </w:tcPr>
          <w:p>
            <w:pPr>
              <w:adjustRightInd w:val="0"/>
              <w:snapToGrid w:val="0"/>
              <w:spacing w:after="0" w:line="240" w:lineRule="auto"/>
              <w:jc w:val="center"/>
              <w:rPr>
                <w:rFonts w:hint="eastAsia" w:ascii="仿宋_GB2312" w:hAnsiTheme="minorEastAsia"/>
                <w:sz w:val="20"/>
                <w:szCs w:val="20"/>
                <w:lang w:eastAsia="zh-TW" w:bidi="ar"/>
              </w:rPr>
            </w:pPr>
            <w:r>
              <w:rPr>
                <w:rFonts w:hint="eastAsia" w:ascii="仿宋_GB2312" w:hAnsiTheme="minorEastAsia"/>
                <w:sz w:val="20"/>
                <w:szCs w:val="20"/>
                <w:lang w:eastAsia="zh-TW" w:bidi="ar"/>
              </w:rPr>
              <w:t>设备设施及物料类</w:t>
            </w:r>
          </w:p>
        </w:tc>
        <w:tc>
          <w:tcPr>
            <w:tcW w:w="371" w:type="pct"/>
            <w:shd w:val="clear" w:color="auto" w:fill="FFFFFF"/>
            <w:vAlign w:val="center"/>
          </w:tcPr>
          <w:p>
            <w:pPr>
              <w:pStyle w:val="10"/>
              <w:widowControl w:val="0"/>
              <w:adjustRightInd w:val="0"/>
              <w:snapToGrid w:val="0"/>
              <w:spacing w:before="0" w:beforeAutospacing="0" w:after="0" w:afterAutospacing="0"/>
              <w:jc w:val="center"/>
              <w:rPr>
                <w:rFonts w:hint="eastAsia" w:ascii="仿宋_GB2312" w:hAnsi="等线" w:eastAsia="仿宋_GB2312"/>
                <w:sz w:val="20"/>
                <w:szCs w:val="20"/>
              </w:rPr>
            </w:pPr>
            <w:r>
              <w:rPr>
                <w:rFonts w:hint="eastAsia" w:ascii="仿宋_GB2312" w:hAnsi="等线" w:eastAsia="仿宋_GB2312"/>
                <w:sz w:val="20"/>
                <w:szCs w:val="20"/>
              </w:rPr>
              <w:t>天然气设备设施类</w:t>
            </w:r>
          </w:p>
        </w:tc>
        <w:tc>
          <w:tcPr>
            <w:tcW w:w="1038" w:type="pct"/>
            <w:shd w:val="clear" w:color="auto" w:fill="FFFFFF"/>
            <w:vAlign w:val="center"/>
          </w:tcPr>
          <w:p>
            <w:pPr>
              <w:pStyle w:val="10"/>
              <w:widowControl w:val="0"/>
              <w:adjustRightInd w:val="0"/>
              <w:snapToGrid w:val="0"/>
              <w:spacing w:before="0" w:beforeAutospacing="0" w:after="0" w:afterAutospacing="0"/>
              <w:jc w:val="both"/>
              <w:rPr>
                <w:rFonts w:hint="eastAsia" w:ascii="仿宋_GB2312" w:hAnsi="等线" w:eastAsia="仿宋_GB2312"/>
                <w:sz w:val="20"/>
                <w:szCs w:val="20"/>
              </w:rPr>
            </w:pPr>
            <w:r>
              <w:rPr>
                <w:rFonts w:hint="eastAsia" w:ascii="仿宋_GB2312" w:eastAsia="仿宋_GB2312" w:hAnsiTheme="minorEastAsia"/>
                <w:sz w:val="20"/>
                <w:szCs w:val="20"/>
                <w:lang w:bidi="ar"/>
              </w:rPr>
              <w:t>燃油、燃气锅炉房锅炉间与相邻的辅助间之间防火措施不足。</w:t>
            </w:r>
          </w:p>
        </w:tc>
        <w:tc>
          <w:tcPr>
            <w:tcW w:w="1397" w:type="pct"/>
            <w:vAlign w:val="center"/>
          </w:tcPr>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燃油、燃气锅炉房锅炉间与相邻的辅助间之间应设置防火隔墙。</w:t>
            </w:r>
          </w:p>
        </w:tc>
        <w:tc>
          <w:tcPr>
            <w:tcW w:w="1290" w:type="pct"/>
            <w:shd w:val="clear" w:color="auto" w:fill="FFFFFF"/>
            <w:vAlign w:val="center"/>
          </w:tcPr>
          <w:p>
            <w:pPr>
              <w:pStyle w:val="10"/>
              <w:widowControl w:val="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《锅炉房设计标准》（GB50041-2020）第15.1.3条</w:t>
            </w:r>
          </w:p>
        </w:tc>
        <w:tc>
          <w:tcPr>
            <w:tcW w:w="182" w:type="pct"/>
            <w:shd w:val="clear" w:color="auto" w:fill="FFFFFF"/>
            <w:vAlign w:val="center"/>
          </w:tcPr>
          <w:p>
            <w:pPr>
              <w:pStyle w:val="10"/>
              <w:widowControl w:val="0"/>
              <w:adjustRightInd w:val="0"/>
              <w:snapToGrid w:val="0"/>
              <w:spacing w:before="0" w:beforeAutospacing="0" w:after="0" w:afterAutospacing="0"/>
              <w:jc w:val="center"/>
              <w:rPr>
                <w:rFonts w:hint="eastAsia" w:ascii="仿宋_GB2312"/>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Theme="minorEastAsia"/>
                <w:sz w:val="20"/>
                <w:szCs w:val="20"/>
              </w:rPr>
              <w:t>12.2.09.049</w:t>
            </w:r>
          </w:p>
        </w:tc>
        <w:tc>
          <w:tcPr>
            <w:tcW w:w="383" w:type="pct"/>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设备设施及物料类</w:t>
            </w:r>
          </w:p>
        </w:tc>
        <w:tc>
          <w:tcPr>
            <w:tcW w:w="371" w:type="pct"/>
            <w:shd w:val="clear" w:color="auto" w:fill="FFFFFF"/>
            <w:vAlign w:val="center"/>
          </w:tcPr>
          <w:p>
            <w:pPr>
              <w:pStyle w:val="10"/>
              <w:widowControl w:val="0"/>
              <w:adjustRightInd w:val="0"/>
              <w:snapToGrid w:val="0"/>
              <w:spacing w:before="0" w:beforeAutospacing="0" w:after="0" w:afterAutospacing="0"/>
              <w:jc w:val="center"/>
              <w:rPr>
                <w:rFonts w:hint="eastAsia" w:ascii="仿宋_GB2312" w:hAnsi="等线" w:eastAsia="仿宋_GB2312"/>
                <w:sz w:val="20"/>
                <w:szCs w:val="20"/>
              </w:rPr>
            </w:pPr>
            <w:r>
              <w:rPr>
                <w:rFonts w:hint="eastAsia" w:ascii="仿宋_GB2312" w:hAnsi="等线" w:eastAsia="仿宋_GB2312"/>
                <w:sz w:val="20"/>
                <w:szCs w:val="20"/>
              </w:rPr>
              <w:t>监控系统类</w:t>
            </w:r>
          </w:p>
        </w:tc>
        <w:tc>
          <w:tcPr>
            <w:tcW w:w="1038" w:type="pct"/>
            <w:shd w:val="clear" w:color="auto" w:fill="FFFFFF"/>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存在可燃或有毒气体泄漏风险的场所未按设计要求设置气体探测器或气体探测器功能失效；GDS未投入使用。</w:t>
            </w:r>
          </w:p>
        </w:tc>
        <w:tc>
          <w:tcPr>
            <w:tcW w:w="1397" w:type="pct"/>
            <w:shd w:val="clear" w:color="auto" w:fill="FFFFFF"/>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存在可燃或有毒气体泄漏风险的场所应按设计要求设置气体探测器；GDS应</w:t>
            </w:r>
            <w:r>
              <w:rPr>
                <w:rFonts w:hint="eastAsia" w:ascii="仿宋_GB2312" w:cs="宋体" w:hAnsiTheme="minorEastAsia"/>
                <w:kern w:val="0"/>
                <w:sz w:val="20"/>
                <w:szCs w:val="20"/>
                <w:lang w:val="en-US" w:eastAsia="zh-CN" w:bidi="ar"/>
              </w:rPr>
              <w:t>正常</w:t>
            </w:r>
            <w:r>
              <w:rPr>
                <w:rFonts w:hint="eastAsia" w:ascii="仿宋_GB2312" w:cs="宋体" w:hAnsiTheme="minorEastAsia"/>
                <w:kern w:val="0"/>
                <w:sz w:val="20"/>
                <w:szCs w:val="20"/>
                <w:lang w:bidi="ar"/>
              </w:rPr>
              <w:t>投入使用。</w:t>
            </w:r>
          </w:p>
        </w:tc>
        <w:tc>
          <w:tcPr>
            <w:tcW w:w="1290" w:type="pct"/>
            <w:shd w:val="clear" w:color="auto" w:fill="FFFFFF"/>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《中华人民共和国安全生产法》第三十六条；</w:t>
            </w:r>
          </w:p>
          <w:p>
            <w:pPr>
              <w:widowControl/>
              <w:adjustRightInd w:val="0"/>
              <w:snapToGrid w:val="0"/>
              <w:spacing w:after="0" w:line="240" w:lineRule="auto"/>
              <w:ind w:left="0" w:hanging="200" w:hangingChars="100"/>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《建筑设计防火规范（2018年版）》（GB 50016-2014）第8.4.3条；</w:t>
            </w:r>
          </w:p>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eastAsia="zh-CN" w:bidi="ar"/>
              </w:rPr>
              <w:t>《化工和危险化学品生产经营企业重大生产安全事故隐患判定准则》（AQ 3067-2026）</w:t>
            </w:r>
            <w:r>
              <w:rPr>
                <w:rFonts w:hint="eastAsia" w:ascii="仿宋_GB2312" w:cs="宋体" w:hAnsiTheme="minorEastAsia"/>
                <w:kern w:val="0"/>
                <w:sz w:val="20"/>
                <w:szCs w:val="20"/>
                <w:lang w:bidi="ar"/>
              </w:rPr>
              <w:t>第5.4.2条</w:t>
            </w:r>
          </w:p>
        </w:tc>
        <w:tc>
          <w:tcPr>
            <w:tcW w:w="182" w:type="pct"/>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Theme="minorEastAsia"/>
                <w:sz w:val="20"/>
                <w:szCs w:val="20"/>
              </w:rPr>
              <w:t>12.2.10.050</w:t>
            </w:r>
          </w:p>
        </w:tc>
        <w:tc>
          <w:tcPr>
            <w:tcW w:w="383" w:type="pct"/>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cs="仿宋_GB2312"/>
                <w:sz w:val="20"/>
                <w:szCs w:val="20"/>
                <w:lang w:eastAsia="zh-TW" w:bidi="ar"/>
              </w:rPr>
            </w:pPr>
            <w:r>
              <w:rPr>
                <w:rFonts w:hint="eastAsia" w:ascii="仿宋_GB2312" w:eastAsia="仿宋_GB2312" w:cs="仿宋_GB2312"/>
                <w:sz w:val="20"/>
                <w:szCs w:val="20"/>
                <w:lang w:bidi="ar"/>
              </w:rPr>
              <w:t>设备设施及物料类</w:t>
            </w:r>
          </w:p>
        </w:tc>
        <w:tc>
          <w:tcPr>
            <w:tcW w:w="371" w:type="pct"/>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cs="仿宋_GB2312"/>
                <w:sz w:val="20"/>
                <w:szCs w:val="20"/>
                <w:lang w:eastAsia="zh-TW" w:bidi="ar"/>
              </w:rPr>
            </w:pPr>
            <w:r>
              <w:rPr>
                <w:rFonts w:hint="eastAsia" w:ascii="仿宋_GB2312" w:eastAsia="仿宋_GB2312" w:cs="仿宋_GB2312"/>
                <w:sz w:val="20"/>
                <w:szCs w:val="20"/>
                <w:lang w:bidi="ar"/>
              </w:rPr>
              <w:t>其他设备设施类</w:t>
            </w:r>
          </w:p>
        </w:tc>
        <w:tc>
          <w:tcPr>
            <w:tcW w:w="1038" w:type="pct"/>
            <w:shd w:val="clear" w:color="auto" w:fill="FFFFFF"/>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吸附单元缺少温度指示、超温声光报警装置及应急处理系统。吸附单元缺少压力指示和泄压装置。治理系统缺少事故自动报警装置。治理系统与主体生产装置之间的管道系统缺少阻火器(防火阀)。</w:t>
            </w:r>
          </w:p>
        </w:tc>
        <w:tc>
          <w:tcPr>
            <w:tcW w:w="1397" w:type="pct"/>
            <w:shd w:val="clear" w:color="auto" w:fill="FFFFFF"/>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吸附单元应设置温度指示、超温声光报警装置及应急处理系统。吸附单元应设置压力指示和泄压装置。治理系统应有事故自动报警装置。治理系统与主体生产装置之间的管道系统应安装阻火器(防火阀)。</w:t>
            </w:r>
          </w:p>
        </w:tc>
        <w:tc>
          <w:tcPr>
            <w:tcW w:w="1290" w:type="pct"/>
            <w:shd w:val="clear" w:color="auto" w:fill="FFFFFF"/>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《环境保护产品技术要求工业废气吸附净化装置》（HJ/T386-2007）第4.3.3条、第4.3.4条；《吸附法工业有机废气治理工程技术规范》（HJ2026-2013）第6.5.1条、第6.5.2条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Theme="minorEastAsia"/>
                <w:sz w:val="20"/>
                <w:szCs w:val="20"/>
              </w:rPr>
              <w:t>12.2.10.051</w:t>
            </w:r>
          </w:p>
        </w:tc>
        <w:tc>
          <w:tcPr>
            <w:tcW w:w="383" w:type="pct"/>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cs="仿宋_GB2312"/>
                <w:sz w:val="20"/>
                <w:szCs w:val="20"/>
                <w:lang w:eastAsia="zh-TW" w:bidi="ar"/>
              </w:rPr>
            </w:pPr>
            <w:r>
              <w:rPr>
                <w:rFonts w:hint="eastAsia" w:ascii="仿宋_GB2312" w:eastAsia="仿宋_GB2312" w:cs="仿宋_GB2312"/>
                <w:sz w:val="20"/>
                <w:szCs w:val="20"/>
                <w:lang w:bidi="ar"/>
              </w:rPr>
              <w:t>设备设施及物料类</w:t>
            </w:r>
          </w:p>
        </w:tc>
        <w:tc>
          <w:tcPr>
            <w:tcW w:w="371" w:type="pct"/>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cs="仿宋_GB2312"/>
                <w:sz w:val="20"/>
                <w:szCs w:val="20"/>
                <w:lang w:eastAsia="zh-TW" w:bidi="ar"/>
              </w:rPr>
            </w:pPr>
            <w:r>
              <w:rPr>
                <w:rFonts w:hint="eastAsia" w:ascii="仿宋_GB2312" w:eastAsia="仿宋_GB2312" w:cs="仿宋_GB2312"/>
                <w:sz w:val="20"/>
                <w:szCs w:val="20"/>
                <w:lang w:bidi="ar"/>
              </w:rPr>
              <w:t>其他设备设施类</w:t>
            </w:r>
          </w:p>
        </w:tc>
        <w:tc>
          <w:tcPr>
            <w:tcW w:w="1038" w:type="pct"/>
            <w:shd w:val="clear" w:color="auto" w:fill="FFFFFF"/>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污水处理加药间缺少通风设施，未根据制备、储存、使用药剂的种类和性质，采取相应的防毒、防爆、防火措施。</w:t>
            </w:r>
          </w:p>
        </w:tc>
        <w:tc>
          <w:tcPr>
            <w:tcW w:w="1397" w:type="pct"/>
            <w:shd w:val="clear" w:color="auto" w:fill="FFFFFF"/>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加药间应设通风设施，并应根据制备、储存、使用药剂的种类和性质，采取相应的防毒、防爆、防火措施。</w:t>
            </w:r>
          </w:p>
        </w:tc>
        <w:tc>
          <w:tcPr>
            <w:tcW w:w="1290" w:type="pct"/>
            <w:shd w:val="clear" w:color="auto" w:fill="FFFFFF"/>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《化学工业污水处理与回用设计规范》（GB50684-2011）第12.3.6条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Theme="minorEastAsia"/>
                <w:sz w:val="20"/>
                <w:szCs w:val="20"/>
              </w:rPr>
              <w:t>12.2.10.052</w:t>
            </w:r>
          </w:p>
        </w:tc>
        <w:tc>
          <w:tcPr>
            <w:tcW w:w="383" w:type="pct"/>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cs="仿宋_GB2312"/>
                <w:sz w:val="20"/>
                <w:szCs w:val="20"/>
                <w:lang w:bidi="ar"/>
              </w:rPr>
              <w:t>设备设施及物料类</w:t>
            </w:r>
          </w:p>
        </w:tc>
        <w:tc>
          <w:tcPr>
            <w:tcW w:w="371" w:type="pct"/>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cs="仿宋_GB2312"/>
                <w:sz w:val="20"/>
                <w:szCs w:val="20"/>
                <w:lang w:bidi="ar"/>
              </w:rPr>
              <w:t>其他设备设施类</w:t>
            </w:r>
          </w:p>
        </w:tc>
        <w:tc>
          <w:tcPr>
            <w:tcW w:w="1038" w:type="pct"/>
            <w:shd w:val="clear" w:color="auto" w:fill="FFFFFF"/>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贮存易燃易爆危险废物场所未设置气体报警、火灾报警装置和导出静电的接地装置。</w:t>
            </w:r>
          </w:p>
        </w:tc>
        <w:tc>
          <w:tcPr>
            <w:tcW w:w="1397" w:type="pct"/>
            <w:shd w:val="clear" w:color="auto" w:fill="FFFFFF"/>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贮存易燃易爆危险废物应配置有机气体报警、火灾报警装置和导出静电的接地装置。</w:t>
            </w:r>
          </w:p>
        </w:tc>
        <w:tc>
          <w:tcPr>
            <w:tcW w:w="1290" w:type="pct"/>
            <w:shd w:val="clear" w:color="auto" w:fill="FFFFFF"/>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《危险废物收集 贮存 运输技术规范》（HJ 2025-2012）第6.5条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Theme="minorEastAsia"/>
                <w:sz w:val="20"/>
                <w:szCs w:val="20"/>
              </w:rPr>
              <w:t>12.2.10.053</w:t>
            </w:r>
          </w:p>
        </w:tc>
        <w:tc>
          <w:tcPr>
            <w:tcW w:w="383" w:type="pct"/>
            <w:vAlign w:val="center"/>
          </w:tcPr>
          <w:p>
            <w:pPr>
              <w:pStyle w:val="10"/>
              <w:widowControl w:val="0"/>
              <w:adjustRightInd w:val="0"/>
              <w:snapToGrid w:val="0"/>
              <w:spacing w:before="0" w:beforeAutospacing="0" w:after="0" w:afterAutospacing="0"/>
              <w:jc w:val="center"/>
              <w:rPr>
                <w:rFonts w:hint="eastAsia" w:ascii="仿宋_GB2312" w:hAnsi="仿宋_GB2312" w:eastAsia="仿宋_GB2312" w:cs="仿宋_GB2312"/>
                <w:color w:val="000000" w:themeColor="text1"/>
                <w:sz w:val="20"/>
                <w:szCs w:val="20"/>
                <w:lang w:eastAsia="zh-TW" w:bidi="ar"/>
                <w14:textFill>
                  <w14:solidFill>
                    <w14:schemeClr w14:val="tx1"/>
                  </w14:solidFill>
                </w14:textFill>
              </w:rPr>
            </w:pPr>
            <w:r>
              <w:rPr>
                <w:rFonts w:hint="eastAsia" w:ascii="仿宋_GB2312" w:eastAsia="仿宋_GB2312" w:cs="仿宋_GB2312"/>
                <w:sz w:val="20"/>
                <w:szCs w:val="20"/>
                <w:lang w:bidi="ar"/>
              </w:rPr>
              <w:t>设备设施及物料类</w:t>
            </w:r>
          </w:p>
        </w:tc>
        <w:tc>
          <w:tcPr>
            <w:tcW w:w="371" w:type="pct"/>
            <w:vAlign w:val="center"/>
          </w:tcPr>
          <w:p>
            <w:pPr>
              <w:pStyle w:val="10"/>
              <w:widowControl w:val="0"/>
              <w:adjustRightInd w:val="0"/>
              <w:snapToGrid w:val="0"/>
              <w:spacing w:before="0" w:beforeAutospacing="0" w:after="0" w:afterAutospacing="0"/>
              <w:jc w:val="center"/>
              <w:rPr>
                <w:rFonts w:hint="eastAsia" w:ascii="仿宋_GB2312" w:hAnsi="仿宋_GB2312" w:eastAsia="仿宋_GB2312" w:cs="仿宋_GB2312"/>
                <w:color w:val="000000" w:themeColor="text1"/>
                <w:sz w:val="20"/>
                <w:szCs w:val="20"/>
                <w:lang w:eastAsia="zh-TW" w:bidi="ar"/>
                <w14:textFill>
                  <w14:solidFill>
                    <w14:schemeClr w14:val="tx1"/>
                  </w14:solidFill>
                </w14:textFill>
              </w:rPr>
            </w:pPr>
            <w:r>
              <w:rPr>
                <w:rFonts w:hint="eastAsia" w:ascii="仿宋_GB2312" w:eastAsia="仿宋_GB2312" w:cs="仿宋_GB2312"/>
                <w:sz w:val="20"/>
                <w:szCs w:val="20"/>
                <w:lang w:bidi="ar"/>
              </w:rPr>
              <w:t>其他设备设施类</w:t>
            </w:r>
          </w:p>
        </w:tc>
        <w:tc>
          <w:tcPr>
            <w:tcW w:w="1038" w:type="pct"/>
            <w:shd w:val="clear" w:color="auto" w:fill="FFFFFF"/>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冷库绝热材料燃烧性能不足。</w:t>
            </w:r>
          </w:p>
        </w:tc>
        <w:tc>
          <w:tcPr>
            <w:tcW w:w="1397" w:type="pct"/>
            <w:shd w:val="clear" w:color="auto" w:fill="FFFFFF"/>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冷库、低温环境生产场所采用泡沫塑料作内绝热层时，绝热层的燃烧性能不应低于B1级，且绝热层的表面应采用不燃材料做防护层。</w:t>
            </w:r>
          </w:p>
        </w:tc>
        <w:tc>
          <w:tcPr>
            <w:tcW w:w="1290" w:type="pct"/>
            <w:shd w:val="clear" w:color="auto" w:fill="FFFFFF"/>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《建筑设计防火规范（2018年版）》（GB</w:t>
            </w:r>
            <w:r>
              <w:rPr>
                <w:rFonts w:hint="eastAsia" w:ascii="仿宋_GB2312" w:cs="宋体" w:hAnsiTheme="minorEastAsia"/>
                <w:kern w:val="0"/>
                <w:sz w:val="20"/>
                <w:szCs w:val="20"/>
                <w:lang w:val="en-US" w:eastAsia="zh-CN" w:bidi="ar"/>
              </w:rPr>
              <w:t xml:space="preserve"> </w:t>
            </w:r>
            <w:r>
              <w:rPr>
                <w:rFonts w:hint="eastAsia" w:ascii="仿宋_GB2312" w:cs="宋体" w:hAnsiTheme="minorEastAsia"/>
                <w:kern w:val="0"/>
                <w:sz w:val="20"/>
                <w:szCs w:val="20"/>
                <w:lang w:bidi="ar"/>
              </w:rPr>
              <w:t>50016-2014）第6.2.8条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Theme="minorEastAsia"/>
                <w:sz w:val="20"/>
                <w:szCs w:val="20"/>
              </w:rPr>
              <w:t>12.2.10.054</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设备设施及物料类</w:t>
            </w:r>
          </w:p>
        </w:tc>
        <w:tc>
          <w:tcPr>
            <w:tcW w:w="371"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其他设备设施类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涉及</w:t>
            </w:r>
            <w:r>
              <w:rPr>
                <w:rFonts w:hint="eastAsia" w:ascii="仿宋_GB2312" w:hAnsi="宋体" w:cs="宋体"/>
                <w:kern w:val="0"/>
                <w:sz w:val="20"/>
                <w:szCs w:val="20"/>
                <w:lang w:val="en-US" w:eastAsia="zh-CN"/>
              </w:rPr>
              <w:t>甲类</w:t>
            </w:r>
            <w:r>
              <w:rPr>
                <w:rFonts w:hint="eastAsia" w:ascii="仿宋_GB2312" w:hAnsi="宋体" w:cs="宋体"/>
                <w:kern w:val="0"/>
                <w:sz w:val="20"/>
                <w:szCs w:val="20"/>
              </w:rPr>
              <w:t>、剧毒物料的压力管道、管道元件（弯头、法兰、变径等）采用打“卡具”等临时堵漏措施继续运行。</w:t>
            </w:r>
          </w:p>
        </w:tc>
        <w:tc>
          <w:tcPr>
            <w:tcW w:w="1397"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涉及</w:t>
            </w:r>
            <w:r>
              <w:rPr>
                <w:rFonts w:hint="eastAsia" w:ascii="仿宋_GB2312" w:hAnsi="宋体" w:cs="宋体"/>
                <w:kern w:val="0"/>
                <w:sz w:val="20"/>
                <w:szCs w:val="20"/>
                <w:lang w:val="en-US" w:eastAsia="zh-CN"/>
              </w:rPr>
              <w:t>甲类</w:t>
            </w:r>
            <w:r>
              <w:rPr>
                <w:rFonts w:hint="eastAsia" w:ascii="仿宋_GB2312" w:hAnsi="宋体" w:cs="宋体"/>
                <w:kern w:val="0"/>
                <w:sz w:val="20"/>
                <w:szCs w:val="20"/>
              </w:rPr>
              <w:t>、剧毒物料的压力管道、管道元件（弯头、法兰、变径等）不得采用打“卡具”等临时堵漏措施继续运行。</w:t>
            </w:r>
          </w:p>
        </w:tc>
        <w:tc>
          <w:tcPr>
            <w:tcW w:w="1290"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lang w:eastAsia="zh-CN"/>
              </w:rPr>
              <w:t>《化工和危险化学品生产经营企业重大生产安全事故隐患判定准则》（AQ 3067-2026）</w:t>
            </w:r>
            <w:r>
              <w:rPr>
                <w:rFonts w:hint="eastAsia" w:ascii="仿宋_GB2312" w:hAnsi="宋体" w:cs="宋体"/>
                <w:kern w:val="0"/>
                <w:sz w:val="20"/>
                <w:szCs w:val="20"/>
              </w:rPr>
              <w:t>第5.5.10条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仿宋"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Theme="minorEastAsia"/>
                <w:sz w:val="20"/>
                <w:szCs w:val="20"/>
              </w:rPr>
              <w:t>12.2.10.055</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设备设施及物料类</w:t>
            </w:r>
          </w:p>
        </w:tc>
        <w:tc>
          <w:tcPr>
            <w:tcW w:w="371"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其他设备设施类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可燃液体常压储罐未按</w:t>
            </w:r>
            <w:r>
              <w:rPr>
                <w:rFonts w:hint="eastAsia" w:ascii="仿宋_GB2312" w:hAnsi="宋体" w:cs="宋体"/>
                <w:kern w:val="0"/>
                <w:sz w:val="20"/>
                <w:szCs w:val="20"/>
                <w:lang w:val="en-US" w:eastAsia="zh-CN"/>
              </w:rPr>
              <w:t>照AQ 3063的</w:t>
            </w:r>
            <w:r>
              <w:rPr>
                <w:rFonts w:hint="eastAsia" w:ascii="仿宋_GB2312" w:hAnsi="宋体" w:cs="宋体"/>
                <w:kern w:val="0"/>
                <w:sz w:val="20"/>
                <w:szCs w:val="20"/>
              </w:rPr>
              <w:t>要求</w:t>
            </w:r>
            <w:r>
              <w:rPr>
                <w:rFonts w:hint="eastAsia" w:ascii="仿宋_GB2312" w:hAnsi="宋体" w:cs="宋体"/>
                <w:kern w:val="0"/>
                <w:sz w:val="20"/>
                <w:szCs w:val="20"/>
                <w:lang w:eastAsia="zh-CN"/>
              </w:rPr>
              <w:t>，</w:t>
            </w:r>
            <w:r>
              <w:rPr>
                <w:rFonts w:hint="eastAsia" w:ascii="仿宋_GB2312" w:hAnsi="宋体" w:cs="宋体"/>
                <w:kern w:val="0"/>
                <w:sz w:val="20"/>
                <w:szCs w:val="20"/>
              </w:rPr>
              <w:t>设置氮气密封保护系统或未定期检测气相空间可燃气体浓度。</w:t>
            </w:r>
          </w:p>
        </w:tc>
        <w:tc>
          <w:tcPr>
            <w:tcW w:w="1397"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可燃液体常压储罐应</w:t>
            </w:r>
            <w:r>
              <w:rPr>
                <w:rFonts w:hint="eastAsia" w:ascii="仿宋_GB2312" w:hAnsi="宋体" w:cs="宋体"/>
                <w:kern w:val="0"/>
                <w:sz w:val="20"/>
                <w:szCs w:val="20"/>
                <w:lang w:eastAsia="zh-CN"/>
              </w:rPr>
              <w:t>按</w:t>
            </w:r>
            <w:r>
              <w:rPr>
                <w:rFonts w:hint="eastAsia" w:ascii="仿宋_GB2312" w:hAnsi="宋体" w:cs="宋体"/>
                <w:kern w:val="0"/>
                <w:sz w:val="20"/>
                <w:szCs w:val="20"/>
              </w:rPr>
              <w:t>照AQ</w:t>
            </w:r>
            <w:r>
              <w:rPr>
                <w:rFonts w:hint="eastAsia" w:ascii="仿宋_GB2312" w:hAnsi="宋体" w:cs="宋体"/>
                <w:kern w:val="0"/>
                <w:sz w:val="20"/>
                <w:szCs w:val="20"/>
                <w:lang w:val="en-US" w:eastAsia="zh-CN"/>
              </w:rPr>
              <w:t xml:space="preserve"> </w:t>
            </w:r>
            <w:r>
              <w:rPr>
                <w:rFonts w:hint="eastAsia" w:ascii="仿宋_GB2312" w:hAnsi="宋体" w:cs="宋体"/>
                <w:kern w:val="0"/>
                <w:sz w:val="20"/>
                <w:szCs w:val="20"/>
              </w:rPr>
              <w:t>3063的</w:t>
            </w:r>
            <w:r>
              <w:rPr>
                <w:rFonts w:hint="eastAsia" w:ascii="仿宋_GB2312" w:hAnsi="宋体" w:cs="宋体"/>
                <w:kern w:val="0"/>
                <w:sz w:val="20"/>
                <w:szCs w:val="20"/>
                <w:lang w:eastAsia="zh-CN"/>
              </w:rPr>
              <w:t>要求，</w:t>
            </w:r>
            <w:r>
              <w:rPr>
                <w:rFonts w:hint="eastAsia" w:ascii="仿宋_GB2312" w:hAnsi="宋体" w:cs="宋体"/>
                <w:kern w:val="0"/>
                <w:sz w:val="20"/>
                <w:szCs w:val="20"/>
              </w:rPr>
              <w:t>设置氮气密封保护系统或定期检测气相空间可燃气体浓度。</w:t>
            </w:r>
          </w:p>
        </w:tc>
        <w:tc>
          <w:tcPr>
            <w:tcW w:w="1290"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lang w:eastAsia="zh-CN"/>
              </w:rPr>
              <w:t>《化工和危险化学品生产经营企业重大生产安全事故隐患判定准则》（AQ 3067-2026）</w:t>
            </w:r>
            <w:r>
              <w:rPr>
                <w:rFonts w:hint="eastAsia" w:ascii="仿宋_GB2312" w:hAnsi="宋体" w:cs="宋体"/>
                <w:kern w:val="0"/>
                <w:sz w:val="20"/>
                <w:szCs w:val="20"/>
              </w:rPr>
              <w:t>第5.5.11条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仿宋"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12.2.12.056</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设备设施及物料类</w:t>
            </w:r>
          </w:p>
        </w:tc>
        <w:tc>
          <w:tcPr>
            <w:tcW w:w="371"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危险化学品类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危险化学品未储存在专用仓库、专用场地、专用储存室、储存专柜等专门的储存场所内，或未由专人负责管理。</w:t>
            </w:r>
          </w:p>
        </w:tc>
        <w:tc>
          <w:tcPr>
            <w:tcW w:w="1397" w:type="pct"/>
            <w:vAlign w:val="center"/>
          </w:tcPr>
          <w:p>
            <w:pPr>
              <w:widowControl/>
              <w:adjustRightInd w:val="0"/>
              <w:snapToGrid w:val="0"/>
              <w:spacing w:after="0" w:line="240" w:lineRule="auto"/>
              <w:jc w:val="left"/>
              <w:rPr>
                <w:rFonts w:hint="eastAsia" w:ascii="仿宋_GB2312" w:hAnsi="宋体" w:eastAsia="仿宋_GB2312" w:cs="宋体"/>
                <w:kern w:val="0"/>
                <w:sz w:val="20"/>
                <w:szCs w:val="20"/>
                <w:lang w:eastAsia="zh-CN"/>
              </w:rPr>
            </w:pPr>
            <w:r>
              <w:rPr>
                <w:rFonts w:hint="eastAsia" w:ascii="仿宋_GB2312" w:hAnsi="宋体" w:cs="宋体"/>
                <w:kern w:val="0"/>
                <w:sz w:val="20"/>
                <w:szCs w:val="20"/>
              </w:rPr>
              <w:t>危险化学品应当储存在专用仓库、专用场地或者专用储存室、储存专柜内，并由专人负责管理</w:t>
            </w:r>
            <w:r>
              <w:rPr>
                <w:rFonts w:hint="eastAsia" w:ascii="仿宋_GB2312" w:hAnsi="宋体" w:cs="宋体"/>
                <w:kern w:val="0"/>
                <w:sz w:val="20"/>
                <w:szCs w:val="20"/>
                <w:lang w:eastAsia="zh-CN"/>
              </w:rPr>
              <w:t>。</w:t>
            </w:r>
          </w:p>
        </w:tc>
        <w:tc>
          <w:tcPr>
            <w:tcW w:w="1290"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《中华人民共和国危险化学品安全法》第四十一条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12.2.12.057</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设备设施及物料类</w:t>
            </w:r>
          </w:p>
        </w:tc>
        <w:tc>
          <w:tcPr>
            <w:tcW w:w="371"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危险化学品类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危险化学品储存场所未设置明显的标志，未在危险化学品作业场所和安全设施、设备上设置明显的安全警示标志。未对其敷设的危险化学品管道设置明显标志，未对危险化学品管道定期检查、检测、巡护。</w:t>
            </w:r>
          </w:p>
        </w:tc>
        <w:tc>
          <w:tcPr>
            <w:tcW w:w="1397"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生产、储存危险化学品的单位，应当对其敷设的危险化学品管道设置明显标志，并对危险化学品管道定期检查、检测、巡护。</w:t>
            </w:r>
          </w:p>
        </w:tc>
        <w:tc>
          <w:tcPr>
            <w:tcW w:w="1290"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《中华人民共和国危险化学品安全法》第二十八条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12.2.12.058</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设备设施及物料类</w:t>
            </w:r>
          </w:p>
        </w:tc>
        <w:tc>
          <w:tcPr>
            <w:tcW w:w="371"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危险化学品类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危险化学品进口企业未提供与其进口的危险化学品相符的中文化学品安全技术说明书，未在危险化学品包装上粘贴、印刷或者拴挂与包装内危险化学品相符的中文化学品安全标签。未对其进口的危险化学品办理登记。</w:t>
            </w:r>
          </w:p>
        </w:tc>
        <w:tc>
          <w:tcPr>
            <w:tcW w:w="1397"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危险化学品生产企业、进口企业应当提供与其生产、进口的危险化学品相符的中文化学品安全技上粘贴、印刷或者拴挂与包装内危险化学品相符的中文化学品安全标签。化学品安全技术说明书和化学品安全标签应当符合国家标准的要求。危险化学品生产企业、进口企业应当向国务院应急管理部门负责危险化学品登记的机构办理危险化学品登记。</w:t>
            </w:r>
          </w:p>
        </w:tc>
        <w:tc>
          <w:tcPr>
            <w:tcW w:w="1290"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《中华人民共和国危险化学品安全法》第三十一条、第八十六条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12.2.12.059</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设备设施及物料类</w:t>
            </w:r>
          </w:p>
        </w:tc>
        <w:tc>
          <w:tcPr>
            <w:tcW w:w="371"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危险化学品类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生产、储存危险化学品的企业未按照国家标准或者行业标准装备自动控制系统和安全仪表系统，未建立安全风险监测预警系统，未与政府有关部门实现互联互通。</w:t>
            </w:r>
          </w:p>
        </w:tc>
        <w:tc>
          <w:tcPr>
            <w:tcW w:w="1397"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生产、储存危险化学品的企业应当按照国家标准或者行业标准装备自动控制系统和安全仪表系统，建立安全风险监测预警系统，并与政府有关部门实现互联互通。</w:t>
            </w:r>
          </w:p>
        </w:tc>
        <w:tc>
          <w:tcPr>
            <w:tcW w:w="1290"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《中华人民共和国危险化学品安全法》第三十六条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12.2.12.060</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设备设施及物料类</w:t>
            </w:r>
          </w:p>
        </w:tc>
        <w:tc>
          <w:tcPr>
            <w:tcW w:w="371"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危险化学品类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未按</w:t>
            </w:r>
            <w:r>
              <w:rPr>
                <w:rFonts w:hint="eastAsia" w:ascii="仿宋_GB2312" w:hAnsi="宋体" w:cs="宋体"/>
                <w:kern w:val="0"/>
                <w:sz w:val="20"/>
                <w:szCs w:val="20"/>
                <w:lang w:val="en-US" w:eastAsia="zh-CN"/>
              </w:rPr>
              <w:t>照GB 15603等</w:t>
            </w:r>
            <w:r>
              <w:rPr>
                <w:rFonts w:hint="eastAsia" w:ascii="仿宋_GB2312" w:hAnsi="宋体" w:cs="宋体"/>
                <w:kern w:val="0"/>
                <w:sz w:val="20"/>
                <w:szCs w:val="20"/>
              </w:rPr>
              <w:t>标准规范要求分区分类储存危险化学品；超量、超品种储存危险化学品；相互禁配物质混放混存。生产现场违规存放爆炸危险性化学品。</w:t>
            </w:r>
          </w:p>
        </w:tc>
        <w:tc>
          <w:tcPr>
            <w:tcW w:w="1397"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应按照GB</w:t>
            </w:r>
            <w:r>
              <w:rPr>
                <w:rFonts w:hint="eastAsia" w:ascii="仿宋_GB2312" w:hAnsi="宋体" w:cs="宋体"/>
                <w:kern w:val="0"/>
                <w:sz w:val="20"/>
                <w:szCs w:val="20"/>
                <w:lang w:val="en-US" w:eastAsia="zh-CN"/>
              </w:rPr>
              <w:t xml:space="preserve"> </w:t>
            </w:r>
            <w:r>
              <w:rPr>
                <w:rFonts w:hint="eastAsia" w:ascii="仿宋_GB2312" w:hAnsi="宋体" w:cs="宋体"/>
                <w:kern w:val="0"/>
                <w:sz w:val="20"/>
                <w:szCs w:val="20"/>
              </w:rPr>
              <w:t>15603等标准规范要求分区分类储存危险化学品；不得超量、超品种储存危险化学品；相互禁配物质不得混放混存。爆炸危险性化学品存放</w:t>
            </w:r>
            <w:r>
              <w:rPr>
                <w:rFonts w:hint="eastAsia" w:ascii="仿宋_GB2312" w:hAnsi="宋体" w:cs="宋体"/>
                <w:kern w:val="0"/>
                <w:sz w:val="20"/>
                <w:szCs w:val="20"/>
                <w:lang w:val="en-US" w:eastAsia="zh-CN"/>
              </w:rPr>
              <w:t>应符合标准规范要求</w:t>
            </w:r>
            <w:r>
              <w:rPr>
                <w:rFonts w:hint="eastAsia" w:ascii="仿宋_GB2312" w:hAnsi="宋体" w:cs="宋体"/>
                <w:kern w:val="0"/>
                <w:sz w:val="20"/>
                <w:szCs w:val="20"/>
              </w:rPr>
              <w:t>。</w:t>
            </w:r>
          </w:p>
        </w:tc>
        <w:tc>
          <w:tcPr>
            <w:tcW w:w="1290" w:type="pct"/>
            <w:vAlign w:val="center"/>
          </w:tcPr>
          <w:p>
            <w:pPr>
              <w:widowControl/>
              <w:adjustRightInd w:val="0"/>
              <w:snapToGrid w:val="0"/>
              <w:spacing w:after="0" w:line="240" w:lineRule="auto"/>
              <w:jc w:val="left"/>
              <w:rPr>
                <w:rFonts w:hint="eastAsia" w:ascii="仿宋_GB2312" w:hAnsi="宋体" w:eastAsia="仿宋_GB2312" w:cs="宋体"/>
                <w:kern w:val="0"/>
                <w:sz w:val="20"/>
                <w:szCs w:val="20"/>
                <w:lang w:eastAsia="zh-CN"/>
              </w:rPr>
            </w:pPr>
            <w:r>
              <w:rPr>
                <w:rFonts w:hint="eastAsia" w:ascii="仿宋_GB2312" w:hAnsi="宋体" w:cs="宋体"/>
                <w:kern w:val="0"/>
                <w:sz w:val="20"/>
                <w:szCs w:val="20"/>
                <w:lang w:eastAsia="zh-CN"/>
              </w:rPr>
              <w:t>《化工和危险化学品生产经营企业重大生产安全事故隐患判定准则》（AQ 3067-2026）</w:t>
            </w:r>
            <w:r>
              <w:rPr>
                <w:rFonts w:hint="eastAsia" w:ascii="仿宋_GB2312" w:hAnsi="宋体" w:cs="宋体"/>
                <w:kern w:val="0"/>
                <w:sz w:val="20"/>
                <w:szCs w:val="20"/>
              </w:rPr>
              <w:t>第5.5.8条</w:t>
            </w:r>
            <w:r>
              <w:rPr>
                <w:rFonts w:hint="eastAsia" w:ascii="仿宋_GB2312" w:hAnsi="宋体" w:cs="宋体"/>
                <w:kern w:val="0"/>
                <w:sz w:val="20"/>
                <w:szCs w:val="20"/>
                <w:lang w:eastAsia="zh-CN"/>
              </w:rPr>
              <w:t>、</w:t>
            </w:r>
            <w:r>
              <w:rPr>
                <w:rFonts w:hint="eastAsia" w:ascii="仿宋_GB2312" w:hAnsi="宋体" w:cs="宋体"/>
                <w:kern w:val="0"/>
                <w:sz w:val="20"/>
                <w:szCs w:val="20"/>
              </w:rPr>
              <w:t>第5.5.</w:t>
            </w:r>
            <w:r>
              <w:rPr>
                <w:rFonts w:hint="eastAsia" w:ascii="仿宋_GB2312" w:hAnsi="宋体" w:cs="宋体"/>
                <w:kern w:val="0"/>
                <w:sz w:val="20"/>
                <w:szCs w:val="20"/>
                <w:lang w:val="en-US" w:eastAsia="zh-CN"/>
              </w:rPr>
              <w:t>9</w:t>
            </w:r>
            <w:r>
              <w:rPr>
                <w:rFonts w:hint="eastAsia" w:ascii="仿宋_GB2312" w:hAnsi="宋体" w:cs="宋体"/>
                <w:kern w:val="0"/>
                <w:sz w:val="20"/>
                <w:szCs w:val="20"/>
              </w:rPr>
              <w:t>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12.2.12.061</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设备设施及物料类</w:t>
            </w:r>
          </w:p>
        </w:tc>
        <w:tc>
          <w:tcPr>
            <w:tcW w:w="371"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危险化学品类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未对物理危险性不明的化学品进行物理危险性鉴定与分类。</w:t>
            </w:r>
          </w:p>
        </w:tc>
        <w:tc>
          <w:tcPr>
            <w:tcW w:w="1397" w:type="pct"/>
            <w:vAlign w:val="center"/>
          </w:tcPr>
          <w:p>
            <w:pPr>
              <w:widowControl/>
              <w:adjustRightInd w:val="0"/>
              <w:snapToGrid w:val="0"/>
              <w:spacing w:after="0" w:line="240" w:lineRule="auto"/>
              <w:jc w:val="left"/>
              <w:rPr>
                <w:rFonts w:hint="eastAsia" w:ascii="仿宋_GB2312" w:hAnsi="宋体" w:cs="宋体"/>
                <w:b/>
                <w:bCs/>
                <w:kern w:val="0"/>
                <w:sz w:val="20"/>
                <w:szCs w:val="20"/>
              </w:rPr>
            </w:pPr>
            <w:r>
              <w:rPr>
                <w:rFonts w:hint="eastAsia" w:ascii="仿宋_GB2312" w:hAnsi="宋体" w:cs="宋体"/>
                <w:kern w:val="0"/>
                <w:sz w:val="20"/>
                <w:szCs w:val="20"/>
              </w:rPr>
              <w:t>应对物理危险性不明的化学品进行物理危险性鉴定与分类。</w:t>
            </w:r>
          </w:p>
        </w:tc>
        <w:tc>
          <w:tcPr>
            <w:tcW w:w="1290"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lang w:eastAsia="zh-CN"/>
              </w:rPr>
              <w:t>《化工和危险化学品生产经营企业重大生产安全事故隐患判定准则》（AQ 3067-2026）</w:t>
            </w:r>
            <w:r>
              <w:rPr>
                <w:rFonts w:hint="eastAsia" w:ascii="仿宋_GB2312" w:hAnsi="宋体" w:cs="宋体"/>
                <w:kern w:val="0"/>
                <w:sz w:val="20"/>
                <w:szCs w:val="20"/>
              </w:rPr>
              <w:t>第5.7.2条</w:t>
            </w:r>
          </w:p>
        </w:tc>
        <w:tc>
          <w:tcPr>
            <w:tcW w:w="182" w:type="pct"/>
            <w:vAlign w:val="center"/>
          </w:tcPr>
          <w:p>
            <w:pPr>
              <w:widowControl/>
              <w:adjustRightInd w:val="0"/>
              <w:snapToGrid w:val="0"/>
              <w:spacing w:after="0" w:line="240" w:lineRule="auto"/>
              <w:jc w:val="center"/>
              <w:rPr>
                <w:rFonts w:hint="eastAsia" w:ascii="仿宋_GB2312" w:hAnsi="仿宋" w:cs="宋体"/>
                <w:kern w:val="0"/>
                <w:sz w:val="20"/>
                <w:szCs w:val="20"/>
              </w:rPr>
            </w:pPr>
            <w:r>
              <w:rPr>
                <w:rFonts w:hint="eastAsia" w:ascii="仿宋_GB2312"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12.2.12.062</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设备设施及物料类</w:t>
            </w:r>
          </w:p>
        </w:tc>
        <w:tc>
          <w:tcPr>
            <w:tcW w:w="371"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危险化学品类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涉及重大危险源、高危工艺的企业未投用具有人员聚集报警功能的人员定位系统，进入生产区的人员未携带定位终端。</w:t>
            </w:r>
          </w:p>
        </w:tc>
        <w:tc>
          <w:tcPr>
            <w:tcW w:w="1397"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涉及重大危险源、高危工艺的企业应投用具有人员聚集报警功能的人员定位系统，进入生产区的人员应携带定位终端。</w:t>
            </w:r>
          </w:p>
        </w:tc>
        <w:tc>
          <w:tcPr>
            <w:tcW w:w="1290"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lang w:eastAsia="zh-CN"/>
              </w:rPr>
              <w:t>《化工和危险化学品生产经营企业重大生产安全事故隐患判定准则》（AQ 3067-2026）</w:t>
            </w:r>
            <w:r>
              <w:rPr>
                <w:rFonts w:hint="eastAsia" w:ascii="仿宋_GB2312" w:hAnsi="宋体" w:cs="宋体"/>
                <w:kern w:val="0"/>
                <w:sz w:val="20"/>
                <w:szCs w:val="20"/>
              </w:rPr>
              <w:t>第5.7.3条</w:t>
            </w:r>
          </w:p>
        </w:tc>
        <w:tc>
          <w:tcPr>
            <w:tcW w:w="182" w:type="pct"/>
            <w:vAlign w:val="center"/>
          </w:tcPr>
          <w:p>
            <w:pPr>
              <w:widowControl/>
              <w:adjustRightInd w:val="0"/>
              <w:snapToGrid w:val="0"/>
              <w:spacing w:after="0" w:line="240" w:lineRule="auto"/>
              <w:jc w:val="center"/>
              <w:rPr>
                <w:rFonts w:hint="eastAsia" w:ascii="仿宋_GB2312" w:hAnsi="仿宋" w:cs="宋体"/>
                <w:kern w:val="0"/>
                <w:sz w:val="20"/>
                <w:szCs w:val="20"/>
              </w:rPr>
            </w:pPr>
            <w:r>
              <w:rPr>
                <w:rFonts w:hint="eastAsia" w:ascii="仿宋_GB2312"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12.2.12.063</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设备设施及物料类</w:t>
            </w:r>
          </w:p>
        </w:tc>
        <w:tc>
          <w:tcPr>
            <w:tcW w:w="371"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危险化学品类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生产、储存危险化学品的单位，未根据其生产、储存的危险化学品的种类和危险特性，在作业场所设置相应的监测、监控、通风、防晒、调温、防火、灭火、防爆、泄压、防毒、中和、防潮、防雷、防静电、防腐、防泄漏以及防护围堤或者隔离操作等安全设施、设备，未按照国家标准、行业标准或者国家有关规定对安全设施、设备进行经常性维护、保养，保证安全设施、设备的正常使用。</w:t>
            </w:r>
          </w:p>
        </w:tc>
        <w:tc>
          <w:tcPr>
            <w:tcW w:w="1397"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生产、储存危险化学品的单位，应当根据其生产、储存的危险化学品的种类和危险特性，在作业场所设置相应的监测、监控、通风、防晒、调温、防火、灭火、防爆、泄压、防毒、中和、防潮、防雷、防静电、防腐、防泄漏以及防护围堤或者隔离操作等安全设施、设备，并按照国家标准、行业标准或者国家有关规定对安全设施、设备进行经常性维护、保养，保证安全设施、设备的正常使用。</w:t>
            </w:r>
          </w:p>
        </w:tc>
        <w:tc>
          <w:tcPr>
            <w:tcW w:w="1290"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《中华人民共和国危险化学品安全法》第三十七条</w:t>
            </w:r>
          </w:p>
        </w:tc>
        <w:tc>
          <w:tcPr>
            <w:tcW w:w="182" w:type="pct"/>
            <w:vAlign w:val="center"/>
          </w:tcPr>
          <w:p>
            <w:pPr>
              <w:widowControl/>
              <w:adjustRightInd w:val="0"/>
              <w:snapToGrid w:val="0"/>
              <w:spacing w:after="0" w:line="240" w:lineRule="auto"/>
              <w:jc w:val="center"/>
              <w:rPr>
                <w:rFonts w:hint="eastAsia" w:ascii="仿宋_GB2312" w:hAnsi="仿宋"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12.2.12.064</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设备设施及物料类</w:t>
            </w:r>
          </w:p>
        </w:tc>
        <w:tc>
          <w:tcPr>
            <w:tcW w:w="371"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危险化学品类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生产、储存危险化学品的单位，关闭、破坏直接关系生产安全的监控、报警、防护、救生设施、设备，或者以其他任何方式影响其正常使用，篡改、隐瞒、销毁其相关数据、信息。</w:t>
            </w:r>
          </w:p>
        </w:tc>
        <w:tc>
          <w:tcPr>
            <w:tcW w:w="1397"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生产、储存危险化学品的单位，不得关闭、破坏直接关系生产安全的监控、报警、防护、救生设施、设备，或者以其他任何方式影响其正常使用，不得篡改、隐瞒、销毁其相关数据、信息。</w:t>
            </w:r>
          </w:p>
        </w:tc>
        <w:tc>
          <w:tcPr>
            <w:tcW w:w="1290"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《中华人民共和国危险化学品安全法》第三十八条</w:t>
            </w:r>
          </w:p>
        </w:tc>
        <w:tc>
          <w:tcPr>
            <w:tcW w:w="182" w:type="pct"/>
            <w:vAlign w:val="center"/>
          </w:tcPr>
          <w:p>
            <w:pPr>
              <w:widowControl/>
              <w:adjustRightInd w:val="0"/>
              <w:snapToGrid w:val="0"/>
              <w:spacing w:after="0" w:line="240" w:lineRule="auto"/>
              <w:jc w:val="center"/>
              <w:rPr>
                <w:rFonts w:hint="eastAsia" w:ascii="仿宋_GB2312" w:hAnsi="仿宋"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12.2.12.065</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设备设施及物料类</w:t>
            </w:r>
          </w:p>
        </w:tc>
        <w:tc>
          <w:tcPr>
            <w:tcW w:w="371"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危险化学品类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生产、储存危险化学品的企业，未委托具备国家规定的资质条件的机构，对本企业的安全生产条件每三年进行一次安全评价。</w:t>
            </w:r>
            <w:r>
              <w:rPr>
                <w:rFonts w:hint="eastAsia" w:ascii="仿宋_GB2312" w:hAnsiTheme="minorEastAsia"/>
                <w:sz w:val="20"/>
                <w:szCs w:val="20"/>
                <w:lang w:bidi="ar"/>
              </w:rPr>
              <w:t>危险化学品使用单位未委托安全评价机构，对储存场所每三年开展一次安全现状评价。</w:t>
            </w:r>
          </w:p>
        </w:tc>
        <w:tc>
          <w:tcPr>
            <w:tcW w:w="1397"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生产、储存危险化学品的企业，应当委托具备国家规定的资质条件的机构，对本企业的安全生产条件每三年进行一次安全评价，提出安全评价报告。</w:t>
            </w:r>
          </w:p>
        </w:tc>
        <w:tc>
          <w:tcPr>
            <w:tcW w:w="1290"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《中华人民共和国危险化学品安全法》第三十九条；</w:t>
            </w:r>
          </w:p>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Theme="minorEastAsia"/>
                <w:sz w:val="20"/>
                <w:szCs w:val="20"/>
                <w:lang w:bidi="ar"/>
              </w:rPr>
              <w:t>《危险化学品储存场所建设及储存安全要求》（DB11/T 755）第5.1.2.18条</w:t>
            </w:r>
          </w:p>
        </w:tc>
        <w:tc>
          <w:tcPr>
            <w:tcW w:w="182" w:type="pct"/>
            <w:vAlign w:val="center"/>
          </w:tcPr>
          <w:p>
            <w:pPr>
              <w:widowControl/>
              <w:adjustRightInd w:val="0"/>
              <w:snapToGrid w:val="0"/>
              <w:spacing w:after="0" w:line="240" w:lineRule="auto"/>
              <w:jc w:val="center"/>
              <w:rPr>
                <w:rFonts w:hint="eastAsia" w:ascii="仿宋_GB2312" w:hAnsi="仿宋"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12.2.12.066</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设备设施及物料类</w:t>
            </w:r>
          </w:p>
        </w:tc>
        <w:tc>
          <w:tcPr>
            <w:tcW w:w="371"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危险化学品类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使用危险化学品的单位未将其作业场所使用的化学品安全技术说明书和化学品安全标签提供给从业人员。</w:t>
            </w:r>
          </w:p>
        </w:tc>
        <w:tc>
          <w:tcPr>
            <w:tcW w:w="1397"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使用危险化学品的单位应当将其作业场所使用的化学品安全技术说明书和化学品安全标签提供给从业人员，并加强培训教育，告知从业人员正确使用的方法和在紧急情况下应当采取的措施。</w:t>
            </w:r>
          </w:p>
        </w:tc>
        <w:tc>
          <w:tcPr>
            <w:tcW w:w="1290"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《中华人民共和国危险化学品安全法》第五十一条</w:t>
            </w:r>
          </w:p>
        </w:tc>
        <w:tc>
          <w:tcPr>
            <w:tcW w:w="182" w:type="pct"/>
            <w:vAlign w:val="center"/>
          </w:tcPr>
          <w:p>
            <w:pPr>
              <w:widowControl/>
              <w:adjustRightInd w:val="0"/>
              <w:snapToGrid w:val="0"/>
              <w:spacing w:after="0" w:line="240" w:lineRule="auto"/>
              <w:jc w:val="center"/>
              <w:rPr>
                <w:rFonts w:hint="eastAsia" w:ascii="仿宋_GB2312" w:hAnsi="仿宋"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12.2.12.067</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设备设施及物料类</w:t>
            </w:r>
          </w:p>
        </w:tc>
        <w:tc>
          <w:tcPr>
            <w:tcW w:w="371"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危险化学品类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化工生产装置或储存设施未经正规设计且未按要求开展安全设计诊断；建设项目周边条件、主要技术、工艺路线、产品方案或者装置规模发生重大变化未重新进行安全设施设计；设计单位资质不满足相关规定要求。</w:t>
            </w:r>
          </w:p>
        </w:tc>
        <w:tc>
          <w:tcPr>
            <w:tcW w:w="1397"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化工生产装置或储存设施应经正规设计或按要求开展安全设计诊断；建设项目周边条件、主要技术、工艺路线、产品方案或者装置规模发生重大变化应重新进行安全设施设计；设计单位资质应满足相关规定要求。</w:t>
            </w:r>
          </w:p>
        </w:tc>
        <w:tc>
          <w:tcPr>
            <w:tcW w:w="1290"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lang w:eastAsia="zh-CN"/>
              </w:rPr>
              <w:t>《化工和危险化学品生产经营企业重大生产安全事故隐患判定准则》（AQ 3067-2026）</w:t>
            </w:r>
            <w:r>
              <w:rPr>
                <w:rFonts w:hint="eastAsia" w:ascii="仿宋_GB2312" w:hAnsi="宋体" w:cs="宋体"/>
                <w:kern w:val="0"/>
                <w:sz w:val="20"/>
                <w:szCs w:val="20"/>
              </w:rPr>
              <w:t>第5.2.1条</w:t>
            </w:r>
          </w:p>
        </w:tc>
        <w:tc>
          <w:tcPr>
            <w:tcW w:w="182" w:type="pct"/>
            <w:vAlign w:val="center"/>
          </w:tcPr>
          <w:p>
            <w:pPr>
              <w:widowControl/>
              <w:adjustRightInd w:val="0"/>
              <w:snapToGrid w:val="0"/>
              <w:spacing w:after="0" w:line="240" w:lineRule="auto"/>
              <w:jc w:val="center"/>
              <w:rPr>
                <w:rFonts w:hint="eastAsia" w:ascii="仿宋_GB2312" w:hAnsi="仿宋" w:cs="宋体"/>
                <w:kern w:val="0"/>
                <w:sz w:val="20"/>
                <w:szCs w:val="20"/>
              </w:rPr>
            </w:pPr>
            <w:r>
              <w:rPr>
                <w:rFonts w:hint="eastAsia" w:ascii="仿宋_GB2312"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12.2.12.068</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设备设施及物料类</w:t>
            </w:r>
          </w:p>
        </w:tc>
        <w:tc>
          <w:tcPr>
            <w:tcW w:w="371"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危险化学品类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color w:val="auto"/>
                <w:kern w:val="0"/>
                <w:sz w:val="20"/>
                <w:szCs w:val="20"/>
              </w:rPr>
              <w:t>极度危害和高度危害液体管道的低点放净</w:t>
            </w:r>
            <w:r>
              <w:rPr>
                <w:rFonts w:hint="eastAsia" w:ascii="仿宋_GB2312" w:hAnsi="宋体" w:cs="宋体"/>
                <w:color w:val="0000FF"/>
                <w:kern w:val="0"/>
                <w:sz w:val="20"/>
                <w:szCs w:val="20"/>
                <w:lang w:val="en-US" w:eastAsia="zh-CN"/>
              </w:rPr>
              <w:t>未</w:t>
            </w:r>
            <w:r>
              <w:rPr>
                <w:rFonts w:hint="eastAsia" w:ascii="仿宋_GB2312" w:hAnsi="宋体" w:cs="宋体"/>
                <w:color w:val="auto"/>
                <w:kern w:val="0"/>
                <w:sz w:val="20"/>
                <w:szCs w:val="20"/>
              </w:rPr>
              <w:t>设置单阀加盲板等封堵或设置双阀。</w:t>
            </w:r>
          </w:p>
        </w:tc>
        <w:tc>
          <w:tcPr>
            <w:tcW w:w="1397"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极度危害和高度危害液体管道的低点放净应设置单阀加盲板等封堵或设置双阀。</w:t>
            </w:r>
          </w:p>
        </w:tc>
        <w:tc>
          <w:tcPr>
            <w:tcW w:w="1290"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lang w:eastAsia="zh-CN"/>
              </w:rPr>
              <w:t>《</w:t>
            </w:r>
            <w:r>
              <w:rPr>
                <w:rFonts w:hint="eastAsia" w:ascii="仿宋_GB2312" w:hAnsi="宋体" w:cs="宋体"/>
                <w:kern w:val="0"/>
                <w:sz w:val="20"/>
                <w:szCs w:val="20"/>
              </w:rPr>
              <w:t>化工企业可燃液体常压储罐区安全管理规范</w:t>
            </w:r>
            <w:r>
              <w:rPr>
                <w:rFonts w:hint="eastAsia" w:ascii="仿宋_GB2312" w:hAnsi="宋体" w:cs="宋体"/>
                <w:kern w:val="0"/>
                <w:sz w:val="20"/>
                <w:szCs w:val="20"/>
                <w:lang w:eastAsia="zh-CN"/>
              </w:rPr>
              <w:t>》（</w:t>
            </w:r>
            <w:r>
              <w:rPr>
                <w:rFonts w:hint="eastAsia" w:ascii="仿宋_GB2312" w:hAnsi="宋体" w:cs="宋体"/>
                <w:kern w:val="0"/>
                <w:sz w:val="20"/>
                <w:szCs w:val="20"/>
              </w:rPr>
              <w:t>AQ</w:t>
            </w:r>
            <w:r>
              <w:rPr>
                <w:rFonts w:hint="eastAsia" w:ascii="仿宋_GB2312" w:hAnsi="宋体" w:cs="宋体"/>
                <w:kern w:val="0"/>
                <w:sz w:val="20"/>
                <w:szCs w:val="20"/>
                <w:lang w:val="en-US" w:eastAsia="zh-CN"/>
              </w:rPr>
              <w:t xml:space="preserve"> </w:t>
            </w:r>
            <w:r>
              <w:rPr>
                <w:rFonts w:hint="eastAsia" w:ascii="仿宋_GB2312" w:hAnsi="宋体" w:cs="宋体"/>
                <w:kern w:val="0"/>
                <w:sz w:val="20"/>
                <w:szCs w:val="20"/>
              </w:rPr>
              <w:t>3063-2025</w:t>
            </w:r>
            <w:r>
              <w:rPr>
                <w:rFonts w:hint="eastAsia" w:ascii="仿宋_GB2312" w:hAnsi="宋体" w:cs="宋体"/>
                <w:kern w:val="0"/>
                <w:sz w:val="20"/>
                <w:szCs w:val="20"/>
                <w:lang w:eastAsia="zh-CN"/>
              </w:rPr>
              <w:t>）</w:t>
            </w:r>
            <w:r>
              <w:rPr>
                <w:rFonts w:hint="eastAsia" w:ascii="仿宋_GB2312" w:hAnsi="宋体" w:cs="宋体"/>
                <w:kern w:val="0"/>
                <w:sz w:val="20"/>
                <w:szCs w:val="20"/>
              </w:rPr>
              <w:t>第6.1.16条</w:t>
            </w:r>
          </w:p>
        </w:tc>
        <w:tc>
          <w:tcPr>
            <w:tcW w:w="182" w:type="pct"/>
            <w:vAlign w:val="center"/>
          </w:tcPr>
          <w:p>
            <w:pPr>
              <w:widowControl/>
              <w:adjustRightInd w:val="0"/>
              <w:snapToGrid w:val="0"/>
              <w:spacing w:after="0" w:line="240" w:lineRule="auto"/>
              <w:jc w:val="center"/>
              <w:rPr>
                <w:rFonts w:hint="eastAsia" w:ascii="仿宋_GB2312" w:hAnsi="仿宋"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12.2.12.069</w:t>
            </w:r>
          </w:p>
        </w:tc>
        <w:tc>
          <w:tcPr>
            <w:tcW w:w="383" w:type="pct"/>
            <w:shd w:val="clear" w:color="auto" w:fill="FFFFFF"/>
            <w:vAlign w:val="center"/>
          </w:tcPr>
          <w:p>
            <w:pPr>
              <w:widowControl/>
              <w:adjustRightInd w:val="0"/>
              <w:snapToGrid w:val="0"/>
              <w:spacing w:after="0" w:line="240" w:lineRule="auto"/>
              <w:jc w:val="center"/>
              <w:rPr>
                <w:rFonts w:hint="eastAsia" w:ascii="仿宋_GB2312" w:hAnsi="宋体" w:cs="宋体"/>
                <w:kern w:val="0"/>
                <w:sz w:val="20"/>
                <w:szCs w:val="20"/>
                <w:lang w:eastAsia="zh-TW"/>
              </w:rPr>
            </w:pPr>
            <w:r>
              <w:rPr>
                <w:rFonts w:hint="eastAsia" w:ascii="仿宋_GB2312" w:hAnsi="宋体" w:cs="宋体"/>
                <w:kern w:val="0"/>
                <w:sz w:val="20"/>
                <w:szCs w:val="20"/>
              </w:rPr>
              <w:t>设备设施及物料类</w:t>
            </w:r>
          </w:p>
        </w:tc>
        <w:tc>
          <w:tcPr>
            <w:tcW w:w="371" w:type="pct"/>
            <w:shd w:val="clear" w:color="auto" w:fill="FFFFFF"/>
            <w:vAlign w:val="center"/>
          </w:tcPr>
          <w:p>
            <w:pPr>
              <w:widowControl/>
              <w:adjustRightInd w:val="0"/>
              <w:snapToGrid w:val="0"/>
              <w:spacing w:after="0" w:line="240" w:lineRule="auto"/>
              <w:jc w:val="center"/>
              <w:rPr>
                <w:rFonts w:hint="eastAsia" w:ascii="仿宋_GB2312" w:hAnsi="宋体" w:cs="宋体"/>
                <w:kern w:val="0"/>
                <w:sz w:val="20"/>
                <w:szCs w:val="20"/>
                <w:lang w:eastAsia="zh-TW"/>
              </w:rPr>
            </w:pPr>
            <w:r>
              <w:rPr>
                <w:rFonts w:hint="eastAsia" w:ascii="仿宋_GB2312" w:hAnsi="宋体" w:cs="宋体"/>
                <w:kern w:val="0"/>
                <w:sz w:val="20"/>
                <w:szCs w:val="20"/>
              </w:rPr>
              <w:t>危险化学品类</w:t>
            </w:r>
          </w:p>
        </w:tc>
        <w:tc>
          <w:tcPr>
            <w:tcW w:w="1038" w:type="pct"/>
            <w:shd w:val="clear" w:color="auto" w:fill="FFFFFF"/>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液氧的贮存、汽化、充装、使用场所的周围20m内存在明火，缺少明显的禁火标志。未设围墙或栅栏。</w:t>
            </w:r>
          </w:p>
        </w:tc>
        <w:tc>
          <w:tcPr>
            <w:tcW w:w="1397" w:type="pct"/>
            <w:shd w:val="clear" w:color="auto" w:fill="FFFFFF"/>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液氧的贮存、汽化、充装、使用场所的周围20m内严禁明火，并应有明显的禁火标志。液氧的贮存、汽化、充装、使用场所宜设围墙或栅栏。</w:t>
            </w:r>
          </w:p>
        </w:tc>
        <w:tc>
          <w:tcPr>
            <w:tcW w:w="1290" w:type="pct"/>
            <w:shd w:val="clear" w:color="auto" w:fill="FFFFFF"/>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《低温液体贮运设备 使用安全规则》（JB6898-2015）第4.2.8条、第4.2.11条</w:t>
            </w:r>
          </w:p>
        </w:tc>
        <w:tc>
          <w:tcPr>
            <w:tcW w:w="182" w:type="pct"/>
            <w:vAlign w:val="center"/>
          </w:tcPr>
          <w:p>
            <w:pPr>
              <w:widowControl/>
              <w:adjustRightInd w:val="0"/>
              <w:snapToGrid w:val="0"/>
              <w:spacing w:after="0" w:line="240" w:lineRule="auto"/>
              <w:jc w:val="center"/>
              <w:rPr>
                <w:rFonts w:hint="eastAsia" w:ascii="仿宋_GB2312" w:hAnsi="仿宋"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12.2.12.070</w:t>
            </w:r>
          </w:p>
        </w:tc>
        <w:tc>
          <w:tcPr>
            <w:tcW w:w="383" w:type="pct"/>
            <w:shd w:val="clear" w:color="auto" w:fill="FFFFFF"/>
            <w:vAlign w:val="center"/>
          </w:tcPr>
          <w:p>
            <w:pPr>
              <w:widowControl/>
              <w:adjustRightInd w:val="0"/>
              <w:snapToGrid w:val="0"/>
              <w:spacing w:after="0" w:line="240" w:lineRule="auto"/>
              <w:jc w:val="center"/>
              <w:rPr>
                <w:rFonts w:hint="eastAsia" w:ascii="仿宋_GB2312" w:hAnsi="宋体" w:cs="宋体"/>
                <w:kern w:val="0"/>
                <w:sz w:val="20"/>
                <w:szCs w:val="20"/>
                <w:lang w:eastAsia="zh-TW"/>
              </w:rPr>
            </w:pPr>
            <w:r>
              <w:rPr>
                <w:rFonts w:hint="eastAsia" w:ascii="仿宋_GB2312" w:hAnsi="宋体" w:cs="宋体"/>
                <w:kern w:val="0"/>
                <w:sz w:val="20"/>
                <w:szCs w:val="20"/>
              </w:rPr>
              <w:t>设备设施及物料类</w:t>
            </w:r>
          </w:p>
        </w:tc>
        <w:tc>
          <w:tcPr>
            <w:tcW w:w="371" w:type="pct"/>
            <w:shd w:val="clear" w:color="auto" w:fill="FFFFFF"/>
            <w:vAlign w:val="center"/>
          </w:tcPr>
          <w:p>
            <w:pPr>
              <w:widowControl/>
              <w:adjustRightInd w:val="0"/>
              <w:snapToGrid w:val="0"/>
              <w:spacing w:after="0" w:line="240" w:lineRule="auto"/>
              <w:jc w:val="center"/>
              <w:rPr>
                <w:rFonts w:hint="eastAsia" w:ascii="仿宋_GB2312" w:hAnsi="宋体" w:cs="宋体"/>
                <w:kern w:val="0"/>
                <w:sz w:val="20"/>
                <w:szCs w:val="20"/>
                <w:lang w:eastAsia="zh-TW"/>
              </w:rPr>
            </w:pPr>
            <w:r>
              <w:rPr>
                <w:rFonts w:hint="eastAsia" w:ascii="仿宋_GB2312" w:hAnsi="宋体" w:cs="宋体"/>
                <w:kern w:val="0"/>
                <w:sz w:val="20"/>
                <w:szCs w:val="20"/>
              </w:rPr>
              <w:t>危险化学品类</w:t>
            </w:r>
          </w:p>
        </w:tc>
        <w:tc>
          <w:tcPr>
            <w:tcW w:w="1038" w:type="pct"/>
            <w:shd w:val="clear" w:color="auto" w:fill="FFFFFF"/>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液氧的贮存、汽化、充装、使用场所的周围5m内有通向低处场所（如地下室、坑穴、地井、沟渠）的开口；地沟入口处缺少挡液堰。</w:t>
            </w:r>
          </w:p>
        </w:tc>
        <w:tc>
          <w:tcPr>
            <w:tcW w:w="1397" w:type="pct"/>
            <w:shd w:val="clear" w:color="auto" w:fill="FFFFFF"/>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液氧的贮存、汽化、充装、使用场所的周围5m内不应有通向低处场所（如地下室、坑穴、地井、沟渠）的开口；地沟入口处必须有挡液堰。</w:t>
            </w:r>
          </w:p>
        </w:tc>
        <w:tc>
          <w:tcPr>
            <w:tcW w:w="1290" w:type="pct"/>
            <w:shd w:val="clear" w:color="auto" w:fill="FFFFFF"/>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《低温液体贮运设备 使用安全规则》（JB6898-2015）第4.2.12条</w:t>
            </w:r>
          </w:p>
        </w:tc>
        <w:tc>
          <w:tcPr>
            <w:tcW w:w="182" w:type="pct"/>
            <w:vAlign w:val="center"/>
          </w:tcPr>
          <w:p>
            <w:pPr>
              <w:widowControl/>
              <w:adjustRightInd w:val="0"/>
              <w:snapToGrid w:val="0"/>
              <w:spacing w:after="0" w:line="240" w:lineRule="auto"/>
              <w:jc w:val="center"/>
              <w:rPr>
                <w:rFonts w:hint="eastAsia" w:ascii="仿宋_GB2312" w:hAnsi="仿宋"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12.2.12.071</w:t>
            </w:r>
          </w:p>
        </w:tc>
        <w:tc>
          <w:tcPr>
            <w:tcW w:w="383" w:type="pct"/>
            <w:shd w:val="clear" w:color="auto" w:fill="FFFFFF"/>
            <w:vAlign w:val="center"/>
          </w:tcPr>
          <w:p>
            <w:pPr>
              <w:widowControl/>
              <w:adjustRightInd w:val="0"/>
              <w:snapToGrid w:val="0"/>
              <w:spacing w:after="0" w:line="240" w:lineRule="auto"/>
              <w:jc w:val="center"/>
              <w:rPr>
                <w:rFonts w:hint="eastAsia" w:ascii="仿宋_GB2312" w:hAnsi="宋体" w:cs="宋体"/>
                <w:kern w:val="0"/>
                <w:sz w:val="20"/>
                <w:szCs w:val="20"/>
                <w:lang w:eastAsia="zh-TW"/>
              </w:rPr>
            </w:pPr>
            <w:r>
              <w:rPr>
                <w:rFonts w:hint="eastAsia" w:ascii="仿宋_GB2312" w:hAnsi="宋体" w:cs="宋体"/>
                <w:kern w:val="0"/>
                <w:sz w:val="20"/>
                <w:szCs w:val="20"/>
              </w:rPr>
              <w:t>设备设施及物料类</w:t>
            </w:r>
          </w:p>
        </w:tc>
        <w:tc>
          <w:tcPr>
            <w:tcW w:w="371" w:type="pct"/>
            <w:shd w:val="clear" w:color="auto" w:fill="FFFFFF"/>
            <w:vAlign w:val="center"/>
          </w:tcPr>
          <w:p>
            <w:pPr>
              <w:widowControl/>
              <w:adjustRightInd w:val="0"/>
              <w:snapToGrid w:val="0"/>
              <w:spacing w:after="0" w:line="240" w:lineRule="auto"/>
              <w:jc w:val="center"/>
              <w:rPr>
                <w:rFonts w:hint="eastAsia" w:ascii="仿宋_GB2312" w:hAnsi="宋体" w:cs="宋体"/>
                <w:kern w:val="0"/>
                <w:sz w:val="20"/>
                <w:szCs w:val="20"/>
                <w:lang w:eastAsia="zh-TW"/>
              </w:rPr>
            </w:pPr>
            <w:r>
              <w:rPr>
                <w:rFonts w:hint="eastAsia" w:ascii="仿宋_GB2312" w:hAnsi="宋体" w:cs="宋体"/>
                <w:kern w:val="0"/>
                <w:sz w:val="20"/>
                <w:szCs w:val="20"/>
              </w:rPr>
              <w:t>危险化学品类</w:t>
            </w:r>
          </w:p>
        </w:tc>
        <w:tc>
          <w:tcPr>
            <w:tcW w:w="1038" w:type="pct"/>
            <w:shd w:val="clear" w:color="auto" w:fill="FFFFFF"/>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罐区作业场所未设置安全标志，未公示化学品危险性。未设置与罐内化学品相符的中文化学品安全标签和中文化学品安全技术说明书。</w:t>
            </w:r>
          </w:p>
        </w:tc>
        <w:tc>
          <w:tcPr>
            <w:tcW w:w="1397" w:type="pct"/>
            <w:shd w:val="clear" w:color="auto" w:fill="FFFFFF"/>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储存场所所在单位应分区分类储存危险化学品；不应超量、超品种储存危险化学品；相互禁配物质不应混放混存。</w:t>
            </w:r>
          </w:p>
        </w:tc>
        <w:tc>
          <w:tcPr>
            <w:tcW w:w="1290" w:type="pct"/>
            <w:shd w:val="clear" w:color="auto" w:fill="FFFFFF"/>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《危险化学品地上储罐区安全要求》（DB11/833-2019）第5.1.1.1条、第5.1.1.2条</w:t>
            </w:r>
          </w:p>
        </w:tc>
        <w:tc>
          <w:tcPr>
            <w:tcW w:w="182" w:type="pct"/>
            <w:vAlign w:val="center"/>
          </w:tcPr>
          <w:p>
            <w:pPr>
              <w:widowControl/>
              <w:adjustRightInd w:val="0"/>
              <w:snapToGrid w:val="0"/>
              <w:spacing w:after="0" w:line="240" w:lineRule="auto"/>
              <w:jc w:val="center"/>
              <w:rPr>
                <w:rFonts w:hint="eastAsia" w:ascii="仿宋_GB2312" w:hAnsi="仿宋"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12.2.12.072</w:t>
            </w:r>
          </w:p>
        </w:tc>
        <w:tc>
          <w:tcPr>
            <w:tcW w:w="383" w:type="pct"/>
            <w:shd w:val="clear" w:color="auto" w:fill="FFFFFF"/>
            <w:vAlign w:val="center"/>
          </w:tcPr>
          <w:p>
            <w:pPr>
              <w:widowControl/>
              <w:adjustRightInd w:val="0"/>
              <w:snapToGrid w:val="0"/>
              <w:spacing w:after="0" w:line="240" w:lineRule="auto"/>
              <w:jc w:val="center"/>
              <w:rPr>
                <w:rFonts w:hint="eastAsia" w:ascii="仿宋_GB2312" w:hAnsi="宋体" w:cs="宋体"/>
                <w:kern w:val="0"/>
                <w:sz w:val="20"/>
                <w:szCs w:val="20"/>
                <w:lang w:eastAsia="zh-TW"/>
              </w:rPr>
            </w:pPr>
            <w:r>
              <w:rPr>
                <w:rFonts w:hint="eastAsia" w:ascii="仿宋_GB2312" w:hAnsi="宋体" w:cs="宋体"/>
                <w:kern w:val="0"/>
                <w:sz w:val="20"/>
                <w:szCs w:val="20"/>
              </w:rPr>
              <w:t>设备设施及物料类</w:t>
            </w:r>
          </w:p>
        </w:tc>
        <w:tc>
          <w:tcPr>
            <w:tcW w:w="371" w:type="pct"/>
            <w:shd w:val="clear" w:color="auto" w:fill="FFFFFF"/>
            <w:vAlign w:val="center"/>
          </w:tcPr>
          <w:p>
            <w:pPr>
              <w:widowControl/>
              <w:adjustRightInd w:val="0"/>
              <w:snapToGrid w:val="0"/>
              <w:spacing w:after="0" w:line="240" w:lineRule="auto"/>
              <w:jc w:val="center"/>
              <w:rPr>
                <w:rFonts w:hint="eastAsia" w:ascii="仿宋_GB2312" w:hAnsi="宋体" w:cs="宋体"/>
                <w:kern w:val="0"/>
                <w:sz w:val="20"/>
                <w:szCs w:val="20"/>
                <w:lang w:eastAsia="zh-TW"/>
              </w:rPr>
            </w:pPr>
            <w:r>
              <w:rPr>
                <w:rFonts w:hint="eastAsia" w:ascii="仿宋_GB2312" w:hAnsi="宋体" w:cs="宋体"/>
                <w:kern w:val="0"/>
                <w:sz w:val="20"/>
                <w:szCs w:val="20"/>
              </w:rPr>
              <w:t>危险化学品类</w:t>
            </w:r>
          </w:p>
        </w:tc>
        <w:tc>
          <w:tcPr>
            <w:tcW w:w="1038" w:type="pct"/>
            <w:shd w:val="clear" w:color="auto" w:fill="FFFFFF"/>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气瓶缺少追溯标签。</w:t>
            </w:r>
          </w:p>
        </w:tc>
        <w:tc>
          <w:tcPr>
            <w:tcW w:w="1397" w:type="pct"/>
            <w:shd w:val="clear" w:color="auto" w:fill="FFFFFF"/>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气瓶追溯标识应清晰、完整，气瓶追溯标识编码应具有唯一性。</w:t>
            </w:r>
          </w:p>
        </w:tc>
        <w:tc>
          <w:tcPr>
            <w:tcW w:w="1290" w:type="pct"/>
            <w:shd w:val="clear" w:color="auto" w:fill="FFFFFF"/>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《危险化学品气瓶追溯技术规范》（DB11/T 1530-2018）第4.6条</w:t>
            </w:r>
          </w:p>
        </w:tc>
        <w:tc>
          <w:tcPr>
            <w:tcW w:w="182" w:type="pct"/>
            <w:vAlign w:val="center"/>
          </w:tcPr>
          <w:p>
            <w:pPr>
              <w:widowControl/>
              <w:adjustRightInd w:val="0"/>
              <w:snapToGrid w:val="0"/>
              <w:spacing w:after="0" w:line="240" w:lineRule="auto"/>
              <w:jc w:val="center"/>
              <w:rPr>
                <w:rFonts w:hint="eastAsia" w:ascii="仿宋_GB2312" w:hAnsi="仿宋"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12.2.12.073</w:t>
            </w:r>
          </w:p>
        </w:tc>
        <w:tc>
          <w:tcPr>
            <w:tcW w:w="383" w:type="pct"/>
            <w:shd w:val="clear" w:color="auto" w:fill="FFFFFF"/>
            <w:vAlign w:val="center"/>
          </w:tcPr>
          <w:p>
            <w:pPr>
              <w:widowControl/>
              <w:adjustRightInd w:val="0"/>
              <w:snapToGrid w:val="0"/>
              <w:spacing w:after="0" w:line="240" w:lineRule="auto"/>
              <w:jc w:val="center"/>
              <w:rPr>
                <w:rFonts w:hint="eastAsia" w:ascii="仿宋_GB2312" w:hAnsi="宋体" w:cs="宋体"/>
                <w:kern w:val="0"/>
                <w:sz w:val="20"/>
                <w:szCs w:val="20"/>
                <w:lang w:eastAsia="zh-TW"/>
              </w:rPr>
            </w:pPr>
            <w:r>
              <w:rPr>
                <w:rFonts w:hint="eastAsia" w:ascii="仿宋_GB2312" w:hAnsi="宋体" w:cs="宋体"/>
                <w:kern w:val="0"/>
                <w:sz w:val="20"/>
                <w:szCs w:val="20"/>
                <w:lang w:eastAsia="zh-TW"/>
              </w:rPr>
              <w:t>设备设施及物料类</w:t>
            </w:r>
          </w:p>
        </w:tc>
        <w:tc>
          <w:tcPr>
            <w:tcW w:w="371" w:type="pct"/>
            <w:shd w:val="clear" w:color="auto" w:fill="FFFFFF"/>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lang w:eastAsia="zh-TW"/>
              </w:rPr>
              <w:t>危险化学品类</w:t>
            </w:r>
          </w:p>
        </w:tc>
        <w:tc>
          <w:tcPr>
            <w:tcW w:w="1038" w:type="pct"/>
            <w:shd w:val="clear" w:color="auto" w:fill="FFFFFF"/>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危险化学品储存柜不具有强制通风和吸收净化功能，存放易燃易爆危险化学品的储存柜缺少导出静电的接地装置并接地措施。</w:t>
            </w:r>
          </w:p>
        </w:tc>
        <w:tc>
          <w:tcPr>
            <w:tcW w:w="1397" w:type="pct"/>
            <w:shd w:val="clear" w:color="auto" w:fill="FFFFFF"/>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危险化学品储存柜应具有强制通风和吸收净化功能，存放易燃易爆危险化学品的储存柜应有导出静电的接地装置并接地。</w:t>
            </w:r>
          </w:p>
        </w:tc>
        <w:tc>
          <w:tcPr>
            <w:tcW w:w="1290" w:type="pct"/>
            <w:shd w:val="clear" w:color="auto" w:fill="FFFFFF"/>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《危险化学品储存场所建设及储存安全要求》（DB11/T 755）第4.1.3.11条</w:t>
            </w:r>
          </w:p>
        </w:tc>
        <w:tc>
          <w:tcPr>
            <w:tcW w:w="182" w:type="pct"/>
            <w:vAlign w:val="center"/>
          </w:tcPr>
          <w:p>
            <w:pPr>
              <w:widowControl/>
              <w:adjustRightInd w:val="0"/>
              <w:snapToGrid w:val="0"/>
              <w:spacing w:after="0" w:line="240" w:lineRule="auto"/>
              <w:jc w:val="center"/>
              <w:rPr>
                <w:rFonts w:hint="eastAsia" w:ascii="仿宋_GB2312" w:hAnsi="仿宋"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12.2.12.074</w:t>
            </w:r>
          </w:p>
        </w:tc>
        <w:tc>
          <w:tcPr>
            <w:tcW w:w="383" w:type="pct"/>
            <w:shd w:val="clear" w:color="auto" w:fill="FFFFFF"/>
            <w:vAlign w:val="center"/>
          </w:tcPr>
          <w:p>
            <w:pPr>
              <w:widowControl/>
              <w:adjustRightInd w:val="0"/>
              <w:snapToGrid w:val="0"/>
              <w:spacing w:after="0" w:line="240" w:lineRule="auto"/>
              <w:jc w:val="center"/>
              <w:rPr>
                <w:rFonts w:hint="eastAsia" w:ascii="仿宋_GB2312" w:hAnsi="宋体" w:cs="宋体"/>
                <w:kern w:val="0"/>
                <w:sz w:val="20"/>
                <w:szCs w:val="20"/>
                <w:lang w:eastAsia="zh-TW"/>
              </w:rPr>
            </w:pPr>
            <w:r>
              <w:rPr>
                <w:rFonts w:hint="eastAsia" w:ascii="仿宋_GB2312" w:hAnsi="宋体" w:cs="宋体"/>
                <w:kern w:val="0"/>
                <w:sz w:val="20"/>
                <w:szCs w:val="20"/>
                <w:lang w:eastAsia="zh-TW"/>
              </w:rPr>
              <w:t>设备设施及物料类</w:t>
            </w:r>
          </w:p>
        </w:tc>
        <w:tc>
          <w:tcPr>
            <w:tcW w:w="371" w:type="pct"/>
            <w:shd w:val="clear" w:color="auto" w:fill="FFFFFF"/>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lang w:eastAsia="zh-TW"/>
              </w:rPr>
              <w:t>危险化学品类</w:t>
            </w:r>
          </w:p>
        </w:tc>
        <w:tc>
          <w:tcPr>
            <w:tcW w:w="1038" w:type="pct"/>
            <w:shd w:val="clear" w:color="auto" w:fill="FFFFFF"/>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危险化学品仓库的配电箱及照明、通风等电气设备的开关未设置在仓库外。</w:t>
            </w:r>
          </w:p>
        </w:tc>
        <w:tc>
          <w:tcPr>
            <w:tcW w:w="1397" w:type="pct"/>
            <w:shd w:val="clear" w:color="auto" w:fill="FFFFFF"/>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危险化学品仓库的配电箱及照明、通风等电气设备的开关应设置在仓库外。</w:t>
            </w:r>
          </w:p>
        </w:tc>
        <w:tc>
          <w:tcPr>
            <w:tcW w:w="1290" w:type="pct"/>
            <w:shd w:val="clear" w:color="auto" w:fill="FFFFFF"/>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《危险化学品储存场所建设及储存安全要求》（DB11/T 755）第4.2.10条</w:t>
            </w:r>
          </w:p>
        </w:tc>
        <w:tc>
          <w:tcPr>
            <w:tcW w:w="182" w:type="pct"/>
            <w:vAlign w:val="center"/>
          </w:tcPr>
          <w:p>
            <w:pPr>
              <w:widowControl/>
              <w:adjustRightInd w:val="0"/>
              <w:snapToGrid w:val="0"/>
              <w:spacing w:after="0" w:line="240" w:lineRule="auto"/>
              <w:jc w:val="center"/>
              <w:rPr>
                <w:rFonts w:hint="eastAsia" w:ascii="仿宋_GB2312" w:hAnsi="仿宋"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12.2.12.075</w:t>
            </w:r>
          </w:p>
        </w:tc>
        <w:tc>
          <w:tcPr>
            <w:tcW w:w="383" w:type="pct"/>
            <w:vAlign w:val="center"/>
          </w:tcPr>
          <w:p>
            <w:pPr>
              <w:widowControl/>
              <w:adjustRightInd w:val="0"/>
              <w:snapToGrid w:val="0"/>
              <w:spacing w:after="0" w:line="240" w:lineRule="auto"/>
              <w:jc w:val="center"/>
              <w:rPr>
                <w:rFonts w:hint="eastAsia" w:ascii="仿宋_GB2312" w:hAnsi="宋体" w:cs="仿宋_GB2312"/>
                <w:kern w:val="0"/>
                <w:sz w:val="20"/>
                <w:szCs w:val="20"/>
                <w:lang w:bidi="ar"/>
              </w:rPr>
            </w:pPr>
            <w:r>
              <w:rPr>
                <w:rFonts w:hint="eastAsia" w:ascii="仿宋_GB2312" w:hAnsi="宋体" w:cs="宋体"/>
                <w:kern w:val="0"/>
                <w:sz w:val="20"/>
                <w:szCs w:val="20"/>
                <w:lang w:eastAsia="zh-TW"/>
              </w:rPr>
              <w:t>设备设施及物料类</w:t>
            </w:r>
          </w:p>
        </w:tc>
        <w:tc>
          <w:tcPr>
            <w:tcW w:w="371" w:type="pct"/>
            <w:vAlign w:val="center"/>
          </w:tcPr>
          <w:p>
            <w:pPr>
              <w:widowControl/>
              <w:adjustRightInd w:val="0"/>
              <w:snapToGrid w:val="0"/>
              <w:spacing w:after="0" w:line="240" w:lineRule="auto"/>
              <w:jc w:val="center"/>
              <w:rPr>
                <w:rFonts w:hint="eastAsia" w:ascii="仿宋_GB2312" w:hAnsi="宋体" w:cs="仿宋_GB2312"/>
                <w:kern w:val="0"/>
                <w:sz w:val="20"/>
                <w:szCs w:val="20"/>
                <w:lang w:bidi="ar"/>
              </w:rPr>
            </w:pPr>
            <w:r>
              <w:rPr>
                <w:rFonts w:hint="eastAsia" w:ascii="仿宋_GB2312" w:hAnsi="宋体" w:cs="宋体"/>
                <w:kern w:val="0"/>
                <w:sz w:val="20"/>
                <w:szCs w:val="20"/>
                <w:lang w:eastAsia="zh-TW"/>
              </w:rPr>
              <w:t>危险化学品类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危险化学品储存场所未设置温、湿度检测仪。</w:t>
            </w:r>
          </w:p>
        </w:tc>
        <w:tc>
          <w:tcPr>
            <w:tcW w:w="1397"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储存场所应设置温、湿度检测仪。</w:t>
            </w:r>
          </w:p>
        </w:tc>
        <w:tc>
          <w:tcPr>
            <w:tcW w:w="1290"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《危险化学品储存场所建设及储存安全要求》（DB11/T 755）第4.1.3.5条</w:t>
            </w:r>
          </w:p>
        </w:tc>
        <w:tc>
          <w:tcPr>
            <w:tcW w:w="182" w:type="pct"/>
            <w:vAlign w:val="center"/>
          </w:tcPr>
          <w:p>
            <w:pPr>
              <w:widowControl/>
              <w:adjustRightInd w:val="0"/>
              <w:snapToGrid w:val="0"/>
              <w:spacing w:after="0" w:line="240" w:lineRule="auto"/>
              <w:jc w:val="center"/>
              <w:rPr>
                <w:rFonts w:hint="eastAsia" w:ascii="仿宋_GB2312" w:hAnsi="仿宋"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12.2.12.076</w:t>
            </w:r>
          </w:p>
        </w:tc>
        <w:tc>
          <w:tcPr>
            <w:tcW w:w="383" w:type="pct"/>
            <w:vAlign w:val="center"/>
          </w:tcPr>
          <w:p>
            <w:pPr>
              <w:widowControl/>
              <w:adjustRightInd w:val="0"/>
              <w:snapToGrid w:val="0"/>
              <w:spacing w:after="0" w:line="240" w:lineRule="auto"/>
              <w:jc w:val="center"/>
              <w:rPr>
                <w:rFonts w:hint="eastAsia" w:ascii="仿宋_GB2312" w:hAnsi="宋体" w:cs="仿宋_GB2312"/>
                <w:kern w:val="0"/>
                <w:sz w:val="20"/>
                <w:szCs w:val="20"/>
                <w:lang w:bidi="ar"/>
              </w:rPr>
            </w:pPr>
            <w:r>
              <w:rPr>
                <w:rFonts w:hint="eastAsia" w:ascii="仿宋_GB2312" w:hAnsi="宋体" w:cs="宋体"/>
                <w:kern w:val="0"/>
                <w:sz w:val="20"/>
                <w:szCs w:val="20"/>
                <w:lang w:eastAsia="zh-TW"/>
              </w:rPr>
              <w:t>设备设施及物料类</w:t>
            </w:r>
          </w:p>
        </w:tc>
        <w:tc>
          <w:tcPr>
            <w:tcW w:w="371" w:type="pct"/>
            <w:vAlign w:val="center"/>
          </w:tcPr>
          <w:p>
            <w:pPr>
              <w:widowControl/>
              <w:adjustRightInd w:val="0"/>
              <w:snapToGrid w:val="0"/>
              <w:spacing w:after="0" w:line="240" w:lineRule="auto"/>
              <w:jc w:val="center"/>
              <w:rPr>
                <w:rFonts w:hint="eastAsia" w:ascii="仿宋_GB2312" w:hAnsi="宋体" w:cs="仿宋_GB2312"/>
                <w:kern w:val="0"/>
                <w:sz w:val="20"/>
                <w:szCs w:val="20"/>
                <w:lang w:bidi="ar"/>
              </w:rPr>
            </w:pPr>
            <w:r>
              <w:rPr>
                <w:rFonts w:hint="eastAsia" w:ascii="仿宋_GB2312" w:hAnsi="宋体" w:cs="宋体"/>
                <w:kern w:val="0"/>
                <w:sz w:val="20"/>
                <w:szCs w:val="20"/>
                <w:lang w:eastAsia="zh-TW"/>
              </w:rPr>
              <w:t>危险化学品类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甲类、乙类、丙类液体的储存场所未设置防止液体流散的设施；遇湿会发生燃烧爆炸的物品储存场所未采取防止水浸渍的措施。</w:t>
            </w:r>
          </w:p>
        </w:tc>
        <w:tc>
          <w:tcPr>
            <w:tcW w:w="1397"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甲类、乙类、丙类液体的储存场所应设置防止液体流散的设施。遇湿会发生燃烧爆炸的物品储存场所应采取防止水浸渍的措施。</w:t>
            </w:r>
          </w:p>
        </w:tc>
        <w:tc>
          <w:tcPr>
            <w:tcW w:w="1290"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《危险化学品储存场所建设及储存安全要求》（DB11/T 755）第4.1.3.6条、第4.1.3.7条</w:t>
            </w:r>
          </w:p>
        </w:tc>
        <w:tc>
          <w:tcPr>
            <w:tcW w:w="182" w:type="pct"/>
            <w:vAlign w:val="center"/>
          </w:tcPr>
          <w:p>
            <w:pPr>
              <w:widowControl/>
              <w:adjustRightInd w:val="0"/>
              <w:snapToGrid w:val="0"/>
              <w:spacing w:after="0" w:line="240" w:lineRule="auto"/>
              <w:jc w:val="center"/>
              <w:rPr>
                <w:rFonts w:hint="eastAsia" w:ascii="仿宋_GB2312" w:hAnsi="仿宋"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12.2.12.077</w:t>
            </w:r>
          </w:p>
        </w:tc>
        <w:tc>
          <w:tcPr>
            <w:tcW w:w="383" w:type="pct"/>
            <w:vAlign w:val="center"/>
          </w:tcPr>
          <w:p>
            <w:pPr>
              <w:widowControl/>
              <w:adjustRightInd w:val="0"/>
              <w:snapToGrid w:val="0"/>
              <w:spacing w:after="0" w:line="240" w:lineRule="auto"/>
              <w:jc w:val="center"/>
              <w:rPr>
                <w:rFonts w:hint="eastAsia" w:ascii="仿宋_GB2312" w:hAnsi="宋体" w:cs="仿宋_GB2312"/>
                <w:kern w:val="0"/>
                <w:sz w:val="20"/>
                <w:szCs w:val="20"/>
                <w:lang w:bidi="ar"/>
              </w:rPr>
            </w:pPr>
            <w:r>
              <w:rPr>
                <w:rFonts w:hint="eastAsia" w:ascii="仿宋_GB2312" w:hAnsi="宋体" w:cs="宋体"/>
                <w:kern w:val="0"/>
                <w:sz w:val="20"/>
                <w:szCs w:val="20"/>
                <w:lang w:eastAsia="zh-TW"/>
              </w:rPr>
              <w:t>设备设施及物料类</w:t>
            </w:r>
          </w:p>
        </w:tc>
        <w:tc>
          <w:tcPr>
            <w:tcW w:w="371" w:type="pct"/>
            <w:vAlign w:val="center"/>
          </w:tcPr>
          <w:p>
            <w:pPr>
              <w:widowControl/>
              <w:adjustRightInd w:val="0"/>
              <w:snapToGrid w:val="0"/>
              <w:spacing w:after="0" w:line="240" w:lineRule="auto"/>
              <w:jc w:val="center"/>
              <w:rPr>
                <w:rFonts w:hint="eastAsia" w:ascii="仿宋_GB2312" w:hAnsi="宋体" w:cs="仿宋_GB2312"/>
                <w:kern w:val="0"/>
                <w:sz w:val="20"/>
                <w:szCs w:val="20"/>
                <w:lang w:bidi="ar"/>
              </w:rPr>
            </w:pPr>
            <w:r>
              <w:rPr>
                <w:rFonts w:hint="eastAsia" w:ascii="仿宋_GB2312" w:hAnsi="宋体" w:cs="宋体"/>
                <w:kern w:val="0"/>
                <w:sz w:val="20"/>
                <w:szCs w:val="20"/>
                <w:lang w:eastAsia="zh-TW"/>
              </w:rPr>
              <w:t>危险化学品类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存在毒性、腐蚀性、刺激性危害的储存场所未设置淋洗器、洗眼器等安全冲洗装置。</w:t>
            </w:r>
          </w:p>
        </w:tc>
        <w:tc>
          <w:tcPr>
            <w:tcW w:w="1397"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存在毒性、腐蚀性、刺激性危害的储存场所应设置淋洗器、洗眼器等安全冲洗装置，安全冲洗装置的服务半径不应大于15m，洗消水应有收集设施。</w:t>
            </w:r>
          </w:p>
        </w:tc>
        <w:tc>
          <w:tcPr>
            <w:tcW w:w="1290"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《危险化学品储存场所建设及储存安全要求》（DB11/T 755）第4.1.3.8条</w:t>
            </w:r>
          </w:p>
        </w:tc>
        <w:tc>
          <w:tcPr>
            <w:tcW w:w="182" w:type="pct"/>
            <w:vAlign w:val="center"/>
          </w:tcPr>
          <w:p>
            <w:pPr>
              <w:widowControl/>
              <w:adjustRightInd w:val="0"/>
              <w:snapToGrid w:val="0"/>
              <w:spacing w:after="0" w:line="240" w:lineRule="auto"/>
              <w:jc w:val="center"/>
              <w:rPr>
                <w:rFonts w:hint="eastAsia" w:ascii="仿宋_GB2312" w:hAnsi="仿宋"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12.2.12.078</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lang w:eastAsia="zh-TW"/>
              </w:rPr>
              <w:t>设备设施及物料类</w:t>
            </w:r>
          </w:p>
        </w:tc>
        <w:tc>
          <w:tcPr>
            <w:tcW w:w="371"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lang w:eastAsia="zh-TW"/>
              </w:rPr>
              <w:t>危险化学品类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厂房内甲、乙类中间仓库储量超过1昼夜的需要量。</w:t>
            </w:r>
          </w:p>
        </w:tc>
        <w:tc>
          <w:tcPr>
            <w:tcW w:w="1397"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厂房内甲、乙类中间仓库储量不应超过1昼夜的需要量。</w:t>
            </w:r>
          </w:p>
        </w:tc>
        <w:tc>
          <w:tcPr>
            <w:tcW w:w="1290"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《建筑设计防火规范（2018年版）》（GB 50016-2014）第3.3.6条</w:t>
            </w:r>
          </w:p>
        </w:tc>
        <w:tc>
          <w:tcPr>
            <w:tcW w:w="182" w:type="pct"/>
            <w:vAlign w:val="center"/>
          </w:tcPr>
          <w:p>
            <w:pPr>
              <w:widowControl/>
              <w:adjustRightInd w:val="0"/>
              <w:snapToGrid w:val="0"/>
              <w:spacing w:after="0" w:line="240" w:lineRule="auto"/>
              <w:jc w:val="center"/>
              <w:rPr>
                <w:rFonts w:hint="eastAsia" w:ascii="仿宋_GB2312" w:hAnsi="仿宋"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12.2.12.079</w:t>
            </w:r>
          </w:p>
        </w:tc>
        <w:tc>
          <w:tcPr>
            <w:tcW w:w="383" w:type="pct"/>
            <w:vAlign w:val="center"/>
          </w:tcPr>
          <w:p>
            <w:pPr>
              <w:widowControl/>
              <w:adjustRightInd w:val="0"/>
              <w:snapToGrid w:val="0"/>
              <w:spacing w:after="0" w:line="240" w:lineRule="auto"/>
              <w:jc w:val="center"/>
              <w:textAlignment w:val="center"/>
              <w:rPr>
                <w:rFonts w:hint="eastAsia" w:ascii="仿宋_GB2312" w:hAnsi="宋体" w:cs="宋体"/>
                <w:kern w:val="0"/>
                <w:sz w:val="20"/>
                <w:szCs w:val="20"/>
              </w:rPr>
            </w:pPr>
            <w:r>
              <w:rPr>
                <w:rFonts w:hint="eastAsia" w:ascii="仿宋_GB2312" w:hAnsi="仿宋_GB2312" w:cs="仿宋_GB2312"/>
                <w:color w:val="000000" w:themeColor="text1"/>
                <w:kern w:val="0"/>
                <w:sz w:val="20"/>
                <w:szCs w:val="20"/>
                <w:lang w:bidi="ar"/>
                <w14:textFill>
                  <w14:solidFill>
                    <w14:schemeClr w14:val="tx1"/>
                  </w14:solidFill>
                </w14:textFill>
              </w:rPr>
              <w:t>设备设施及物料类</w:t>
            </w:r>
          </w:p>
        </w:tc>
        <w:tc>
          <w:tcPr>
            <w:tcW w:w="371"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lang w:eastAsia="zh-TW"/>
              </w:rPr>
              <w:t>危险化学品类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储存易燃易爆危险化学品的储存场所的防静电措施不满足GB 12158的要求，入口外未设置人体静电释放装置。</w:t>
            </w:r>
          </w:p>
        </w:tc>
        <w:tc>
          <w:tcPr>
            <w:tcW w:w="1397"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储存易燃易爆危险化学品的储存场所的防静电措施应满足GB 12158的要求，入口外应设置人体静电释放装置。</w:t>
            </w:r>
          </w:p>
        </w:tc>
        <w:tc>
          <w:tcPr>
            <w:tcW w:w="1290" w:type="pct"/>
            <w:vAlign w:val="center"/>
          </w:tcPr>
          <w:p>
            <w:pPr>
              <w:pStyle w:val="10"/>
              <w:adjustRightInd w:val="0"/>
              <w:snapToGrid w:val="0"/>
              <w:spacing w:before="0" w:beforeAutospacing="0" w:after="0" w:afterAutospacing="0"/>
              <w:ind w:right="0" w:rightChars="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《危险化学品储存场所建设及储存安全要求》（DB11/T 755）第4.1.2.3条</w:t>
            </w:r>
          </w:p>
        </w:tc>
        <w:tc>
          <w:tcPr>
            <w:tcW w:w="182" w:type="pct"/>
            <w:vAlign w:val="center"/>
          </w:tcPr>
          <w:p>
            <w:pPr>
              <w:widowControl/>
              <w:adjustRightInd w:val="0"/>
              <w:snapToGrid w:val="0"/>
              <w:spacing w:after="0" w:line="240" w:lineRule="auto"/>
              <w:jc w:val="center"/>
              <w:rPr>
                <w:rFonts w:hint="eastAsia" w:ascii="仿宋_GB2312" w:hAnsi="仿宋"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12.2.13.080</w:t>
            </w:r>
          </w:p>
        </w:tc>
        <w:tc>
          <w:tcPr>
            <w:tcW w:w="383" w:type="pct"/>
            <w:vAlign w:val="center"/>
          </w:tcPr>
          <w:p>
            <w:pPr>
              <w:widowControl/>
              <w:adjustRightInd w:val="0"/>
              <w:snapToGrid w:val="0"/>
              <w:spacing w:after="0" w:line="240" w:lineRule="auto"/>
              <w:jc w:val="center"/>
              <w:textAlignment w:val="center"/>
              <w:rPr>
                <w:rFonts w:hint="eastAsia" w:ascii="仿宋_GB2312" w:hAnsi="宋体" w:cs="宋体"/>
                <w:kern w:val="0"/>
                <w:sz w:val="20"/>
                <w:szCs w:val="20"/>
              </w:rPr>
            </w:pPr>
            <w:r>
              <w:rPr>
                <w:rFonts w:hint="eastAsia" w:ascii="仿宋_GB2312" w:hAnsi="仿宋_GB2312" w:cs="仿宋_GB2312"/>
                <w:color w:val="000000" w:themeColor="text1"/>
                <w:kern w:val="0"/>
                <w:sz w:val="20"/>
                <w:szCs w:val="20"/>
                <w:lang w:bidi="ar"/>
                <w14:textFill>
                  <w14:solidFill>
                    <w14:schemeClr w14:val="tx1"/>
                  </w14:solidFill>
                </w14:textFill>
              </w:rPr>
              <w:t>设备设施及物料类</w:t>
            </w:r>
          </w:p>
        </w:tc>
        <w:tc>
          <w:tcPr>
            <w:tcW w:w="371" w:type="pct"/>
            <w:vAlign w:val="center"/>
          </w:tcPr>
          <w:p>
            <w:pPr>
              <w:widowControl/>
              <w:adjustRightInd w:val="0"/>
              <w:snapToGrid w:val="0"/>
              <w:spacing w:after="0" w:line="240" w:lineRule="auto"/>
              <w:jc w:val="center"/>
              <w:textAlignment w:val="center"/>
              <w:rPr>
                <w:rFonts w:hint="eastAsia" w:ascii="仿宋_GB2312" w:hAnsi="宋体" w:cs="宋体"/>
                <w:kern w:val="0"/>
                <w:sz w:val="20"/>
                <w:szCs w:val="20"/>
              </w:rPr>
            </w:pPr>
            <w:r>
              <w:rPr>
                <w:rFonts w:hint="eastAsia" w:ascii="仿宋_GB2312" w:hAnsi="仿宋_GB2312" w:cs="仿宋_GB2312"/>
                <w:color w:val="000000" w:themeColor="text1"/>
                <w:kern w:val="0"/>
                <w:sz w:val="20"/>
                <w:szCs w:val="20"/>
                <w:lang w:bidi="ar"/>
                <w14:textFill>
                  <w14:solidFill>
                    <w14:schemeClr w14:val="tx1"/>
                  </w14:solidFill>
                </w14:textFill>
              </w:rPr>
              <w:t>用电安全类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化工生产装置未按国家标准要求设置双重电源供电，BPCS</w:t>
            </w:r>
            <w:r>
              <w:rPr>
                <w:rFonts w:hint="eastAsia" w:ascii="仿宋_GB2312" w:hAnsi="宋体" w:cs="宋体"/>
                <w:kern w:val="0"/>
                <w:sz w:val="20"/>
                <w:szCs w:val="20"/>
                <w:lang w:eastAsia="zh-CN"/>
              </w:rPr>
              <w:t>、</w:t>
            </w:r>
            <w:r>
              <w:rPr>
                <w:rFonts w:hint="eastAsia" w:ascii="仿宋_GB2312" w:hAnsi="宋体" w:cs="宋体"/>
                <w:kern w:val="0"/>
                <w:sz w:val="20"/>
                <w:szCs w:val="20"/>
              </w:rPr>
              <w:t>GDS 和 SIS 未设置 UPS。</w:t>
            </w:r>
          </w:p>
        </w:tc>
        <w:tc>
          <w:tcPr>
            <w:tcW w:w="1397"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 xml:space="preserve">化工生产装置应按国家标准要求设置双重电源供电，BPCS、GDS 和 SIS </w:t>
            </w:r>
            <w:r>
              <w:rPr>
                <w:rFonts w:hint="eastAsia" w:ascii="仿宋_GB2312" w:hAnsi="宋体" w:cs="宋体"/>
                <w:kern w:val="0"/>
                <w:sz w:val="20"/>
                <w:szCs w:val="20"/>
                <w:lang w:val="en-US" w:eastAsia="zh-CN"/>
              </w:rPr>
              <w:t>应</w:t>
            </w:r>
            <w:r>
              <w:rPr>
                <w:rFonts w:hint="eastAsia" w:ascii="仿宋_GB2312" w:hAnsi="宋体" w:cs="宋体"/>
                <w:kern w:val="0"/>
                <w:sz w:val="20"/>
                <w:szCs w:val="20"/>
              </w:rPr>
              <w:t>设置 UPS。</w:t>
            </w:r>
          </w:p>
        </w:tc>
        <w:tc>
          <w:tcPr>
            <w:tcW w:w="1290"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lang w:eastAsia="zh-CN"/>
              </w:rPr>
              <w:t>《化工和危险化学品生产经营企业重大生产安全事故隐患判定准则》（AQ 3067-2026）</w:t>
            </w:r>
            <w:r>
              <w:rPr>
                <w:rFonts w:hint="eastAsia" w:ascii="仿宋_GB2312" w:hAnsi="宋体" w:cs="宋体"/>
                <w:kern w:val="0"/>
                <w:sz w:val="20"/>
                <w:szCs w:val="20"/>
              </w:rPr>
              <w:t>第5.4.1条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仿宋"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12.2.13.081</w:t>
            </w:r>
          </w:p>
        </w:tc>
        <w:tc>
          <w:tcPr>
            <w:tcW w:w="383" w:type="pct"/>
            <w:vAlign w:val="center"/>
          </w:tcPr>
          <w:p>
            <w:pPr>
              <w:widowControl/>
              <w:adjustRightInd w:val="0"/>
              <w:snapToGrid w:val="0"/>
              <w:spacing w:after="0" w:line="240" w:lineRule="auto"/>
              <w:jc w:val="center"/>
              <w:textAlignment w:val="center"/>
              <w:rPr>
                <w:rFonts w:hint="eastAsia" w:ascii="仿宋_GB2312" w:hAnsi="宋体" w:cs="宋体"/>
                <w:kern w:val="0"/>
                <w:sz w:val="20"/>
                <w:szCs w:val="20"/>
              </w:rPr>
            </w:pPr>
            <w:r>
              <w:rPr>
                <w:rFonts w:hint="eastAsia" w:ascii="仿宋_GB2312" w:hAnsi="仿宋_GB2312" w:cs="仿宋_GB2312"/>
                <w:color w:val="000000" w:themeColor="text1"/>
                <w:kern w:val="0"/>
                <w:sz w:val="20"/>
                <w:szCs w:val="20"/>
                <w:lang w:bidi="ar"/>
                <w14:textFill>
                  <w14:solidFill>
                    <w14:schemeClr w14:val="tx1"/>
                  </w14:solidFill>
                </w14:textFill>
              </w:rPr>
              <w:t>设备设施及物料类</w:t>
            </w:r>
          </w:p>
        </w:tc>
        <w:tc>
          <w:tcPr>
            <w:tcW w:w="371" w:type="pct"/>
            <w:vAlign w:val="center"/>
          </w:tcPr>
          <w:p>
            <w:pPr>
              <w:widowControl/>
              <w:adjustRightInd w:val="0"/>
              <w:snapToGrid w:val="0"/>
              <w:spacing w:after="0" w:line="240" w:lineRule="auto"/>
              <w:jc w:val="center"/>
              <w:textAlignment w:val="center"/>
              <w:rPr>
                <w:rFonts w:hint="eastAsia" w:ascii="仿宋_GB2312" w:hAnsi="宋体" w:cs="宋体"/>
                <w:kern w:val="0"/>
                <w:sz w:val="20"/>
                <w:szCs w:val="20"/>
              </w:rPr>
            </w:pPr>
            <w:r>
              <w:rPr>
                <w:rFonts w:hint="eastAsia" w:ascii="仿宋_GB2312" w:hAnsi="仿宋_GB2312" w:cs="仿宋_GB2312"/>
                <w:color w:val="000000" w:themeColor="text1"/>
                <w:kern w:val="0"/>
                <w:sz w:val="20"/>
                <w:szCs w:val="20"/>
                <w:lang w:bidi="ar"/>
                <w14:textFill>
                  <w14:solidFill>
                    <w14:schemeClr w14:val="tx1"/>
                  </w14:solidFill>
                </w14:textFill>
              </w:rPr>
              <w:t>用电安全类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爆炸危险场所未按标准规范要求安装使用防爆电气设备。</w:t>
            </w:r>
          </w:p>
        </w:tc>
        <w:tc>
          <w:tcPr>
            <w:tcW w:w="1397"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爆炸危险场所应按标准规范要求安装使用防爆电气设备。</w:t>
            </w:r>
          </w:p>
        </w:tc>
        <w:tc>
          <w:tcPr>
            <w:tcW w:w="1290"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lang w:eastAsia="zh-CN"/>
              </w:rPr>
              <w:t>《化工和危险化学品生产经营企业重大生产安全事故隐患判定准则》（AQ 3067-2026）</w:t>
            </w:r>
            <w:r>
              <w:rPr>
                <w:rFonts w:hint="eastAsia" w:ascii="仿宋_GB2312" w:hAnsi="宋体" w:cs="宋体"/>
                <w:kern w:val="0"/>
                <w:sz w:val="20"/>
                <w:szCs w:val="20"/>
              </w:rPr>
              <w:t>第5.4.3条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仿宋"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12.2.13.082</w:t>
            </w:r>
          </w:p>
        </w:tc>
        <w:tc>
          <w:tcPr>
            <w:tcW w:w="383" w:type="pct"/>
            <w:vAlign w:val="center"/>
          </w:tcPr>
          <w:p>
            <w:pPr>
              <w:widowControl/>
              <w:adjustRightInd w:val="0"/>
              <w:snapToGrid w:val="0"/>
              <w:spacing w:after="0" w:line="240" w:lineRule="auto"/>
              <w:jc w:val="center"/>
              <w:textAlignment w:val="center"/>
              <w:rPr>
                <w:rFonts w:hint="eastAsia" w:ascii="仿宋_GB2312" w:hAnsi="宋体" w:cs="宋体"/>
                <w:kern w:val="0"/>
                <w:sz w:val="20"/>
                <w:szCs w:val="20"/>
              </w:rPr>
            </w:pPr>
            <w:r>
              <w:rPr>
                <w:rFonts w:hint="eastAsia" w:ascii="仿宋_GB2312" w:hAnsi="仿宋_GB2312" w:cs="仿宋_GB2312"/>
                <w:color w:val="000000" w:themeColor="text1"/>
                <w:kern w:val="0"/>
                <w:sz w:val="20"/>
                <w:szCs w:val="20"/>
                <w:lang w:bidi="ar"/>
                <w14:textFill>
                  <w14:solidFill>
                    <w14:schemeClr w14:val="tx1"/>
                  </w14:solidFill>
                </w14:textFill>
              </w:rPr>
              <w:t>设备设施及物料类</w:t>
            </w:r>
          </w:p>
        </w:tc>
        <w:tc>
          <w:tcPr>
            <w:tcW w:w="371" w:type="pct"/>
            <w:vAlign w:val="center"/>
          </w:tcPr>
          <w:p>
            <w:pPr>
              <w:widowControl/>
              <w:adjustRightInd w:val="0"/>
              <w:snapToGrid w:val="0"/>
              <w:spacing w:after="0" w:line="240" w:lineRule="auto"/>
              <w:jc w:val="center"/>
              <w:textAlignment w:val="center"/>
              <w:rPr>
                <w:rFonts w:hint="eastAsia" w:ascii="仿宋_GB2312" w:hAnsi="宋体" w:cs="宋体"/>
                <w:kern w:val="0"/>
                <w:sz w:val="20"/>
                <w:szCs w:val="20"/>
              </w:rPr>
            </w:pPr>
            <w:r>
              <w:rPr>
                <w:rFonts w:hint="eastAsia" w:ascii="仿宋_GB2312" w:hAnsi="仿宋_GB2312" w:cs="仿宋_GB2312"/>
                <w:color w:val="000000" w:themeColor="text1"/>
                <w:kern w:val="0"/>
                <w:sz w:val="20"/>
                <w:szCs w:val="20"/>
                <w:lang w:bidi="ar"/>
                <w14:textFill>
                  <w14:solidFill>
                    <w14:schemeClr w14:val="tx1"/>
                  </w14:solidFill>
                </w14:textFill>
              </w:rPr>
              <w:t>用电安全类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在爆炸危险区域内设计有静电接地要求的管道未设导线跨接。在爆炸危险环境的电气设备的金属外壳、金属构架、安装在已接地的金属结构上的设备、金属配线管及其配件、电缆保护管、电缆的金属护套等非带电的裸露金属部分未接地。</w:t>
            </w:r>
          </w:p>
        </w:tc>
        <w:tc>
          <w:tcPr>
            <w:tcW w:w="1397"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在爆炸危险区域内设计有静电接地要求的管道应设导线跨接。在爆炸危险环境的电气设备的金属外壳、金属构架、安装在已接地的金属结构上的设备、金属配线管及其配件、电缆保护管、电缆的金属护套等非带电的裸露金属部分应接地。</w:t>
            </w:r>
          </w:p>
        </w:tc>
        <w:tc>
          <w:tcPr>
            <w:tcW w:w="1290"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《工业金属管道工程施工规范》（GB 50235-2010）第7.13.1条；</w:t>
            </w:r>
          </w:p>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《电气装置安装工程爆炸和火灾危险环境电气装置施工及验收规范》（GB 50257-2014）第7.1.1条</w:t>
            </w:r>
          </w:p>
        </w:tc>
        <w:tc>
          <w:tcPr>
            <w:tcW w:w="182" w:type="pct"/>
            <w:vAlign w:val="center"/>
          </w:tcPr>
          <w:p>
            <w:pPr>
              <w:widowControl/>
              <w:adjustRightInd w:val="0"/>
              <w:snapToGrid w:val="0"/>
              <w:spacing w:after="0" w:line="240" w:lineRule="auto"/>
              <w:jc w:val="center"/>
              <w:rPr>
                <w:rFonts w:hint="eastAsia" w:ascii="仿宋_GB2312" w:hAnsi="仿宋"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12.2.13.083</w:t>
            </w:r>
          </w:p>
        </w:tc>
        <w:tc>
          <w:tcPr>
            <w:tcW w:w="383" w:type="pct"/>
            <w:vAlign w:val="center"/>
          </w:tcPr>
          <w:p>
            <w:pPr>
              <w:widowControl/>
              <w:adjustRightInd w:val="0"/>
              <w:snapToGrid w:val="0"/>
              <w:spacing w:after="0" w:line="240" w:lineRule="auto"/>
              <w:jc w:val="center"/>
              <w:textAlignment w:val="center"/>
              <w:rPr>
                <w:rFonts w:hint="eastAsia" w:ascii="仿宋_GB2312" w:hAnsi="宋体" w:cs="宋体"/>
                <w:kern w:val="0"/>
                <w:sz w:val="20"/>
                <w:szCs w:val="20"/>
              </w:rPr>
            </w:pPr>
            <w:r>
              <w:rPr>
                <w:rFonts w:hint="eastAsia" w:ascii="仿宋_GB2312" w:hAnsi="仿宋_GB2312" w:cs="仿宋_GB2312"/>
                <w:color w:val="000000" w:themeColor="text1"/>
                <w:kern w:val="0"/>
                <w:sz w:val="20"/>
                <w:szCs w:val="20"/>
                <w:lang w:bidi="ar"/>
                <w14:textFill>
                  <w14:solidFill>
                    <w14:schemeClr w14:val="tx1"/>
                  </w14:solidFill>
                </w14:textFill>
              </w:rPr>
              <w:t>设备设施及物料类</w:t>
            </w:r>
          </w:p>
        </w:tc>
        <w:tc>
          <w:tcPr>
            <w:tcW w:w="371" w:type="pct"/>
            <w:vAlign w:val="center"/>
          </w:tcPr>
          <w:p>
            <w:pPr>
              <w:widowControl/>
              <w:adjustRightInd w:val="0"/>
              <w:snapToGrid w:val="0"/>
              <w:spacing w:after="0" w:line="240" w:lineRule="auto"/>
              <w:jc w:val="center"/>
              <w:textAlignment w:val="center"/>
              <w:rPr>
                <w:rFonts w:hint="eastAsia" w:ascii="仿宋_GB2312" w:hAnsi="宋体" w:cs="宋体"/>
                <w:kern w:val="0"/>
                <w:sz w:val="20"/>
                <w:szCs w:val="20"/>
              </w:rPr>
            </w:pPr>
            <w:r>
              <w:rPr>
                <w:rFonts w:hint="eastAsia" w:ascii="仿宋_GB2312" w:hAnsi="仿宋_GB2312" w:cs="仿宋_GB2312"/>
                <w:color w:val="000000" w:themeColor="text1"/>
                <w:kern w:val="0"/>
                <w:sz w:val="20"/>
                <w:szCs w:val="20"/>
                <w:lang w:bidi="ar"/>
                <w14:textFill>
                  <w14:solidFill>
                    <w14:schemeClr w14:val="tx1"/>
                  </w14:solidFill>
                </w14:textFill>
              </w:rPr>
              <w:t>用电安全类</w:t>
            </w:r>
          </w:p>
        </w:tc>
        <w:tc>
          <w:tcPr>
            <w:tcW w:w="1038" w:type="pct"/>
            <w:shd w:val="clear" w:color="auto" w:fill="FFFFFF"/>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需要接地的电器金属外壳、框架缺少可靠接地。</w:t>
            </w:r>
          </w:p>
        </w:tc>
        <w:tc>
          <w:tcPr>
            <w:tcW w:w="1397" w:type="pct"/>
            <w:shd w:val="clear" w:color="auto" w:fill="FFFFFF"/>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需要接地的电器金属外壳、框架必须可靠接地。</w:t>
            </w:r>
          </w:p>
        </w:tc>
        <w:tc>
          <w:tcPr>
            <w:tcW w:w="1290" w:type="pct"/>
            <w:shd w:val="clear" w:color="auto" w:fill="FFFFFF"/>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《电气装置安装工程低压电器施工及验收规范》（GB 50254-2014）第3.0.16条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12.2.13.084</w:t>
            </w:r>
          </w:p>
        </w:tc>
        <w:tc>
          <w:tcPr>
            <w:tcW w:w="383" w:type="pct"/>
            <w:shd w:val="clear" w:color="auto" w:fill="FFFFFF"/>
            <w:vAlign w:val="center"/>
          </w:tcPr>
          <w:p>
            <w:pPr>
              <w:widowControl/>
              <w:adjustRightInd w:val="0"/>
              <w:snapToGrid w:val="0"/>
              <w:spacing w:after="0" w:line="240" w:lineRule="auto"/>
              <w:jc w:val="center"/>
              <w:textAlignment w:val="center"/>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设备设施及物料类</w:t>
            </w:r>
          </w:p>
        </w:tc>
        <w:tc>
          <w:tcPr>
            <w:tcW w:w="371" w:type="pct"/>
            <w:shd w:val="clear" w:color="auto" w:fill="FFFFFF"/>
            <w:vAlign w:val="center"/>
          </w:tcPr>
          <w:p>
            <w:pPr>
              <w:widowControl/>
              <w:adjustRightInd w:val="0"/>
              <w:snapToGrid w:val="0"/>
              <w:spacing w:after="0" w:line="240" w:lineRule="auto"/>
              <w:jc w:val="center"/>
              <w:textAlignment w:val="center"/>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用电安全类</w:t>
            </w:r>
          </w:p>
        </w:tc>
        <w:tc>
          <w:tcPr>
            <w:tcW w:w="1038" w:type="pct"/>
            <w:shd w:val="clear" w:color="auto" w:fill="FFFFFF"/>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长度大于7m的配电室未设两个安全出口，出入口缺少防小动物挡板。</w:t>
            </w:r>
          </w:p>
        </w:tc>
        <w:tc>
          <w:tcPr>
            <w:tcW w:w="1397" w:type="pct"/>
            <w:shd w:val="clear" w:color="auto" w:fill="FFFFFF"/>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长度大于7m的配电室应设两个安全出口，并宜布置在配电室的两端。配电室门、窗及安全出口的设置应符合 GB 50053、GB 50352 等的要求，出入口应设置高度不低于400mm 的防小动物挡板并采取其他防鼠措施。</w:t>
            </w:r>
          </w:p>
        </w:tc>
        <w:tc>
          <w:tcPr>
            <w:tcW w:w="1290" w:type="pct"/>
            <w:shd w:val="clear" w:color="auto" w:fill="FFFFFF"/>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《20kV及以下变电所设计规范》（GB</w:t>
            </w:r>
            <w:r>
              <w:rPr>
                <w:rFonts w:hint="eastAsia" w:ascii="仿宋_GB2312" w:cs="宋体" w:hAnsiTheme="minorEastAsia"/>
                <w:kern w:val="0"/>
                <w:sz w:val="20"/>
                <w:szCs w:val="20"/>
                <w:lang w:val="en-US" w:eastAsia="zh-CN" w:bidi="ar"/>
              </w:rPr>
              <w:t xml:space="preserve"> </w:t>
            </w:r>
            <w:r>
              <w:rPr>
                <w:rFonts w:hint="eastAsia" w:ascii="仿宋_GB2312" w:cs="宋体" w:hAnsiTheme="minorEastAsia"/>
                <w:kern w:val="0"/>
                <w:sz w:val="20"/>
                <w:szCs w:val="20"/>
                <w:lang w:bidi="ar"/>
              </w:rPr>
              <w:t>50053-2013）第6.2.6、6.4.1条；《配电室安全管理规范》（DB11</w:t>
            </w:r>
            <w:r>
              <w:rPr>
                <w:rFonts w:hint="default" w:ascii="仿宋_GB2312" w:cs="宋体" w:hAnsiTheme="minorEastAsia"/>
                <w:kern w:val="0"/>
                <w:sz w:val="20"/>
                <w:szCs w:val="20"/>
                <w:lang w:val="en" w:bidi="ar"/>
              </w:rPr>
              <w:t>/</w:t>
            </w:r>
            <w:r>
              <w:rPr>
                <w:rFonts w:hint="eastAsia" w:ascii="仿宋_GB2312" w:cs="宋体" w:hAnsiTheme="minorEastAsia"/>
                <w:kern w:val="0"/>
                <w:sz w:val="20"/>
                <w:szCs w:val="20"/>
                <w:lang w:bidi="ar"/>
              </w:rPr>
              <w:t>T 527-2021）第6.3.9条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12.2.13.085</w:t>
            </w:r>
          </w:p>
        </w:tc>
        <w:tc>
          <w:tcPr>
            <w:tcW w:w="383" w:type="pct"/>
            <w:shd w:val="clear" w:color="auto" w:fill="FFFFFF"/>
            <w:vAlign w:val="center"/>
          </w:tcPr>
          <w:p>
            <w:pPr>
              <w:widowControl/>
              <w:adjustRightInd w:val="0"/>
              <w:snapToGrid w:val="0"/>
              <w:spacing w:after="0" w:line="240" w:lineRule="auto"/>
              <w:jc w:val="center"/>
              <w:textAlignment w:val="center"/>
              <w:rPr>
                <w:rFonts w:hint="eastAsia" w:ascii="仿宋_GB2312" w:cs="Times New Roman" w:hAnsiTheme="minorEastAsia"/>
                <w:sz w:val="20"/>
                <w:szCs w:val="20"/>
              </w:rPr>
            </w:pPr>
            <w:r>
              <w:rPr>
                <w:rFonts w:hint="eastAsia" w:ascii="仿宋_GB2312" w:hAnsi="仿宋_GB2312" w:cs="仿宋_GB2312"/>
                <w:color w:val="000000" w:themeColor="text1"/>
                <w:kern w:val="0"/>
                <w:sz w:val="20"/>
                <w:szCs w:val="20"/>
                <w:lang w:bidi="ar"/>
                <w14:textFill>
                  <w14:solidFill>
                    <w14:schemeClr w14:val="tx1"/>
                  </w14:solidFill>
                </w14:textFill>
              </w:rPr>
              <w:t>设备设施及物料类</w:t>
            </w:r>
          </w:p>
        </w:tc>
        <w:tc>
          <w:tcPr>
            <w:tcW w:w="371" w:type="pct"/>
            <w:shd w:val="clear" w:color="auto" w:fill="FFFFFF"/>
            <w:vAlign w:val="center"/>
          </w:tcPr>
          <w:p>
            <w:pPr>
              <w:widowControl/>
              <w:adjustRightInd w:val="0"/>
              <w:snapToGrid w:val="0"/>
              <w:spacing w:after="0" w:line="240" w:lineRule="auto"/>
              <w:jc w:val="center"/>
              <w:textAlignment w:val="center"/>
              <w:rPr>
                <w:rFonts w:hint="eastAsia" w:ascii="仿宋_GB2312" w:cs="Times New Roman" w:hAnsiTheme="minorEastAsia"/>
                <w:sz w:val="20"/>
                <w:szCs w:val="20"/>
              </w:rPr>
            </w:pPr>
            <w:r>
              <w:rPr>
                <w:rFonts w:hint="eastAsia" w:ascii="仿宋_GB2312" w:hAnsi="仿宋_GB2312" w:cs="仿宋_GB2312"/>
                <w:color w:val="000000" w:themeColor="text1"/>
                <w:kern w:val="0"/>
                <w:sz w:val="20"/>
                <w:szCs w:val="20"/>
                <w:lang w:bidi="ar"/>
                <w14:textFill>
                  <w14:solidFill>
                    <w14:schemeClr w14:val="tx1"/>
                  </w14:solidFill>
                </w14:textFill>
              </w:rPr>
              <w:t>用电安全类</w:t>
            </w:r>
          </w:p>
        </w:tc>
        <w:tc>
          <w:tcPr>
            <w:tcW w:w="1038" w:type="pct"/>
            <w:shd w:val="clear" w:color="auto" w:fill="FFFFFF"/>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建(构)筑物缺少雷电防护装置。</w:t>
            </w:r>
          </w:p>
        </w:tc>
        <w:tc>
          <w:tcPr>
            <w:tcW w:w="1397" w:type="pct"/>
            <w:shd w:val="clear" w:color="auto" w:fill="FFFFFF"/>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建(构)筑物应按照 GB50057的规定设置雷电防护装置。</w:t>
            </w:r>
          </w:p>
        </w:tc>
        <w:tc>
          <w:tcPr>
            <w:tcW w:w="1290" w:type="pct"/>
            <w:shd w:val="clear" w:color="auto" w:fill="FFFFFF"/>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《生产过程安全基本要求》</w:t>
            </w:r>
            <w:r>
              <w:rPr>
                <w:rFonts w:hint="eastAsia" w:ascii="仿宋_GB2312" w:cs="宋体" w:hAnsiTheme="minorEastAsia"/>
                <w:kern w:val="0"/>
                <w:sz w:val="20"/>
                <w:szCs w:val="20"/>
                <w:lang w:eastAsia="zh-CN" w:bidi="ar"/>
              </w:rPr>
              <w:t>（GB 12801-2025）</w:t>
            </w:r>
            <w:r>
              <w:rPr>
                <w:rFonts w:hint="eastAsia" w:ascii="仿宋_GB2312" w:cs="宋体" w:hAnsiTheme="minorEastAsia"/>
                <w:sz w:val="20"/>
                <w:szCs w:val="20"/>
                <w:lang w:bidi="ar"/>
              </w:rPr>
              <w:t>第</w:t>
            </w:r>
            <w:r>
              <w:rPr>
                <w:rFonts w:hint="eastAsia" w:ascii="仿宋_GB2312" w:hAnsi="仿宋_GB2312" w:cs="仿宋_GB2312"/>
                <w:color w:val="000000" w:themeColor="text1"/>
                <w:kern w:val="0"/>
                <w:sz w:val="20"/>
                <w:szCs w:val="20"/>
                <w:lang w:bidi="ar"/>
                <w14:textFill>
                  <w14:solidFill>
                    <w14:schemeClr w14:val="tx1"/>
                  </w14:solidFill>
                </w14:textFill>
              </w:rPr>
              <w:t>4.6.5条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12.3.01.086</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人员类</w:t>
            </w:r>
          </w:p>
        </w:tc>
        <w:tc>
          <w:tcPr>
            <w:tcW w:w="371"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资格资质类</w:t>
            </w:r>
          </w:p>
        </w:tc>
        <w:tc>
          <w:tcPr>
            <w:tcW w:w="1038" w:type="pct"/>
            <w:vAlign w:val="center"/>
          </w:tcPr>
          <w:p>
            <w:pPr>
              <w:pStyle w:val="10"/>
              <w:widowControl/>
              <w:adjustRightInd w:val="0"/>
              <w:snapToGrid w:val="0"/>
              <w:spacing w:after="0"/>
              <w:jc w:val="left"/>
              <w:rPr>
                <w:rFonts w:hint="eastAsia" w:ascii="仿宋_GB2312" w:hAnsi="宋体" w:cs="宋体"/>
                <w:kern w:val="0"/>
                <w:sz w:val="20"/>
                <w:szCs w:val="20"/>
              </w:rPr>
            </w:pPr>
            <w:r>
              <w:rPr>
                <w:rFonts w:hint="eastAsia" w:ascii="仿宋_GB2312" w:eastAsia="仿宋_GB2312" w:cs="宋体" w:hAnsiTheme="minorEastAsia"/>
                <w:kern w:val="0"/>
                <w:sz w:val="20"/>
                <w:szCs w:val="20"/>
                <w:lang w:bidi="ar"/>
              </w:rPr>
              <w:t>主要负责人</w:t>
            </w:r>
            <w:r>
              <w:rPr>
                <w:rFonts w:hint="eastAsia" w:ascii="仿宋_GB2312" w:eastAsia="仿宋_GB2312" w:cs="宋体" w:hAnsiTheme="minorEastAsia"/>
                <w:kern w:val="0"/>
                <w:sz w:val="20"/>
                <w:szCs w:val="20"/>
                <w:lang w:val="en-US" w:eastAsia="zh-CN" w:bidi="ar"/>
              </w:rPr>
              <w:t>和</w:t>
            </w:r>
            <w:r>
              <w:rPr>
                <w:rFonts w:hint="eastAsia" w:ascii="仿宋_GB2312" w:eastAsia="仿宋_GB2312" w:cs="宋体" w:hAnsiTheme="minorEastAsia"/>
                <w:kern w:val="0"/>
                <w:sz w:val="20"/>
                <w:szCs w:val="20"/>
                <w:lang w:bidi="ar"/>
              </w:rPr>
              <w:t>安全生产管理人员</w:t>
            </w:r>
            <w:r>
              <w:rPr>
                <w:rFonts w:hint="eastAsia" w:ascii="仿宋_GB2312" w:eastAsia="仿宋_GB2312" w:cs="宋体" w:hAnsiTheme="minorEastAsia"/>
                <w:kern w:val="0"/>
                <w:sz w:val="20"/>
                <w:szCs w:val="20"/>
                <w:lang w:val="en-US" w:eastAsia="zh-CN" w:bidi="ar"/>
              </w:rPr>
              <w:t>不</w:t>
            </w:r>
            <w:r>
              <w:rPr>
                <w:rFonts w:hint="eastAsia" w:ascii="仿宋_GB2312" w:eastAsia="仿宋_GB2312" w:hAnsiTheme="minorEastAsia"/>
                <w:sz w:val="20"/>
                <w:szCs w:val="20"/>
                <w:lang w:bidi="ar"/>
              </w:rPr>
              <w:t>具备与本单位所从事的生产经营活动相应的安全生产知识和管理能力。</w:t>
            </w:r>
          </w:p>
        </w:tc>
        <w:tc>
          <w:tcPr>
            <w:tcW w:w="1397"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生产经营单位的主要负责人和安全生产管理人员必须具备与本单位所从事的生产经营活动相应的安全生产知识和管理能力。</w:t>
            </w:r>
          </w:p>
        </w:tc>
        <w:tc>
          <w:tcPr>
            <w:tcW w:w="1290"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《中华人民共和国安全生产法》第二十七条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12.3.01.087</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人员类</w:t>
            </w:r>
          </w:p>
        </w:tc>
        <w:tc>
          <w:tcPr>
            <w:tcW w:w="371"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资格资质类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等线" w:cs="宋体"/>
                <w:kern w:val="0"/>
                <w:sz w:val="20"/>
                <w:szCs w:val="20"/>
              </w:rPr>
              <w:t>涉及“两重点一重大”生产装置或储存设施的企业主要负责人，主管生产、设备、技术、安全的负责人，专职安全生产管理人员不具备化学、化工、安全等相关专业大专及以上学历</w:t>
            </w:r>
            <w:r>
              <w:rPr>
                <w:rFonts w:hint="eastAsia" w:ascii="仿宋_GB2312" w:hAnsi="等线" w:cs="宋体"/>
                <w:kern w:val="0"/>
                <w:sz w:val="20"/>
                <w:szCs w:val="20"/>
                <w:lang w:eastAsia="zh-CN"/>
              </w:rPr>
              <w:t>，</w:t>
            </w:r>
            <w:r>
              <w:rPr>
                <w:rFonts w:hint="eastAsia" w:ascii="仿宋_GB2312" w:hAnsi="等线" w:cs="宋体"/>
                <w:kern w:val="0"/>
                <w:sz w:val="20"/>
                <w:szCs w:val="20"/>
                <w:lang w:val="en-US" w:eastAsia="zh-CN"/>
              </w:rPr>
              <w:t>且</w:t>
            </w:r>
            <w:r>
              <w:rPr>
                <w:rFonts w:hint="eastAsia" w:ascii="仿宋_GB2312" w:hAnsi="等线" w:cs="宋体"/>
                <w:kern w:val="0"/>
                <w:sz w:val="20"/>
                <w:szCs w:val="20"/>
              </w:rPr>
              <w:t>不具备化工类中级及以上职称。</w:t>
            </w:r>
          </w:p>
        </w:tc>
        <w:tc>
          <w:tcPr>
            <w:tcW w:w="1397"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等线" w:cs="宋体"/>
                <w:kern w:val="0"/>
                <w:sz w:val="20"/>
                <w:szCs w:val="20"/>
              </w:rPr>
              <w:t>涉及“两重点一重大”生产装置或储存设施的企业主要负责人，主管生产、设备、技术、安全的负责人，专职安全生产管理人员应具备化学、化工、安全等相关专业大专及以上学历</w:t>
            </w:r>
            <w:r>
              <w:rPr>
                <w:rFonts w:hint="eastAsia" w:ascii="仿宋_GB2312" w:hAnsi="等线" w:cs="宋体"/>
                <w:kern w:val="0"/>
                <w:sz w:val="20"/>
                <w:szCs w:val="20"/>
                <w:lang w:eastAsia="zh-CN"/>
              </w:rPr>
              <w:t>且</w:t>
            </w:r>
            <w:r>
              <w:rPr>
                <w:rFonts w:hint="eastAsia" w:ascii="仿宋_GB2312" w:hAnsi="等线" w:cs="宋体"/>
                <w:kern w:val="0"/>
                <w:sz w:val="20"/>
                <w:szCs w:val="20"/>
              </w:rPr>
              <w:t>具备化工类中级及以上职称。</w:t>
            </w:r>
          </w:p>
        </w:tc>
        <w:tc>
          <w:tcPr>
            <w:tcW w:w="1290"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《中华人民共和国安全生产法》第二十七条；</w:t>
            </w:r>
          </w:p>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lang w:eastAsia="zh-CN"/>
              </w:rPr>
              <w:t>《化工和危险化学品生产经营企业重大生产安全事故隐患判定准则》（AQ 3067-2026）</w:t>
            </w:r>
            <w:r>
              <w:rPr>
                <w:rFonts w:hint="eastAsia" w:ascii="仿宋_GB2312" w:hAnsi="宋体" w:cs="宋体"/>
                <w:kern w:val="0"/>
                <w:sz w:val="20"/>
                <w:szCs w:val="20"/>
              </w:rPr>
              <w:t>第5.1.2条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12.3.01.088</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人员类</w:t>
            </w:r>
          </w:p>
        </w:tc>
        <w:tc>
          <w:tcPr>
            <w:tcW w:w="371"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资格资质类</w:t>
            </w:r>
          </w:p>
        </w:tc>
        <w:tc>
          <w:tcPr>
            <w:tcW w:w="1038" w:type="pct"/>
            <w:vAlign w:val="center"/>
          </w:tcPr>
          <w:p>
            <w:pPr>
              <w:widowControl/>
              <w:adjustRightInd w:val="0"/>
              <w:snapToGrid w:val="0"/>
              <w:spacing w:after="0" w:line="240" w:lineRule="auto"/>
              <w:jc w:val="left"/>
              <w:rPr>
                <w:rFonts w:hint="eastAsia" w:ascii="仿宋_GB2312" w:hAnsi="等线" w:cs="宋体"/>
                <w:kern w:val="0"/>
                <w:sz w:val="20"/>
                <w:szCs w:val="20"/>
              </w:rPr>
            </w:pPr>
            <w:r>
              <w:rPr>
                <w:rFonts w:hint="eastAsia" w:ascii="仿宋_GB2312" w:hAnsi="等线" w:cs="宋体"/>
                <w:kern w:val="0"/>
                <w:sz w:val="20"/>
                <w:szCs w:val="20"/>
              </w:rPr>
              <w:t>涉及危险化学品重大危险源或重点监管的危险化工工艺生产装置、储存设施操作人员，不具备高中及以上学历</w:t>
            </w:r>
            <w:r>
              <w:rPr>
                <w:rFonts w:hint="eastAsia" w:ascii="仿宋_GB2312" w:hAnsi="等线" w:cs="宋体"/>
                <w:kern w:val="0"/>
                <w:sz w:val="20"/>
                <w:szCs w:val="20"/>
                <w:lang w:val="en-US" w:eastAsia="zh-CN"/>
              </w:rPr>
              <w:t>且未</w:t>
            </w:r>
            <w:r>
              <w:rPr>
                <w:rFonts w:hint="eastAsia" w:ascii="仿宋_GB2312" w:hAnsi="等线" w:cs="宋体"/>
                <w:kern w:val="0"/>
                <w:sz w:val="20"/>
                <w:szCs w:val="20"/>
              </w:rPr>
              <w:t>达到化工类中等及以上职业教育水平；涉及爆炸危险性化学品的生产装置或储存设施的操作人员，不具备化工类大专及以上学历。</w:t>
            </w:r>
          </w:p>
        </w:tc>
        <w:tc>
          <w:tcPr>
            <w:tcW w:w="1397" w:type="pct"/>
            <w:vAlign w:val="center"/>
          </w:tcPr>
          <w:p>
            <w:pPr>
              <w:widowControl/>
              <w:adjustRightInd w:val="0"/>
              <w:snapToGrid w:val="0"/>
              <w:spacing w:after="0" w:line="240" w:lineRule="auto"/>
              <w:jc w:val="left"/>
              <w:rPr>
                <w:rFonts w:hint="eastAsia" w:ascii="仿宋_GB2312" w:hAnsi="等线" w:cs="宋体"/>
                <w:kern w:val="0"/>
                <w:sz w:val="20"/>
                <w:szCs w:val="20"/>
              </w:rPr>
            </w:pPr>
            <w:r>
              <w:rPr>
                <w:rFonts w:hint="eastAsia" w:ascii="仿宋_GB2312" w:hAnsi="等线" w:cs="宋体"/>
                <w:kern w:val="0"/>
                <w:sz w:val="20"/>
                <w:szCs w:val="20"/>
              </w:rPr>
              <w:t>涉及危险化学品重大危险源或重点监管的危险化工工艺生产装置、储存设施操作人员，应具备高中及以上学历或达到化工类中等及以上职业教育水平；涉及爆炸危险性化学品的生产装置或储存设施的操作人员，应具备化工类大专及以上学历。</w:t>
            </w:r>
          </w:p>
        </w:tc>
        <w:tc>
          <w:tcPr>
            <w:tcW w:w="1290"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lang w:eastAsia="zh-CN"/>
              </w:rPr>
              <w:t>《化工和危险化学品生产经营企业重大生产安全事故隐患判定准则》（AQ 3067-2026）</w:t>
            </w:r>
            <w:r>
              <w:rPr>
                <w:rFonts w:hint="eastAsia" w:ascii="仿宋_GB2312" w:hAnsi="宋体" w:cs="宋体"/>
                <w:kern w:val="0"/>
                <w:sz w:val="20"/>
                <w:szCs w:val="20"/>
              </w:rPr>
              <w:t>第5.1.3条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12.3.01.089</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人员类</w:t>
            </w:r>
          </w:p>
        </w:tc>
        <w:tc>
          <w:tcPr>
            <w:tcW w:w="371"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资格资质类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特种作业人员未持证上岗。</w:t>
            </w:r>
          </w:p>
        </w:tc>
        <w:tc>
          <w:tcPr>
            <w:tcW w:w="1397"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特种作业人员</w:t>
            </w:r>
            <w:r>
              <w:rPr>
                <w:rFonts w:hint="eastAsia" w:ascii="仿宋_GB2312" w:hAnsi="等线" w:cs="宋体"/>
                <w:kern w:val="0"/>
                <w:sz w:val="20"/>
                <w:szCs w:val="20"/>
              </w:rPr>
              <w:t>应</w:t>
            </w:r>
            <w:r>
              <w:rPr>
                <w:rFonts w:hint="eastAsia" w:ascii="仿宋_GB2312" w:hAnsi="宋体" w:cs="宋体"/>
                <w:kern w:val="0"/>
                <w:sz w:val="20"/>
                <w:szCs w:val="20"/>
              </w:rPr>
              <w:t>持证上岗。</w:t>
            </w:r>
          </w:p>
        </w:tc>
        <w:tc>
          <w:tcPr>
            <w:tcW w:w="1290"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《中华人民共和国安全生产法》第二十八条、第三十条；</w:t>
            </w:r>
          </w:p>
          <w:p>
            <w:pPr>
              <w:widowControl/>
              <w:adjustRightInd w:val="0"/>
              <w:snapToGrid w:val="0"/>
              <w:spacing w:after="0" w:line="240" w:lineRule="auto"/>
              <w:jc w:val="left"/>
              <w:rPr>
                <w:rFonts w:hint="eastAsia" w:ascii="仿宋_GB2312" w:hAnsi="宋体" w:eastAsia="仿宋_GB2312" w:cs="宋体"/>
                <w:kern w:val="0"/>
                <w:sz w:val="20"/>
                <w:szCs w:val="20"/>
                <w:lang w:eastAsia="zh-CN"/>
              </w:rPr>
            </w:pPr>
            <w:r>
              <w:rPr>
                <w:rFonts w:hint="eastAsia" w:ascii="仿宋_GB2312" w:hAnsi="宋体" w:cs="宋体"/>
                <w:kern w:val="0"/>
                <w:sz w:val="20"/>
                <w:szCs w:val="20"/>
              </w:rPr>
              <w:t>《特种作业人员安全技术培训考核管理规定》</w:t>
            </w:r>
            <w:r>
              <w:rPr>
                <w:rFonts w:hint="eastAsia" w:ascii="仿宋_GB2312" w:hAnsi="宋体" w:cs="宋体"/>
                <w:kern w:val="0"/>
                <w:sz w:val="20"/>
                <w:szCs w:val="20"/>
                <w:lang w:eastAsia="zh-CN"/>
              </w:rPr>
              <w:t>；</w:t>
            </w:r>
          </w:p>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《化工和危险化学品生产经营企业重大生产安全事故隐患判定准则》（AQ 3067-2026）第5.1.4条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12.3.02.090</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人员类</w:t>
            </w:r>
          </w:p>
        </w:tc>
        <w:tc>
          <w:tcPr>
            <w:tcW w:w="371"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操作行为类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未对</w:t>
            </w:r>
            <w:r>
              <w:rPr>
                <w:rFonts w:hint="eastAsia" w:ascii="仿宋_GB2312" w:hAnsi="宋体" w:cs="宋体"/>
                <w:kern w:val="0"/>
                <w:sz w:val="20"/>
                <w:szCs w:val="20"/>
                <w:lang w:val="en-US" w:eastAsia="zh-CN"/>
              </w:rPr>
              <w:t>生产区</w:t>
            </w:r>
            <w:r>
              <w:rPr>
                <w:rFonts w:hint="eastAsia" w:ascii="仿宋_GB2312" w:hAnsi="宋体" w:cs="宋体"/>
                <w:kern w:val="0"/>
                <w:sz w:val="20"/>
                <w:szCs w:val="20"/>
              </w:rPr>
              <w:t>作业人员进行入厂安全教育；作业前未对特殊作业人员进行安全交底；实施特殊作业时，企业未对作业实施管理和检查。</w:t>
            </w:r>
          </w:p>
        </w:tc>
        <w:tc>
          <w:tcPr>
            <w:tcW w:w="1397"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等线" w:cs="宋体"/>
                <w:kern w:val="0"/>
                <w:sz w:val="20"/>
                <w:szCs w:val="20"/>
              </w:rPr>
              <w:t>应</w:t>
            </w:r>
            <w:r>
              <w:rPr>
                <w:rFonts w:hint="eastAsia" w:ascii="仿宋_GB2312" w:hAnsi="宋体" w:cs="宋体"/>
                <w:kern w:val="0"/>
                <w:sz w:val="20"/>
                <w:szCs w:val="20"/>
              </w:rPr>
              <w:t>对生产区作业人员进行入厂安全教育；作业前</w:t>
            </w:r>
            <w:r>
              <w:rPr>
                <w:rFonts w:hint="eastAsia" w:ascii="仿宋_GB2312" w:hAnsi="等线" w:cs="宋体"/>
                <w:kern w:val="0"/>
                <w:sz w:val="20"/>
                <w:szCs w:val="20"/>
              </w:rPr>
              <w:t>应</w:t>
            </w:r>
            <w:r>
              <w:rPr>
                <w:rFonts w:hint="eastAsia" w:ascii="仿宋_GB2312" w:hAnsi="宋体" w:cs="宋体"/>
                <w:kern w:val="0"/>
                <w:sz w:val="20"/>
                <w:szCs w:val="20"/>
              </w:rPr>
              <w:t>对特殊作业人员进行安全交底；实施特殊作业时，企业</w:t>
            </w:r>
            <w:r>
              <w:rPr>
                <w:rFonts w:hint="eastAsia" w:ascii="仿宋_GB2312" w:hAnsi="等线" w:cs="宋体"/>
                <w:kern w:val="0"/>
                <w:sz w:val="20"/>
                <w:szCs w:val="20"/>
              </w:rPr>
              <w:t>应</w:t>
            </w:r>
            <w:r>
              <w:rPr>
                <w:rFonts w:hint="eastAsia" w:ascii="仿宋_GB2312" w:hAnsi="宋体" w:cs="宋体"/>
                <w:kern w:val="0"/>
                <w:sz w:val="20"/>
                <w:szCs w:val="20"/>
              </w:rPr>
              <w:t>对作业实施管理和检查。</w:t>
            </w:r>
          </w:p>
        </w:tc>
        <w:tc>
          <w:tcPr>
            <w:tcW w:w="1290"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《危险化学品企业特殊作业安全规范》（GB 30871-2022）第4章；</w:t>
            </w:r>
          </w:p>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lang w:eastAsia="zh-CN"/>
              </w:rPr>
              <w:t>《化工和危险化学品生产经营企业重大生产安全事故隐患判定准则》（AQ 3067-2026）</w:t>
            </w:r>
            <w:r>
              <w:rPr>
                <w:rFonts w:hint="eastAsia" w:ascii="仿宋_GB2312" w:hAnsi="宋体" w:cs="宋体"/>
                <w:kern w:val="0"/>
                <w:sz w:val="20"/>
                <w:szCs w:val="20"/>
              </w:rPr>
              <w:t>第5.6.4条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12.3.02.091</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人员类</w:t>
            </w:r>
          </w:p>
        </w:tc>
        <w:tc>
          <w:tcPr>
            <w:tcW w:w="371"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操作行为类</w:t>
            </w:r>
          </w:p>
        </w:tc>
        <w:tc>
          <w:tcPr>
            <w:tcW w:w="1038" w:type="pct"/>
            <w:vAlign w:val="center"/>
          </w:tcPr>
          <w:p>
            <w:pPr>
              <w:widowControl/>
              <w:adjustRightInd w:val="0"/>
              <w:snapToGrid w:val="0"/>
              <w:spacing w:after="0" w:line="240" w:lineRule="auto"/>
              <w:jc w:val="left"/>
              <w:rPr>
                <w:rFonts w:hint="eastAsia" w:ascii="仿宋_GB2312" w:hAnsi="宋体" w:cs="宋体"/>
                <w:b/>
                <w:bCs/>
                <w:kern w:val="0"/>
                <w:sz w:val="20"/>
                <w:szCs w:val="20"/>
              </w:rPr>
            </w:pPr>
            <w:r>
              <w:rPr>
                <w:rFonts w:hint="eastAsia" w:ascii="仿宋_GB2312" w:hAnsi="宋体" w:cs="宋体"/>
                <w:kern w:val="0"/>
                <w:sz w:val="20"/>
                <w:szCs w:val="20"/>
              </w:rPr>
              <w:t>未履行审批手续开展特殊作业，动火作业未按GB</w:t>
            </w:r>
            <w:r>
              <w:rPr>
                <w:rFonts w:hint="eastAsia" w:ascii="仿宋_GB2312" w:hAnsi="宋体" w:cs="宋体"/>
                <w:kern w:val="0"/>
                <w:sz w:val="20"/>
                <w:szCs w:val="20"/>
                <w:lang w:val="en-US" w:eastAsia="zh-CN"/>
              </w:rPr>
              <w:t xml:space="preserve"> </w:t>
            </w:r>
            <w:r>
              <w:rPr>
                <w:rFonts w:hint="eastAsia" w:ascii="仿宋_GB2312" w:hAnsi="宋体" w:cs="宋体"/>
                <w:kern w:val="0"/>
                <w:sz w:val="20"/>
                <w:szCs w:val="20"/>
              </w:rPr>
              <w:t>30871要求进行</w:t>
            </w:r>
            <w:r>
              <w:rPr>
                <w:rFonts w:hint="eastAsia" w:ascii="仿宋_GB2312" w:hAnsi="宋体" w:cs="宋体"/>
                <w:kern w:val="0"/>
                <w:sz w:val="20"/>
                <w:szCs w:val="20"/>
                <w:lang w:val="en-US" w:eastAsia="zh-CN"/>
              </w:rPr>
              <w:t>升级</w:t>
            </w:r>
            <w:r>
              <w:rPr>
                <w:rFonts w:hint="eastAsia" w:ascii="仿宋_GB2312" w:hAnsi="宋体" w:cs="宋体"/>
                <w:kern w:val="0"/>
                <w:sz w:val="20"/>
                <w:szCs w:val="20"/>
              </w:rPr>
              <w:t>管理</w:t>
            </w:r>
            <w:r>
              <w:rPr>
                <w:rFonts w:hint="eastAsia" w:ascii="仿宋_GB2312" w:hAnsi="宋体" w:cs="宋体"/>
                <w:kern w:val="0"/>
                <w:sz w:val="20"/>
                <w:szCs w:val="20"/>
                <w:lang w:eastAsia="zh-CN"/>
              </w:rPr>
              <w:t>。</w:t>
            </w:r>
            <w:r>
              <w:rPr>
                <w:rFonts w:hint="eastAsia" w:ascii="仿宋_GB2312" w:hAnsi="宋体" w:cs="宋体"/>
                <w:kern w:val="0"/>
                <w:sz w:val="20"/>
                <w:szCs w:val="20"/>
              </w:rPr>
              <w:t>涉及易燃易爆或有毒有害介质的设备管道动火作业前或受限空间作业前，未采取隔离措施或未确认设备、工艺处置结果满足安全作业要求。动火作业或受限空间作业未按照要求进行气体分析</w:t>
            </w:r>
            <w:r>
              <w:rPr>
                <w:rFonts w:hint="eastAsia" w:ascii="仿宋_GB2312" w:hAnsi="宋体" w:cs="宋体"/>
                <w:kern w:val="0"/>
                <w:sz w:val="20"/>
                <w:szCs w:val="20"/>
                <w:lang w:eastAsia="zh-CN"/>
              </w:rPr>
              <w:t>；</w:t>
            </w:r>
            <w:r>
              <w:rPr>
                <w:rFonts w:hint="eastAsia" w:ascii="仿宋_GB2312" w:hAnsi="宋体" w:cs="宋体"/>
                <w:kern w:val="0"/>
                <w:sz w:val="20"/>
                <w:szCs w:val="20"/>
              </w:rPr>
              <w:t>受限空间作业未连续监测可燃气体、有毒气体及氧气浓度</w:t>
            </w:r>
            <w:r>
              <w:rPr>
                <w:rFonts w:hint="eastAsia" w:ascii="仿宋_GB2312" w:hAnsi="宋体" w:cs="宋体"/>
                <w:kern w:val="0"/>
                <w:sz w:val="20"/>
                <w:szCs w:val="20"/>
                <w:lang w:eastAsia="zh-CN"/>
              </w:rPr>
              <w:t>；</w:t>
            </w:r>
            <w:r>
              <w:rPr>
                <w:rFonts w:hint="eastAsia" w:ascii="仿宋_GB2312" w:hAnsi="宋体" w:cs="宋体"/>
                <w:kern w:val="0"/>
                <w:sz w:val="20"/>
                <w:szCs w:val="20"/>
              </w:rPr>
              <w:t>特级动火作业未实现全过程视频监控</w:t>
            </w:r>
            <w:r>
              <w:rPr>
                <w:rFonts w:hint="eastAsia" w:ascii="仿宋_GB2312" w:hAnsi="宋体" w:cs="宋体"/>
                <w:kern w:val="0"/>
                <w:sz w:val="20"/>
                <w:szCs w:val="20"/>
                <w:lang w:eastAsia="zh-CN"/>
              </w:rPr>
              <w:t>。</w:t>
            </w:r>
          </w:p>
        </w:tc>
        <w:tc>
          <w:tcPr>
            <w:tcW w:w="1397" w:type="pct"/>
            <w:vAlign w:val="center"/>
          </w:tcPr>
          <w:p>
            <w:pPr>
              <w:widowControl/>
              <w:adjustRightInd w:val="0"/>
              <w:snapToGrid w:val="0"/>
              <w:spacing w:after="0" w:line="240" w:lineRule="auto"/>
              <w:jc w:val="left"/>
              <w:rPr>
                <w:rFonts w:hint="eastAsia" w:ascii="仿宋_GB2312" w:hAnsi="宋体" w:cs="宋体"/>
                <w:b/>
                <w:bCs/>
                <w:kern w:val="0"/>
                <w:sz w:val="20"/>
                <w:szCs w:val="20"/>
              </w:rPr>
            </w:pPr>
            <w:r>
              <w:rPr>
                <w:rFonts w:hint="eastAsia" w:ascii="仿宋_GB2312" w:hAnsi="等线" w:cs="宋体"/>
                <w:kern w:val="0"/>
                <w:sz w:val="20"/>
                <w:szCs w:val="20"/>
              </w:rPr>
              <w:t>应</w:t>
            </w:r>
            <w:r>
              <w:rPr>
                <w:rFonts w:hint="eastAsia" w:ascii="仿宋_GB2312" w:hAnsi="宋体" w:cs="宋体"/>
                <w:kern w:val="0"/>
                <w:sz w:val="20"/>
                <w:szCs w:val="20"/>
              </w:rPr>
              <w:t>履行审批手续开展特殊作业，动火作业</w:t>
            </w:r>
            <w:r>
              <w:rPr>
                <w:rFonts w:hint="eastAsia" w:ascii="仿宋_GB2312" w:hAnsi="等线" w:cs="宋体"/>
                <w:kern w:val="0"/>
                <w:sz w:val="20"/>
                <w:szCs w:val="20"/>
              </w:rPr>
              <w:t>应</w:t>
            </w:r>
            <w:r>
              <w:rPr>
                <w:rFonts w:hint="eastAsia" w:ascii="仿宋_GB2312" w:hAnsi="宋体" w:cs="宋体"/>
                <w:kern w:val="0"/>
                <w:sz w:val="20"/>
                <w:szCs w:val="20"/>
              </w:rPr>
              <w:t>按GB</w:t>
            </w:r>
            <w:r>
              <w:rPr>
                <w:rFonts w:hint="eastAsia" w:ascii="仿宋_GB2312" w:hAnsi="宋体" w:cs="宋体"/>
                <w:kern w:val="0"/>
                <w:sz w:val="20"/>
                <w:szCs w:val="20"/>
                <w:lang w:val="en-US" w:eastAsia="zh-CN"/>
              </w:rPr>
              <w:t xml:space="preserve"> </w:t>
            </w:r>
            <w:r>
              <w:rPr>
                <w:rFonts w:hint="eastAsia" w:ascii="仿宋_GB2312" w:hAnsi="宋体" w:cs="宋体"/>
                <w:kern w:val="0"/>
                <w:sz w:val="20"/>
                <w:szCs w:val="20"/>
              </w:rPr>
              <w:t>30871要求进行</w:t>
            </w:r>
            <w:r>
              <w:rPr>
                <w:rFonts w:hint="eastAsia" w:ascii="仿宋_GB2312" w:hAnsi="宋体" w:cs="宋体"/>
                <w:kern w:val="0"/>
                <w:sz w:val="20"/>
                <w:szCs w:val="20"/>
                <w:lang w:val="en-US" w:eastAsia="zh-CN"/>
              </w:rPr>
              <w:t>升级</w:t>
            </w:r>
            <w:r>
              <w:rPr>
                <w:rFonts w:hint="eastAsia" w:ascii="仿宋_GB2312" w:hAnsi="宋体" w:cs="宋体"/>
                <w:kern w:val="0"/>
                <w:sz w:val="20"/>
                <w:szCs w:val="20"/>
              </w:rPr>
              <w:t>管理</w:t>
            </w:r>
            <w:r>
              <w:rPr>
                <w:rFonts w:hint="eastAsia" w:ascii="仿宋_GB2312" w:hAnsi="等线" w:cs="宋体"/>
                <w:kern w:val="0"/>
                <w:sz w:val="20"/>
                <w:szCs w:val="20"/>
              </w:rPr>
              <w:t>。涉及易燃易爆或有毒有害介质的设备管道动火作业前或受限空间作业前，</w:t>
            </w:r>
            <w:r>
              <w:rPr>
                <w:rFonts w:hint="eastAsia" w:ascii="仿宋_GB2312" w:hAnsi="等线" w:cs="宋体"/>
                <w:kern w:val="0"/>
                <w:sz w:val="20"/>
                <w:szCs w:val="20"/>
                <w:lang w:val="en-US" w:eastAsia="zh-CN"/>
              </w:rPr>
              <w:t>应</w:t>
            </w:r>
            <w:r>
              <w:rPr>
                <w:rFonts w:hint="eastAsia" w:ascii="仿宋_GB2312" w:hAnsi="等线" w:cs="宋体"/>
                <w:kern w:val="0"/>
                <w:sz w:val="20"/>
                <w:szCs w:val="20"/>
              </w:rPr>
              <w:t>采取隔离措施或未确认设备、工艺处置结果满足安全作业要求。动火作业或受限空间作业</w:t>
            </w:r>
            <w:r>
              <w:rPr>
                <w:rFonts w:hint="eastAsia" w:ascii="仿宋_GB2312" w:hAnsi="等线" w:cs="宋体"/>
                <w:kern w:val="0"/>
                <w:sz w:val="20"/>
                <w:szCs w:val="20"/>
                <w:lang w:val="en-US" w:eastAsia="zh-CN"/>
              </w:rPr>
              <w:t>应</w:t>
            </w:r>
            <w:r>
              <w:rPr>
                <w:rFonts w:hint="eastAsia" w:ascii="仿宋_GB2312" w:hAnsi="等线" w:cs="宋体"/>
                <w:kern w:val="0"/>
                <w:sz w:val="20"/>
                <w:szCs w:val="20"/>
              </w:rPr>
              <w:t>按照要求进行气体分析；受限空间作业</w:t>
            </w:r>
            <w:r>
              <w:rPr>
                <w:rFonts w:hint="eastAsia" w:ascii="仿宋_GB2312" w:hAnsi="等线" w:cs="宋体"/>
                <w:kern w:val="0"/>
                <w:sz w:val="20"/>
                <w:szCs w:val="20"/>
                <w:lang w:val="en-US" w:eastAsia="zh-CN"/>
              </w:rPr>
              <w:t>应</w:t>
            </w:r>
            <w:r>
              <w:rPr>
                <w:rFonts w:hint="eastAsia" w:ascii="仿宋_GB2312" w:hAnsi="等线" w:cs="宋体"/>
                <w:kern w:val="0"/>
                <w:sz w:val="20"/>
                <w:szCs w:val="20"/>
              </w:rPr>
              <w:t>连续监测可燃气体、有毒气体及氧气浓度；特级动火作业</w:t>
            </w:r>
            <w:r>
              <w:rPr>
                <w:rFonts w:hint="eastAsia" w:ascii="仿宋_GB2312" w:hAnsi="等线" w:cs="宋体"/>
                <w:kern w:val="0"/>
                <w:sz w:val="20"/>
                <w:szCs w:val="20"/>
                <w:lang w:val="en-US" w:eastAsia="zh-CN"/>
              </w:rPr>
              <w:t>应</w:t>
            </w:r>
            <w:r>
              <w:rPr>
                <w:rFonts w:hint="eastAsia" w:ascii="仿宋_GB2312" w:hAnsi="等线" w:cs="宋体"/>
                <w:kern w:val="0"/>
                <w:sz w:val="20"/>
                <w:szCs w:val="20"/>
              </w:rPr>
              <w:t>实现全过程视频监控。</w:t>
            </w:r>
          </w:p>
        </w:tc>
        <w:tc>
          <w:tcPr>
            <w:tcW w:w="1290" w:type="pct"/>
            <w:vAlign w:val="center"/>
          </w:tcPr>
          <w:p>
            <w:pPr>
              <w:widowControl/>
              <w:adjustRightInd w:val="0"/>
              <w:snapToGrid w:val="0"/>
              <w:spacing w:after="0" w:line="240" w:lineRule="auto"/>
              <w:jc w:val="left"/>
              <w:rPr>
                <w:rFonts w:hint="eastAsia" w:ascii="仿宋_GB2312" w:hAnsi="宋体" w:eastAsia="仿宋_GB2312" w:cs="宋体"/>
                <w:kern w:val="0"/>
                <w:sz w:val="20"/>
                <w:szCs w:val="20"/>
                <w:lang w:val="en-US" w:eastAsia="zh-CN"/>
              </w:rPr>
            </w:pPr>
            <w:r>
              <w:rPr>
                <w:rFonts w:hint="eastAsia" w:ascii="仿宋_GB2312" w:hAnsi="宋体" w:cs="宋体"/>
                <w:kern w:val="0"/>
                <w:sz w:val="20"/>
                <w:szCs w:val="20"/>
                <w:lang w:eastAsia="zh-CN"/>
              </w:rPr>
              <w:t>《化工和危险化学品生产经营企业重大生产安全事故隐患判定准则》（AQ 3067-2026）</w:t>
            </w:r>
            <w:r>
              <w:rPr>
                <w:rFonts w:hint="eastAsia" w:ascii="仿宋_GB2312" w:hAnsi="宋体" w:cs="宋体"/>
                <w:kern w:val="0"/>
                <w:sz w:val="20"/>
                <w:szCs w:val="20"/>
              </w:rPr>
              <w:t>第5.6</w:t>
            </w:r>
            <w:r>
              <w:rPr>
                <w:rFonts w:hint="eastAsia" w:ascii="仿宋_GB2312" w:hAnsi="宋体" w:cs="宋体"/>
                <w:kern w:val="0"/>
                <w:sz w:val="20"/>
                <w:szCs w:val="20"/>
                <w:lang w:val="en-US" w:eastAsia="zh-CN"/>
              </w:rPr>
              <w:t>.1</w:t>
            </w:r>
            <w:r>
              <w:rPr>
                <w:rFonts w:hint="eastAsia" w:ascii="仿宋_GB2312" w:hAnsi="宋体" w:cs="宋体"/>
                <w:kern w:val="0"/>
                <w:sz w:val="20"/>
                <w:szCs w:val="20"/>
              </w:rPr>
              <w:t>条</w:t>
            </w:r>
            <w:r>
              <w:rPr>
                <w:rFonts w:hint="eastAsia" w:ascii="仿宋_GB2312" w:hAnsi="宋体" w:cs="宋体"/>
                <w:kern w:val="0"/>
                <w:sz w:val="20"/>
                <w:szCs w:val="20"/>
                <w:lang w:eastAsia="zh-CN"/>
              </w:rPr>
              <w:t>、</w:t>
            </w:r>
            <w:r>
              <w:rPr>
                <w:rFonts w:hint="eastAsia" w:ascii="仿宋_GB2312" w:hAnsi="宋体" w:cs="宋体"/>
                <w:kern w:val="0"/>
                <w:sz w:val="20"/>
                <w:szCs w:val="20"/>
              </w:rPr>
              <w:t>第5.6</w:t>
            </w:r>
            <w:r>
              <w:rPr>
                <w:rFonts w:hint="eastAsia" w:ascii="仿宋_GB2312" w:hAnsi="宋体" w:cs="宋体"/>
                <w:kern w:val="0"/>
                <w:sz w:val="20"/>
                <w:szCs w:val="20"/>
                <w:lang w:val="en-US" w:eastAsia="zh-CN"/>
              </w:rPr>
              <w:t>.2</w:t>
            </w:r>
            <w:r>
              <w:rPr>
                <w:rFonts w:hint="eastAsia" w:ascii="仿宋_GB2312" w:hAnsi="宋体" w:cs="宋体"/>
                <w:kern w:val="0"/>
                <w:sz w:val="20"/>
                <w:szCs w:val="20"/>
              </w:rPr>
              <w:t>条</w:t>
            </w:r>
            <w:r>
              <w:rPr>
                <w:rFonts w:hint="eastAsia" w:ascii="仿宋_GB2312" w:hAnsi="宋体" w:cs="宋体"/>
                <w:kern w:val="0"/>
                <w:sz w:val="20"/>
                <w:szCs w:val="20"/>
                <w:lang w:eastAsia="zh-CN"/>
              </w:rPr>
              <w:t>、</w:t>
            </w:r>
            <w:r>
              <w:rPr>
                <w:rFonts w:hint="eastAsia" w:ascii="仿宋_GB2312" w:hAnsi="宋体" w:cs="宋体"/>
                <w:kern w:val="0"/>
                <w:sz w:val="20"/>
                <w:szCs w:val="20"/>
              </w:rPr>
              <w:t>第5.6</w:t>
            </w:r>
            <w:r>
              <w:rPr>
                <w:rFonts w:hint="eastAsia" w:ascii="仿宋_GB2312" w:hAnsi="宋体" w:cs="宋体"/>
                <w:kern w:val="0"/>
                <w:sz w:val="20"/>
                <w:szCs w:val="20"/>
                <w:lang w:val="en-US" w:eastAsia="zh-CN"/>
              </w:rPr>
              <w:t>.3</w:t>
            </w:r>
            <w:r>
              <w:rPr>
                <w:rFonts w:hint="eastAsia" w:ascii="仿宋_GB2312" w:hAnsi="宋体" w:cs="宋体"/>
                <w:kern w:val="0"/>
                <w:sz w:val="20"/>
                <w:szCs w:val="20"/>
              </w:rPr>
              <w:t>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12.3.02.092</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人员类</w:t>
            </w:r>
          </w:p>
        </w:tc>
        <w:tc>
          <w:tcPr>
            <w:tcW w:w="371"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操作行为类</w:t>
            </w:r>
          </w:p>
        </w:tc>
        <w:tc>
          <w:tcPr>
            <w:tcW w:w="1038" w:type="pct"/>
            <w:vAlign w:val="center"/>
          </w:tcPr>
          <w:p>
            <w:pPr>
              <w:widowControl/>
              <w:adjustRightInd w:val="0"/>
              <w:snapToGrid w:val="0"/>
              <w:spacing w:after="0" w:line="240" w:lineRule="auto"/>
              <w:jc w:val="left"/>
              <w:rPr>
                <w:rFonts w:hint="eastAsia" w:ascii="仿宋_GB2312" w:hAnsi="等线" w:cs="宋体"/>
                <w:kern w:val="0"/>
                <w:sz w:val="20"/>
                <w:szCs w:val="20"/>
              </w:rPr>
            </w:pPr>
            <w:r>
              <w:rPr>
                <w:rFonts w:hint="eastAsia" w:ascii="仿宋_GB2312" w:hAnsi="等线" w:cs="宋体"/>
                <w:kern w:val="0"/>
                <w:sz w:val="20"/>
                <w:szCs w:val="20"/>
              </w:rPr>
              <w:t>岗位操作人员未按要求对生产装置进行巡检,涉及“两重点一重大”的装置未每小时巡检一次。</w:t>
            </w:r>
          </w:p>
        </w:tc>
        <w:tc>
          <w:tcPr>
            <w:tcW w:w="1397"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等线" w:cs="宋体"/>
                <w:kern w:val="0"/>
                <w:sz w:val="20"/>
                <w:szCs w:val="20"/>
              </w:rPr>
              <w:t>岗位操作人员应按要求对生产装置进行巡检,涉及“两重点一重大”的装置应每小时巡检一次。</w:t>
            </w:r>
          </w:p>
        </w:tc>
        <w:tc>
          <w:tcPr>
            <w:tcW w:w="1290"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《化工过程安全管理导则》（AQ/T 3034-2022）第4.9.2.3条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12.3.02.093</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人员类</w:t>
            </w:r>
          </w:p>
        </w:tc>
        <w:tc>
          <w:tcPr>
            <w:tcW w:w="371"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操作行为类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等线" w:cs="宋体"/>
                <w:kern w:val="0"/>
                <w:sz w:val="20"/>
                <w:szCs w:val="20"/>
              </w:rPr>
              <w:t>异常工况现场处置时，同一装置区内超过6人或无关人员进入处置现场。涉及高危工艺和工艺危险度4级及以上的其他危险化工工艺的精细化工厂房(含装置)内同一时间现场人员超过2人。</w:t>
            </w:r>
          </w:p>
        </w:tc>
        <w:tc>
          <w:tcPr>
            <w:tcW w:w="1397"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等线" w:cs="宋体"/>
                <w:kern w:val="0"/>
                <w:sz w:val="20"/>
                <w:szCs w:val="20"/>
              </w:rPr>
              <w:t>异常工况现场处置时，同一装置区内</w:t>
            </w:r>
            <w:r>
              <w:rPr>
                <w:rFonts w:hint="eastAsia" w:ascii="仿宋_GB2312" w:hAnsi="等线" w:cs="宋体"/>
                <w:kern w:val="0"/>
                <w:sz w:val="20"/>
                <w:szCs w:val="20"/>
                <w:lang w:val="en-US" w:eastAsia="zh-CN"/>
              </w:rPr>
              <w:t>不应</w:t>
            </w:r>
            <w:r>
              <w:rPr>
                <w:rFonts w:hint="eastAsia" w:ascii="仿宋_GB2312" w:hAnsi="等线" w:cs="宋体"/>
                <w:kern w:val="0"/>
                <w:sz w:val="20"/>
                <w:szCs w:val="20"/>
              </w:rPr>
              <w:t>超过6人</w:t>
            </w:r>
            <w:r>
              <w:rPr>
                <w:rFonts w:hint="eastAsia" w:ascii="仿宋_GB2312" w:hAnsi="等线" w:cs="宋体"/>
                <w:kern w:val="0"/>
                <w:sz w:val="20"/>
                <w:szCs w:val="20"/>
                <w:lang w:eastAsia="zh-CN"/>
              </w:rPr>
              <w:t>，</w:t>
            </w:r>
            <w:r>
              <w:rPr>
                <w:rFonts w:hint="eastAsia" w:ascii="仿宋_GB2312" w:hAnsi="等线" w:cs="宋体"/>
                <w:kern w:val="0"/>
                <w:sz w:val="20"/>
                <w:szCs w:val="20"/>
                <w:lang w:val="en-US" w:eastAsia="zh-CN"/>
              </w:rPr>
              <w:t>不得有</w:t>
            </w:r>
            <w:r>
              <w:rPr>
                <w:rFonts w:hint="eastAsia" w:ascii="仿宋_GB2312" w:hAnsi="等线" w:cs="宋体"/>
                <w:kern w:val="0"/>
                <w:sz w:val="20"/>
                <w:szCs w:val="20"/>
              </w:rPr>
              <w:t>无关人员进入处置现场。涉及高危工艺和工艺危险度4级及以上的其他危险化工工艺的精细化工厂房(含装置)内同一时间现场人员</w:t>
            </w:r>
            <w:r>
              <w:rPr>
                <w:rFonts w:hint="eastAsia" w:ascii="仿宋_GB2312" w:hAnsi="等线" w:cs="宋体"/>
                <w:kern w:val="0"/>
                <w:sz w:val="20"/>
                <w:szCs w:val="20"/>
                <w:lang w:val="en-US" w:eastAsia="zh-CN"/>
              </w:rPr>
              <w:t>不得</w:t>
            </w:r>
            <w:r>
              <w:rPr>
                <w:rFonts w:hint="eastAsia" w:ascii="仿宋_GB2312" w:hAnsi="等线" w:cs="宋体"/>
                <w:kern w:val="0"/>
                <w:sz w:val="20"/>
                <w:szCs w:val="20"/>
              </w:rPr>
              <w:t>超过2人。</w:t>
            </w:r>
          </w:p>
        </w:tc>
        <w:tc>
          <w:tcPr>
            <w:tcW w:w="3598" w:type="dxa"/>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lang w:eastAsia="zh-CN"/>
              </w:rPr>
              <w:t>《化工和危险化学品生产经营企业重大生产安全事故隐患判定准则》（AQ 3067-2026）</w:t>
            </w:r>
            <w:r>
              <w:rPr>
                <w:rFonts w:hint="eastAsia" w:ascii="仿宋_GB2312" w:hAnsi="宋体" w:cs="宋体"/>
                <w:kern w:val="0"/>
                <w:sz w:val="20"/>
                <w:szCs w:val="20"/>
              </w:rPr>
              <w:t>第5.</w:t>
            </w:r>
            <w:r>
              <w:rPr>
                <w:rFonts w:hint="eastAsia" w:ascii="仿宋_GB2312" w:hAnsi="宋体" w:cs="宋体"/>
                <w:kern w:val="0"/>
                <w:sz w:val="20"/>
                <w:szCs w:val="20"/>
                <w:lang w:val="en-US" w:eastAsia="zh-CN"/>
              </w:rPr>
              <w:t>7</w:t>
            </w:r>
            <w:r>
              <w:rPr>
                <w:rFonts w:hint="eastAsia" w:ascii="仿宋_GB2312" w:hAnsi="宋体" w:cs="宋体"/>
                <w:kern w:val="0"/>
                <w:sz w:val="20"/>
                <w:szCs w:val="20"/>
              </w:rPr>
              <w:t>.</w:t>
            </w:r>
            <w:r>
              <w:rPr>
                <w:rFonts w:hint="eastAsia" w:ascii="仿宋_GB2312" w:hAnsi="宋体" w:cs="宋体"/>
                <w:kern w:val="0"/>
                <w:sz w:val="20"/>
                <w:szCs w:val="20"/>
                <w:lang w:val="en-US" w:eastAsia="zh-CN"/>
              </w:rPr>
              <w:t>4</w:t>
            </w:r>
            <w:r>
              <w:rPr>
                <w:rFonts w:hint="eastAsia" w:ascii="仿宋_GB2312" w:hAnsi="宋体" w:cs="宋体"/>
                <w:kern w:val="0"/>
                <w:sz w:val="20"/>
                <w:szCs w:val="20"/>
              </w:rPr>
              <w:t>条</w:t>
            </w:r>
          </w:p>
        </w:tc>
        <w:tc>
          <w:tcPr>
            <w:tcW w:w="509" w:type="dxa"/>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12.3.02.094</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人员类</w:t>
            </w:r>
          </w:p>
        </w:tc>
        <w:tc>
          <w:tcPr>
            <w:tcW w:w="371"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操作行为类</w:t>
            </w:r>
          </w:p>
        </w:tc>
        <w:tc>
          <w:tcPr>
            <w:tcW w:w="1038" w:type="pct"/>
            <w:vAlign w:val="center"/>
          </w:tcPr>
          <w:p>
            <w:pPr>
              <w:widowControl/>
              <w:adjustRightInd w:val="0"/>
              <w:snapToGrid w:val="0"/>
              <w:spacing w:after="0" w:line="240" w:lineRule="auto"/>
              <w:jc w:val="left"/>
              <w:rPr>
                <w:rFonts w:hint="eastAsia" w:ascii="仿宋_GB2312" w:hAnsiTheme="minorEastAsia"/>
                <w:sz w:val="20"/>
                <w:szCs w:val="20"/>
                <w:lang w:bidi="ar"/>
              </w:rPr>
            </w:pPr>
            <w:r>
              <w:rPr>
                <w:rFonts w:hint="eastAsia" w:ascii="仿宋_GB2312" w:hAnsiTheme="minorEastAsia"/>
                <w:sz w:val="20"/>
                <w:szCs w:val="20"/>
                <w:lang w:bidi="ar"/>
              </w:rPr>
              <w:t>未按照操作规程即时响应和处置重要工艺报警或气体检测报警。</w:t>
            </w:r>
          </w:p>
        </w:tc>
        <w:tc>
          <w:tcPr>
            <w:tcW w:w="1397"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Theme="minorEastAsia"/>
                <w:sz w:val="20"/>
                <w:szCs w:val="20"/>
                <w:lang w:bidi="ar"/>
              </w:rPr>
              <w:t>应按照操作规程即时响应和处置重要工艺报警或气体检测报警。</w:t>
            </w:r>
          </w:p>
        </w:tc>
        <w:tc>
          <w:tcPr>
            <w:tcW w:w="1290" w:type="pct"/>
            <w:vAlign w:val="center"/>
          </w:tcPr>
          <w:p>
            <w:pPr>
              <w:widowControl/>
              <w:adjustRightInd w:val="0"/>
              <w:snapToGrid w:val="0"/>
              <w:spacing w:after="0" w:line="240" w:lineRule="auto"/>
              <w:jc w:val="left"/>
              <w:rPr>
                <w:rFonts w:hint="eastAsia" w:ascii="仿宋_GB2312" w:hAnsi="等线" w:cs="宋体"/>
                <w:kern w:val="0"/>
                <w:sz w:val="20"/>
                <w:szCs w:val="20"/>
              </w:rPr>
            </w:pPr>
            <w:r>
              <w:rPr>
                <w:rFonts w:hint="eastAsia" w:ascii="仿宋_GB2312" w:hAnsi="宋体" w:cs="宋体"/>
                <w:kern w:val="0"/>
                <w:sz w:val="20"/>
                <w:szCs w:val="20"/>
                <w:lang w:eastAsia="zh-CN"/>
              </w:rPr>
              <w:t>《化工和危险化学品生产经营企业重大生产安全事故隐患判定准则》（AQ 3067-2026）</w:t>
            </w:r>
            <w:r>
              <w:rPr>
                <w:rFonts w:hint="eastAsia" w:ascii="仿宋_GB2312" w:hAnsi="宋体" w:cs="宋体"/>
                <w:kern w:val="0"/>
                <w:sz w:val="20"/>
                <w:szCs w:val="20"/>
              </w:rPr>
              <w:t>第5.5.2条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12.3.02.095</w:t>
            </w:r>
          </w:p>
        </w:tc>
        <w:tc>
          <w:tcPr>
            <w:tcW w:w="383" w:type="pct"/>
            <w:vAlign w:val="center"/>
          </w:tcPr>
          <w:p>
            <w:pPr>
              <w:widowControl/>
              <w:adjustRightInd w:val="0"/>
              <w:snapToGrid w:val="0"/>
              <w:spacing w:after="0" w:line="240" w:lineRule="auto"/>
              <w:jc w:val="center"/>
              <w:rPr>
                <w:rFonts w:hint="eastAsia" w:ascii="仿宋_GB2312" w:hAnsiTheme="minorEastAsia"/>
                <w:sz w:val="20"/>
                <w:szCs w:val="20"/>
                <w:lang w:bidi="ar"/>
              </w:rPr>
            </w:pPr>
            <w:r>
              <w:rPr>
                <w:rFonts w:hint="eastAsia" w:ascii="仿宋_GB2312" w:hAnsi="宋体" w:cs="宋体"/>
                <w:kern w:val="0"/>
                <w:sz w:val="20"/>
                <w:szCs w:val="20"/>
              </w:rPr>
              <w:t>人员类</w:t>
            </w:r>
          </w:p>
        </w:tc>
        <w:tc>
          <w:tcPr>
            <w:tcW w:w="371" w:type="pct"/>
            <w:vAlign w:val="center"/>
          </w:tcPr>
          <w:p>
            <w:pPr>
              <w:widowControl/>
              <w:adjustRightInd w:val="0"/>
              <w:snapToGrid w:val="0"/>
              <w:spacing w:after="0" w:line="240" w:lineRule="auto"/>
              <w:jc w:val="center"/>
              <w:rPr>
                <w:rFonts w:hint="eastAsia" w:ascii="仿宋_GB2312" w:hAnsiTheme="minorEastAsia"/>
                <w:sz w:val="20"/>
                <w:szCs w:val="20"/>
                <w:lang w:bidi="ar"/>
              </w:rPr>
            </w:pPr>
            <w:r>
              <w:rPr>
                <w:rFonts w:hint="eastAsia" w:ascii="仿宋_GB2312" w:hAnsi="宋体" w:cs="宋体"/>
                <w:kern w:val="0"/>
                <w:sz w:val="20"/>
                <w:szCs w:val="20"/>
              </w:rPr>
              <w:t>操作行为类</w:t>
            </w:r>
          </w:p>
        </w:tc>
        <w:tc>
          <w:tcPr>
            <w:tcW w:w="1038" w:type="pct"/>
            <w:vAlign w:val="center"/>
          </w:tcPr>
          <w:p>
            <w:pPr>
              <w:widowControl/>
              <w:adjustRightInd w:val="0"/>
              <w:snapToGrid w:val="0"/>
              <w:spacing w:after="0" w:line="240" w:lineRule="auto"/>
              <w:jc w:val="left"/>
              <w:rPr>
                <w:rFonts w:hint="eastAsia" w:ascii="仿宋_GB2312" w:hAnsiTheme="minorEastAsia"/>
                <w:sz w:val="20"/>
                <w:szCs w:val="20"/>
                <w:lang w:bidi="ar"/>
              </w:rPr>
            </w:pPr>
            <w:r>
              <w:rPr>
                <w:rFonts w:hint="eastAsia" w:ascii="仿宋_GB2312" w:hAnsiTheme="minorEastAsia"/>
                <w:sz w:val="20"/>
                <w:szCs w:val="20"/>
                <w:lang w:bidi="ar"/>
              </w:rPr>
              <w:t>涉及重点监管的危险化工工艺生产装置、构成重大危险源的生产装置</w:t>
            </w:r>
            <w:r>
              <w:rPr>
                <w:rFonts w:hint="eastAsia" w:ascii="仿宋_GB2312" w:hAnsiTheme="minorEastAsia"/>
                <w:sz w:val="20"/>
                <w:szCs w:val="20"/>
                <w:lang w:val="en-US" w:eastAsia="zh-CN" w:bidi="ar"/>
              </w:rPr>
              <w:t>或</w:t>
            </w:r>
            <w:r>
              <w:rPr>
                <w:rFonts w:hint="eastAsia" w:ascii="仿宋_GB2312" w:hAnsiTheme="minorEastAsia"/>
                <w:sz w:val="20"/>
                <w:szCs w:val="20"/>
                <w:lang w:bidi="ar"/>
              </w:rPr>
              <w:t>储存设施的安全联锁摘除未履行审批手续或摘除后的联锁未按审批要求恢复；涉及物料发生热分解失控风险的生产装置、储存设施的控制、联锁设施未投入使用或功能失效。</w:t>
            </w:r>
          </w:p>
        </w:tc>
        <w:tc>
          <w:tcPr>
            <w:tcW w:w="1397"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Theme="minorEastAsia"/>
                <w:sz w:val="20"/>
                <w:szCs w:val="20"/>
                <w:lang w:bidi="ar"/>
              </w:rPr>
              <w:t>涉及重点监管的危险化工工艺生产装置、构成重大危险源的生产装置</w:t>
            </w:r>
            <w:r>
              <w:rPr>
                <w:rFonts w:hint="eastAsia" w:ascii="仿宋_GB2312" w:hAnsiTheme="minorEastAsia"/>
                <w:sz w:val="20"/>
                <w:szCs w:val="20"/>
                <w:lang w:val="en-US" w:eastAsia="zh-CN" w:bidi="ar"/>
              </w:rPr>
              <w:t>或</w:t>
            </w:r>
            <w:r>
              <w:rPr>
                <w:rFonts w:hint="eastAsia" w:ascii="仿宋_GB2312" w:hAnsiTheme="minorEastAsia"/>
                <w:sz w:val="20"/>
                <w:szCs w:val="20"/>
                <w:lang w:bidi="ar"/>
              </w:rPr>
              <w:t>储存设施的安全联锁摘除应履行审批手续或摘除后的联锁按审批要求恢复；涉及物料发生热分解失控风险的生产装置、储存设施的控制、联锁设施应投入使用并功能正常。</w:t>
            </w:r>
          </w:p>
        </w:tc>
        <w:tc>
          <w:tcPr>
            <w:tcW w:w="1290" w:type="pct"/>
            <w:vAlign w:val="center"/>
          </w:tcPr>
          <w:p>
            <w:pPr>
              <w:widowControl/>
              <w:adjustRightInd w:val="0"/>
              <w:snapToGrid w:val="0"/>
              <w:spacing w:after="0" w:line="240" w:lineRule="auto"/>
              <w:jc w:val="left"/>
              <w:rPr>
                <w:rFonts w:hint="eastAsia" w:ascii="仿宋_GB2312" w:hAnsi="等线" w:cs="宋体"/>
                <w:kern w:val="0"/>
                <w:sz w:val="20"/>
                <w:szCs w:val="20"/>
              </w:rPr>
            </w:pPr>
            <w:r>
              <w:rPr>
                <w:rFonts w:hint="eastAsia" w:ascii="仿宋_GB2312" w:hAnsi="宋体" w:cs="宋体"/>
                <w:kern w:val="0"/>
                <w:sz w:val="20"/>
                <w:szCs w:val="20"/>
                <w:lang w:eastAsia="zh-CN"/>
              </w:rPr>
              <w:t>《化工和危险化学品生产经营企业重大生产安全事故隐患判定准则》（AQ 3067-2026）</w:t>
            </w:r>
            <w:r>
              <w:rPr>
                <w:rFonts w:hint="eastAsia" w:ascii="仿宋_GB2312" w:hAnsi="宋体" w:cs="宋体"/>
                <w:kern w:val="0"/>
                <w:sz w:val="20"/>
                <w:szCs w:val="20"/>
              </w:rPr>
              <w:t>第5.5.7条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12.3.02.096</w:t>
            </w:r>
          </w:p>
        </w:tc>
        <w:tc>
          <w:tcPr>
            <w:tcW w:w="383" w:type="pct"/>
            <w:shd w:val="clear" w:color="auto" w:fill="FFFFFF"/>
            <w:vAlign w:val="center"/>
          </w:tcPr>
          <w:p>
            <w:pPr>
              <w:widowControl/>
              <w:adjustRightInd w:val="0"/>
              <w:snapToGrid w:val="0"/>
              <w:spacing w:after="0" w:line="240" w:lineRule="auto"/>
              <w:jc w:val="center"/>
              <w:rPr>
                <w:rFonts w:hint="eastAsia" w:ascii="仿宋_GB2312" w:hAnsi="宋体" w:cs="宋体"/>
                <w:kern w:val="0"/>
                <w:sz w:val="20"/>
                <w:szCs w:val="20"/>
                <w:lang w:eastAsia="zh-TW"/>
              </w:rPr>
            </w:pPr>
            <w:r>
              <w:rPr>
                <w:rFonts w:hint="eastAsia" w:ascii="仿宋_GB2312" w:hAnsi="宋体" w:cs="宋体"/>
                <w:kern w:val="0"/>
                <w:sz w:val="20"/>
                <w:szCs w:val="20"/>
              </w:rPr>
              <w:t>人员类</w:t>
            </w:r>
          </w:p>
        </w:tc>
        <w:tc>
          <w:tcPr>
            <w:tcW w:w="371" w:type="pct"/>
            <w:shd w:val="clear" w:color="auto" w:fill="FFFFFF"/>
            <w:vAlign w:val="center"/>
          </w:tcPr>
          <w:p>
            <w:pPr>
              <w:widowControl/>
              <w:adjustRightInd w:val="0"/>
              <w:snapToGrid w:val="0"/>
              <w:spacing w:after="0" w:line="240" w:lineRule="auto"/>
              <w:jc w:val="center"/>
              <w:rPr>
                <w:rFonts w:hint="eastAsia" w:ascii="仿宋_GB2312" w:hAnsi="宋体" w:cs="宋体"/>
                <w:kern w:val="0"/>
                <w:sz w:val="20"/>
                <w:szCs w:val="20"/>
                <w:lang w:eastAsia="zh-TW"/>
              </w:rPr>
            </w:pPr>
            <w:r>
              <w:rPr>
                <w:rFonts w:hint="eastAsia" w:ascii="仿宋_GB2312" w:hAnsi="宋体" w:cs="宋体"/>
                <w:kern w:val="0"/>
                <w:sz w:val="20"/>
                <w:szCs w:val="20"/>
              </w:rPr>
              <w:t>操作行为类</w:t>
            </w:r>
          </w:p>
        </w:tc>
        <w:tc>
          <w:tcPr>
            <w:tcW w:w="1038" w:type="pct"/>
            <w:shd w:val="clear" w:color="auto" w:fill="FFFFFF"/>
            <w:vAlign w:val="center"/>
          </w:tcPr>
          <w:p>
            <w:pPr>
              <w:widowControl/>
              <w:adjustRightInd w:val="0"/>
              <w:snapToGrid w:val="0"/>
              <w:spacing w:after="0" w:line="240" w:lineRule="auto"/>
              <w:jc w:val="left"/>
              <w:rPr>
                <w:rFonts w:hint="eastAsia" w:ascii="仿宋_GB2312" w:hAnsiTheme="minorEastAsia"/>
                <w:sz w:val="20"/>
                <w:szCs w:val="20"/>
                <w:lang w:bidi="ar"/>
              </w:rPr>
            </w:pPr>
            <w:r>
              <w:rPr>
                <w:rFonts w:hint="eastAsia" w:ascii="仿宋_GB2312" w:hAnsiTheme="minorEastAsia"/>
                <w:sz w:val="20"/>
                <w:szCs w:val="20"/>
                <w:lang w:bidi="ar"/>
              </w:rPr>
              <w:t>危险化学品储存场所所在单位未在储存场所的显著位置张贴或悬挂操作规程和现场处置方案。</w:t>
            </w:r>
          </w:p>
        </w:tc>
        <w:tc>
          <w:tcPr>
            <w:tcW w:w="1397" w:type="pct"/>
            <w:shd w:val="clear" w:color="auto" w:fill="FFFFFF"/>
            <w:vAlign w:val="center"/>
          </w:tcPr>
          <w:p>
            <w:pPr>
              <w:widowControl/>
              <w:adjustRightInd w:val="0"/>
              <w:snapToGrid w:val="0"/>
              <w:spacing w:after="0" w:line="240" w:lineRule="auto"/>
              <w:jc w:val="left"/>
              <w:rPr>
                <w:rFonts w:hint="eastAsia" w:ascii="仿宋_GB2312" w:hAnsi="等线" w:cs="宋体"/>
                <w:kern w:val="0"/>
                <w:sz w:val="20"/>
                <w:szCs w:val="20"/>
              </w:rPr>
            </w:pPr>
            <w:r>
              <w:rPr>
                <w:rFonts w:hint="eastAsia" w:ascii="仿宋_GB2312" w:hAnsi="等线" w:cs="宋体"/>
                <w:kern w:val="0"/>
                <w:sz w:val="20"/>
                <w:szCs w:val="20"/>
              </w:rPr>
              <w:t>储存场所所在单位应在储存场所的显著位置张贴或悬挂操作规程和现场处置方案。</w:t>
            </w:r>
          </w:p>
        </w:tc>
        <w:tc>
          <w:tcPr>
            <w:tcW w:w="1290" w:type="pct"/>
            <w:shd w:val="clear" w:color="auto" w:fill="FFFFFF"/>
            <w:vAlign w:val="center"/>
          </w:tcPr>
          <w:p>
            <w:pPr>
              <w:widowControl/>
              <w:adjustRightInd w:val="0"/>
              <w:snapToGrid w:val="0"/>
              <w:spacing w:after="0" w:line="240" w:lineRule="auto"/>
              <w:jc w:val="left"/>
              <w:rPr>
                <w:rFonts w:hint="eastAsia" w:ascii="仿宋_GB2312" w:hAnsi="等线" w:cs="宋体"/>
                <w:kern w:val="0"/>
                <w:sz w:val="20"/>
                <w:szCs w:val="20"/>
              </w:rPr>
            </w:pPr>
            <w:r>
              <w:rPr>
                <w:rFonts w:hint="eastAsia" w:ascii="仿宋_GB2312" w:hAnsi="等线" w:cs="宋体"/>
                <w:kern w:val="0"/>
                <w:sz w:val="20"/>
                <w:szCs w:val="20"/>
              </w:rPr>
              <w:t>《危险化学品储存场所建设及储存安全要求》（DB11/T 755）第5.1.2.5条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12.3.02.097</w:t>
            </w:r>
          </w:p>
        </w:tc>
        <w:tc>
          <w:tcPr>
            <w:tcW w:w="383" w:type="pct"/>
            <w:shd w:val="clear" w:color="auto" w:fill="FFFFFF"/>
            <w:vAlign w:val="center"/>
          </w:tcPr>
          <w:p>
            <w:pPr>
              <w:widowControl/>
              <w:adjustRightInd w:val="0"/>
              <w:snapToGrid w:val="0"/>
              <w:spacing w:after="0" w:line="240" w:lineRule="auto"/>
              <w:jc w:val="center"/>
              <w:rPr>
                <w:rFonts w:hint="eastAsia" w:ascii="仿宋_GB2312" w:hAnsi="宋体" w:cs="宋体"/>
                <w:kern w:val="0"/>
                <w:sz w:val="20"/>
                <w:szCs w:val="20"/>
                <w:lang w:eastAsia="zh-TW"/>
              </w:rPr>
            </w:pPr>
            <w:r>
              <w:rPr>
                <w:rFonts w:hint="eastAsia" w:ascii="仿宋_GB2312" w:hAnsi="宋体" w:cs="宋体"/>
                <w:kern w:val="0"/>
                <w:sz w:val="20"/>
                <w:szCs w:val="20"/>
              </w:rPr>
              <w:t>人员类</w:t>
            </w:r>
          </w:p>
        </w:tc>
        <w:tc>
          <w:tcPr>
            <w:tcW w:w="371" w:type="pct"/>
            <w:shd w:val="clear" w:color="auto" w:fill="FFFFFF"/>
            <w:vAlign w:val="center"/>
          </w:tcPr>
          <w:p>
            <w:pPr>
              <w:widowControl/>
              <w:adjustRightInd w:val="0"/>
              <w:snapToGrid w:val="0"/>
              <w:spacing w:after="0" w:line="240" w:lineRule="auto"/>
              <w:jc w:val="center"/>
              <w:rPr>
                <w:rFonts w:hint="eastAsia" w:ascii="仿宋_GB2312" w:hAnsi="宋体" w:cs="宋体"/>
                <w:kern w:val="0"/>
                <w:sz w:val="20"/>
                <w:szCs w:val="20"/>
                <w:lang w:eastAsia="zh-TW"/>
              </w:rPr>
            </w:pPr>
            <w:r>
              <w:rPr>
                <w:rFonts w:hint="eastAsia" w:ascii="仿宋_GB2312" w:hAnsi="宋体" w:cs="宋体"/>
                <w:kern w:val="0"/>
                <w:sz w:val="20"/>
                <w:szCs w:val="20"/>
              </w:rPr>
              <w:t>操作行为类</w:t>
            </w:r>
          </w:p>
        </w:tc>
        <w:tc>
          <w:tcPr>
            <w:tcW w:w="1038" w:type="pct"/>
            <w:shd w:val="clear" w:color="auto" w:fill="FFFFFF"/>
            <w:vAlign w:val="center"/>
          </w:tcPr>
          <w:p>
            <w:pPr>
              <w:widowControl/>
              <w:adjustRightInd w:val="0"/>
              <w:snapToGrid w:val="0"/>
              <w:spacing w:after="0" w:line="240" w:lineRule="auto"/>
              <w:jc w:val="left"/>
              <w:rPr>
                <w:rFonts w:hint="eastAsia" w:ascii="仿宋_GB2312" w:hAnsiTheme="minorEastAsia"/>
                <w:sz w:val="20"/>
                <w:szCs w:val="20"/>
                <w:lang w:bidi="ar"/>
              </w:rPr>
            </w:pPr>
            <w:r>
              <w:rPr>
                <w:rFonts w:hint="eastAsia" w:ascii="仿宋_GB2312" w:hAnsiTheme="minorEastAsia"/>
                <w:sz w:val="20"/>
                <w:szCs w:val="20"/>
                <w:lang w:bidi="ar"/>
              </w:rPr>
              <w:t>野蛮装卸、搬运危险化学品。</w:t>
            </w:r>
          </w:p>
        </w:tc>
        <w:tc>
          <w:tcPr>
            <w:tcW w:w="1397" w:type="pct"/>
            <w:shd w:val="clear" w:color="auto" w:fill="FFFFFF"/>
            <w:vAlign w:val="center"/>
          </w:tcPr>
          <w:p>
            <w:pPr>
              <w:widowControl/>
              <w:adjustRightInd w:val="0"/>
              <w:snapToGrid w:val="0"/>
              <w:spacing w:after="0" w:line="240" w:lineRule="auto"/>
              <w:jc w:val="left"/>
              <w:rPr>
                <w:rFonts w:hint="eastAsia" w:ascii="仿宋_GB2312" w:hAnsi="等线" w:cs="宋体"/>
                <w:kern w:val="0"/>
                <w:sz w:val="20"/>
                <w:szCs w:val="20"/>
              </w:rPr>
            </w:pPr>
            <w:r>
              <w:rPr>
                <w:rFonts w:hint="eastAsia" w:ascii="仿宋_GB2312" w:hAnsi="等线" w:cs="宋体"/>
                <w:kern w:val="0"/>
                <w:sz w:val="20"/>
                <w:szCs w:val="20"/>
              </w:rPr>
              <w:t>装卸、搬运危险化学品时应轻装、轻卸，不应摔、碰、撞击、拖拉、摩擦、倾倒和滚动。</w:t>
            </w:r>
          </w:p>
        </w:tc>
        <w:tc>
          <w:tcPr>
            <w:tcW w:w="1290" w:type="pct"/>
            <w:shd w:val="clear" w:color="auto" w:fill="FFFFFF"/>
            <w:vAlign w:val="center"/>
          </w:tcPr>
          <w:p>
            <w:pPr>
              <w:widowControl/>
              <w:adjustRightInd w:val="0"/>
              <w:snapToGrid w:val="0"/>
              <w:spacing w:after="0" w:line="240" w:lineRule="auto"/>
              <w:jc w:val="left"/>
              <w:rPr>
                <w:rFonts w:hint="eastAsia" w:ascii="仿宋_GB2312" w:hAnsi="等线" w:cs="宋体"/>
                <w:kern w:val="0"/>
                <w:sz w:val="20"/>
                <w:szCs w:val="20"/>
              </w:rPr>
            </w:pPr>
            <w:r>
              <w:rPr>
                <w:rFonts w:hint="eastAsia" w:ascii="仿宋_GB2312" w:hAnsi="等线" w:cs="宋体"/>
                <w:kern w:val="0"/>
                <w:sz w:val="20"/>
                <w:szCs w:val="20"/>
              </w:rPr>
              <w:t>《危险化学品储存场所建设及储存安全要求》（DB11/T 755）第5.1.2.11条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12.3.02.098</w:t>
            </w:r>
          </w:p>
        </w:tc>
        <w:tc>
          <w:tcPr>
            <w:tcW w:w="383" w:type="pct"/>
            <w:shd w:val="clear" w:color="auto" w:fill="FFFFFF"/>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人员类</w:t>
            </w:r>
          </w:p>
        </w:tc>
        <w:tc>
          <w:tcPr>
            <w:tcW w:w="371" w:type="pct"/>
            <w:shd w:val="clear" w:color="auto" w:fill="FFFFFF"/>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操作行为类</w:t>
            </w:r>
          </w:p>
        </w:tc>
        <w:tc>
          <w:tcPr>
            <w:tcW w:w="1038" w:type="pct"/>
            <w:shd w:val="clear" w:color="auto" w:fill="FFFFFF"/>
            <w:vAlign w:val="center"/>
          </w:tcPr>
          <w:p>
            <w:pPr>
              <w:widowControl/>
              <w:adjustRightInd w:val="0"/>
              <w:snapToGrid w:val="0"/>
              <w:spacing w:after="0" w:line="240" w:lineRule="auto"/>
              <w:jc w:val="left"/>
              <w:rPr>
                <w:rFonts w:hint="eastAsia" w:ascii="仿宋_GB2312" w:hAnsiTheme="minorEastAsia"/>
                <w:sz w:val="20"/>
                <w:szCs w:val="20"/>
                <w:lang w:bidi="ar"/>
              </w:rPr>
            </w:pPr>
            <w:r>
              <w:rPr>
                <w:rFonts w:hint="eastAsia" w:ascii="仿宋_GB2312" w:hAnsiTheme="minorEastAsia"/>
                <w:sz w:val="20"/>
                <w:szCs w:val="20"/>
                <w:lang w:bidi="ar"/>
              </w:rPr>
              <w:t>搬运、装卸易燃易爆气瓶使用非防爆工具，未采取消除静电或避免产生火花的措施。</w:t>
            </w:r>
          </w:p>
        </w:tc>
        <w:tc>
          <w:tcPr>
            <w:tcW w:w="1397" w:type="pct"/>
            <w:shd w:val="clear" w:color="auto" w:fill="FFFFFF"/>
            <w:vAlign w:val="center"/>
          </w:tcPr>
          <w:p>
            <w:pPr>
              <w:widowControl/>
              <w:adjustRightInd w:val="0"/>
              <w:snapToGrid w:val="0"/>
              <w:spacing w:after="0" w:line="240" w:lineRule="auto"/>
              <w:jc w:val="left"/>
              <w:rPr>
                <w:rFonts w:hint="eastAsia" w:ascii="仿宋_GB2312" w:hAnsi="等线" w:cs="宋体"/>
                <w:kern w:val="0"/>
                <w:sz w:val="20"/>
                <w:szCs w:val="20"/>
              </w:rPr>
            </w:pPr>
            <w:r>
              <w:rPr>
                <w:rFonts w:hint="eastAsia" w:ascii="仿宋_GB2312" w:hAnsiTheme="minorEastAsia"/>
                <w:sz w:val="20"/>
                <w:szCs w:val="20"/>
                <w:lang w:bidi="ar"/>
              </w:rPr>
              <w:t>搬运、装卸易燃易爆气瓶的机械、工具，应具有防爆、消除静电或避免产生火花的措施。</w:t>
            </w:r>
          </w:p>
        </w:tc>
        <w:tc>
          <w:tcPr>
            <w:tcW w:w="1290" w:type="pct"/>
            <w:shd w:val="clear" w:color="auto" w:fill="FFFFFF"/>
            <w:vAlign w:val="center"/>
          </w:tcPr>
          <w:p>
            <w:pPr>
              <w:widowControl/>
              <w:adjustRightInd w:val="0"/>
              <w:snapToGrid w:val="0"/>
              <w:spacing w:after="0" w:line="240" w:lineRule="auto"/>
              <w:jc w:val="left"/>
              <w:rPr>
                <w:rFonts w:hint="eastAsia" w:ascii="仿宋_GB2312" w:hAnsi="等线" w:cs="宋体"/>
                <w:kern w:val="0"/>
                <w:sz w:val="20"/>
                <w:szCs w:val="20"/>
              </w:rPr>
            </w:pPr>
            <w:r>
              <w:rPr>
                <w:rFonts w:hint="eastAsia" w:ascii="仿宋_GB2312" w:hAnsi="等线" w:cs="宋体"/>
                <w:kern w:val="0"/>
                <w:sz w:val="20"/>
                <w:szCs w:val="20"/>
              </w:rPr>
              <w:t>《气瓶搬运、装卸、储存和使用安全规定》（GB/T</w:t>
            </w:r>
            <w:r>
              <w:rPr>
                <w:rFonts w:hint="default" w:ascii="仿宋_GB2312" w:hAnsi="等线" w:cs="宋体"/>
                <w:kern w:val="0"/>
                <w:sz w:val="20"/>
                <w:szCs w:val="20"/>
                <w:lang w:val="en"/>
              </w:rPr>
              <w:t xml:space="preserve"> </w:t>
            </w:r>
            <w:r>
              <w:rPr>
                <w:rFonts w:hint="eastAsia" w:ascii="仿宋_GB2312" w:hAnsi="等线" w:cs="宋体"/>
                <w:kern w:val="0"/>
                <w:sz w:val="20"/>
                <w:szCs w:val="20"/>
              </w:rPr>
              <w:t>34525-2017）第6.2条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12.3.02.099</w:t>
            </w:r>
          </w:p>
        </w:tc>
        <w:tc>
          <w:tcPr>
            <w:tcW w:w="383" w:type="pct"/>
            <w:shd w:val="clear" w:color="auto" w:fill="FFFFFF"/>
            <w:vAlign w:val="center"/>
          </w:tcPr>
          <w:p>
            <w:pPr>
              <w:widowControl/>
              <w:adjustRightInd w:val="0"/>
              <w:snapToGrid w:val="0"/>
              <w:spacing w:after="0" w:line="240" w:lineRule="auto"/>
              <w:jc w:val="center"/>
              <w:rPr>
                <w:rFonts w:hint="eastAsia" w:ascii="仿宋_GB2312" w:hAnsi="宋体" w:cs="宋体"/>
                <w:kern w:val="0"/>
                <w:sz w:val="20"/>
                <w:szCs w:val="20"/>
                <w:lang w:eastAsia="zh-TW"/>
              </w:rPr>
            </w:pPr>
            <w:r>
              <w:rPr>
                <w:rFonts w:hint="eastAsia" w:ascii="仿宋_GB2312" w:hAnsi="宋体" w:cs="宋体"/>
                <w:kern w:val="0"/>
                <w:sz w:val="20"/>
                <w:szCs w:val="20"/>
              </w:rPr>
              <w:t>人员类</w:t>
            </w:r>
          </w:p>
        </w:tc>
        <w:tc>
          <w:tcPr>
            <w:tcW w:w="371" w:type="pct"/>
            <w:shd w:val="clear" w:color="auto" w:fill="FFFFFF"/>
            <w:vAlign w:val="center"/>
          </w:tcPr>
          <w:p>
            <w:pPr>
              <w:widowControl/>
              <w:adjustRightInd w:val="0"/>
              <w:snapToGrid w:val="0"/>
              <w:spacing w:after="0" w:line="240" w:lineRule="auto"/>
              <w:jc w:val="center"/>
              <w:rPr>
                <w:rFonts w:hint="eastAsia" w:ascii="仿宋_GB2312" w:hAnsi="宋体" w:cs="宋体"/>
                <w:kern w:val="0"/>
                <w:sz w:val="20"/>
                <w:szCs w:val="20"/>
                <w:lang w:eastAsia="zh-TW"/>
              </w:rPr>
            </w:pPr>
            <w:r>
              <w:rPr>
                <w:rFonts w:hint="eastAsia" w:ascii="仿宋_GB2312" w:hAnsi="宋体" w:cs="宋体"/>
                <w:kern w:val="0"/>
                <w:sz w:val="20"/>
                <w:szCs w:val="20"/>
              </w:rPr>
              <w:t>操作行为类</w:t>
            </w:r>
          </w:p>
        </w:tc>
        <w:tc>
          <w:tcPr>
            <w:tcW w:w="1038" w:type="pct"/>
            <w:shd w:val="clear" w:color="auto" w:fill="FFFFFF"/>
            <w:vAlign w:val="center"/>
          </w:tcPr>
          <w:p>
            <w:pPr>
              <w:widowControl/>
              <w:adjustRightInd w:val="0"/>
              <w:snapToGrid w:val="0"/>
              <w:spacing w:after="0" w:line="240" w:lineRule="auto"/>
              <w:jc w:val="left"/>
              <w:rPr>
                <w:rFonts w:hint="eastAsia" w:ascii="仿宋_GB2312" w:hAnsiTheme="minorEastAsia"/>
                <w:sz w:val="20"/>
                <w:szCs w:val="20"/>
                <w:lang w:bidi="ar"/>
              </w:rPr>
            </w:pPr>
            <w:r>
              <w:rPr>
                <w:rFonts w:hint="eastAsia" w:ascii="仿宋_GB2312" w:hAnsiTheme="minorEastAsia"/>
                <w:sz w:val="20"/>
                <w:szCs w:val="20"/>
                <w:lang w:bidi="ar"/>
              </w:rPr>
              <w:t>在储存场所内对危险化学品进行分装、改装和堆积可燃性物品。</w:t>
            </w:r>
          </w:p>
        </w:tc>
        <w:tc>
          <w:tcPr>
            <w:tcW w:w="1397" w:type="pct"/>
            <w:shd w:val="clear" w:color="auto" w:fill="FFFFFF"/>
            <w:vAlign w:val="center"/>
          </w:tcPr>
          <w:p>
            <w:pPr>
              <w:widowControl/>
              <w:adjustRightInd w:val="0"/>
              <w:snapToGrid w:val="0"/>
              <w:spacing w:after="0" w:line="240" w:lineRule="auto"/>
              <w:jc w:val="left"/>
              <w:rPr>
                <w:rFonts w:hint="eastAsia" w:ascii="仿宋_GB2312" w:hAnsi="等线" w:cs="宋体"/>
                <w:kern w:val="0"/>
                <w:sz w:val="20"/>
                <w:szCs w:val="20"/>
              </w:rPr>
            </w:pPr>
            <w:r>
              <w:rPr>
                <w:rFonts w:hint="eastAsia" w:ascii="仿宋_GB2312" w:hAnsi="等线" w:cs="宋体"/>
                <w:kern w:val="0"/>
                <w:sz w:val="20"/>
                <w:szCs w:val="20"/>
              </w:rPr>
              <w:t>不应在储存场所内对危险化学品进行分装、改装和堆积可燃性物品。</w:t>
            </w:r>
          </w:p>
        </w:tc>
        <w:tc>
          <w:tcPr>
            <w:tcW w:w="1290" w:type="pct"/>
            <w:shd w:val="clear" w:color="auto" w:fill="FFFFFF"/>
            <w:vAlign w:val="center"/>
          </w:tcPr>
          <w:p>
            <w:pPr>
              <w:widowControl/>
              <w:adjustRightInd w:val="0"/>
              <w:snapToGrid w:val="0"/>
              <w:spacing w:after="0" w:line="240" w:lineRule="auto"/>
              <w:jc w:val="left"/>
              <w:rPr>
                <w:rFonts w:hint="eastAsia" w:ascii="仿宋_GB2312" w:hAnsi="等线" w:cs="宋体"/>
                <w:kern w:val="0"/>
                <w:sz w:val="20"/>
                <w:szCs w:val="20"/>
              </w:rPr>
            </w:pPr>
            <w:r>
              <w:rPr>
                <w:rFonts w:hint="eastAsia" w:ascii="仿宋_GB2312" w:hAnsi="等线" w:cs="宋体"/>
                <w:kern w:val="0"/>
                <w:sz w:val="20"/>
                <w:szCs w:val="20"/>
              </w:rPr>
              <w:t>《危险化学品储存场所建设及储存安全要求》（DB11/T 755）第5.1.2.14条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12.3.03.100</w:t>
            </w:r>
          </w:p>
        </w:tc>
        <w:tc>
          <w:tcPr>
            <w:tcW w:w="383" w:type="pct"/>
            <w:vAlign w:val="center"/>
          </w:tcPr>
          <w:p>
            <w:pPr>
              <w:pStyle w:val="10"/>
              <w:adjustRightInd w:val="0"/>
              <w:snapToGrid w:val="0"/>
              <w:spacing w:before="0" w:beforeAutospacing="0" w:after="0" w:afterAutospacing="0"/>
              <w:jc w:val="center"/>
              <w:rPr>
                <w:rFonts w:hint="eastAsia" w:ascii="仿宋_GB2312" w:eastAsia="仿宋_GB2312" w:cs="Times New Roman" w:hAnsiTheme="minorEastAsia"/>
                <w:sz w:val="20"/>
                <w:szCs w:val="20"/>
              </w:rPr>
            </w:pPr>
            <w:r>
              <w:rPr>
                <w:rFonts w:hint="eastAsia" w:ascii="仿宋_GB2312" w:eastAsia="仿宋_GB2312" w:cs="Times New Roman" w:hAnsiTheme="minorEastAsia"/>
                <w:sz w:val="20"/>
                <w:szCs w:val="20"/>
              </w:rPr>
              <w:t>人员类</w:t>
            </w:r>
          </w:p>
        </w:tc>
        <w:tc>
          <w:tcPr>
            <w:tcW w:w="371" w:type="pct"/>
            <w:vAlign w:val="center"/>
          </w:tcPr>
          <w:p>
            <w:pPr>
              <w:pStyle w:val="10"/>
              <w:adjustRightInd w:val="0"/>
              <w:snapToGrid w:val="0"/>
              <w:spacing w:before="0" w:beforeAutospacing="0" w:after="0" w:afterAutospacing="0"/>
              <w:jc w:val="center"/>
              <w:rPr>
                <w:rFonts w:hint="eastAsia" w:ascii="仿宋_GB2312" w:eastAsia="仿宋_GB2312" w:cs="Times New Roman" w:hAnsiTheme="minorEastAsia"/>
                <w:sz w:val="20"/>
                <w:szCs w:val="20"/>
              </w:rPr>
            </w:pPr>
            <w:r>
              <w:rPr>
                <w:rFonts w:hint="eastAsia" w:ascii="仿宋_GB2312" w:eastAsia="仿宋_GB2312" w:cs="Times New Roman" w:hAnsiTheme="minorEastAsia"/>
                <w:sz w:val="20"/>
                <w:szCs w:val="20"/>
              </w:rPr>
              <w:t>个人防护用品使用类</w:t>
            </w:r>
          </w:p>
        </w:tc>
        <w:tc>
          <w:tcPr>
            <w:tcW w:w="1038" w:type="pct"/>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hAnsi="仿宋_GB2312" w:eastAsia="仿宋_GB2312" w:cs="仿宋_GB2312"/>
                <w:sz w:val="20"/>
                <w:szCs w:val="20"/>
              </w:rPr>
              <w:t>未为从业人员提供符合国家标准或者行业标准的劳动防护用品，未监督、教育从业人员按照使用规则佩戴、使用。</w:t>
            </w:r>
          </w:p>
        </w:tc>
        <w:tc>
          <w:tcPr>
            <w:tcW w:w="1397" w:type="pct"/>
            <w:vAlign w:val="center"/>
          </w:tcPr>
          <w:p>
            <w:pPr>
              <w:widowControl/>
              <w:adjustRightInd w:val="0"/>
              <w:snapToGrid w:val="0"/>
              <w:spacing w:after="0" w:line="240" w:lineRule="auto"/>
              <w:textAlignment w:val="center"/>
              <w:rPr>
                <w:rFonts w:hint="eastAsia" w:ascii="仿宋_GB2312" w:hAnsi="仿宋_GB2312" w:cs="仿宋_GB2312"/>
                <w:kern w:val="0"/>
                <w:sz w:val="20"/>
                <w:szCs w:val="20"/>
              </w:rPr>
            </w:pPr>
            <w:r>
              <w:rPr>
                <w:rFonts w:hint="eastAsia" w:ascii="仿宋_GB2312" w:hAnsi="仿宋_GB2312" w:cs="仿宋_GB2312"/>
                <w:kern w:val="0"/>
                <w:sz w:val="20"/>
                <w:szCs w:val="20"/>
              </w:rPr>
              <w:t>生产经营单位必须为从业人员提供符合国家标准或者行业标准的劳动防护用品，并监督、教育从业人员按照使用规则佩戴、使用。</w:t>
            </w:r>
          </w:p>
        </w:tc>
        <w:tc>
          <w:tcPr>
            <w:tcW w:w="1290" w:type="pct"/>
            <w:vAlign w:val="center"/>
          </w:tcPr>
          <w:p>
            <w:pPr>
              <w:widowControl/>
              <w:adjustRightInd w:val="0"/>
              <w:snapToGrid w:val="0"/>
              <w:spacing w:after="0" w:line="240" w:lineRule="auto"/>
              <w:textAlignment w:val="center"/>
              <w:rPr>
                <w:rFonts w:hint="eastAsia" w:ascii="仿宋_GB2312" w:hAnsi="仿宋_GB2312" w:cs="仿宋_GB2312"/>
                <w:kern w:val="0"/>
                <w:sz w:val="20"/>
                <w:szCs w:val="20"/>
              </w:rPr>
            </w:pPr>
            <w:r>
              <w:rPr>
                <w:rFonts w:hint="eastAsia" w:ascii="仿宋_GB2312" w:hAnsi="仿宋_GB2312" w:cs="仿宋_GB2312"/>
                <w:kern w:val="0"/>
                <w:sz w:val="20"/>
                <w:szCs w:val="20"/>
              </w:rPr>
              <w:t>《中华人民共和国安全生产法》第四十五条；</w:t>
            </w:r>
            <w:r>
              <w:rPr>
                <w:rFonts w:hint="eastAsia" w:ascii="仿宋_GB2312" w:hAnsi="仿宋_GB2312" w:cs="仿宋_GB2312"/>
                <w:kern w:val="0"/>
                <w:sz w:val="20"/>
                <w:szCs w:val="20"/>
              </w:rPr>
              <w:br w:type="textWrapping"/>
            </w:r>
            <w:r>
              <w:rPr>
                <w:rFonts w:hint="eastAsia" w:ascii="仿宋_GB2312" w:hAnsi="仿宋_GB2312" w:cs="仿宋_GB2312"/>
                <w:kern w:val="0"/>
                <w:sz w:val="20"/>
                <w:szCs w:val="20"/>
              </w:rPr>
              <w:t>《个体防护装备配备规范 第1部分：总则》（GB 39800.1-2020）</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12.4.01.101</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场所环境类</w:t>
            </w:r>
          </w:p>
        </w:tc>
        <w:tc>
          <w:tcPr>
            <w:tcW w:w="371"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平面布置类</w:t>
            </w:r>
          </w:p>
        </w:tc>
        <w:tc>
          <w:tcPr>
            <w:tcW w:w="1038" w:type="pct"/>
            <w:vAlign w:val="center"/>
          </w:tcPr>
          <w:p>
            <w:pPr>
              <w:widowControl/>
              <w:adjustRightInd w:val="0"/>
              <w:snapToGrid w:val="0"/>
              <w:spacing w:after="0" w:line="240" w:lineRule="auto"/>
              <w:jc w:val="left"/>
              <w:rPr>
                <w:rFonts w:hint="eastAsia" w:ascii="仿宋_GB2312" w:hAnsiTheme="minorEastAsia"/>
                <w:sz w:val="20"/>
                <w:szCs w:val="20"/>
                <w:lang w:bidi="ar"/>
              </w:rPr>
            </w:pPr>
            <w:r>
              <w:rPr>
                <w:rFonts w:hint="eastAsia" w:ascii="仿宋_GB2312" w:hAnsiTheme="minorEastAsia"/>
                <w:sz w:val="20"/>
                <w:szCs w:val="20"/>
                <w:lang w:bidi="ar"/>
              </w:rPr>
              <w:t>企业总平面布置不符合 GB 50016、GB50160、GB 50187、GB 50489、GB 51283、GB 50030</w:t>
            </w:r>
            <w:r>
              <w:rPr>
                <w:rFonts w:hint="eastAsia" w:ascii="仿宋_GB2312" w:hAnsiTheme="minorEastAsia"/>
                <w:sz w:val="20"/>
                <w:szCs w:val="20"/>
                <w:lang w:eastAsia="zh-CN" w:bidi="ar"/>
              </w:rPr>
              <w:t>、</w:t>
            </w:r>
            <w:r>
              <w:rPr>
                <w:rFonts w:hint="eastAsia" w:ascii="仿宋_GB2312" w:hAnsiTheme="minorEastAsia"/>
                <w:sz w:val="20"/>
                <w:szCs w:val="20"/>
                <w:lang w:bidi="ar"/>
              </w:rPr>
              <w:t>GB 55037等相关标准要求。</w:t>
            </w:r>
          </w:p>
        </w:tc>
        <w:tc>
          <w:tcPr>
            <w:tcW w:w="1397" w:type="pct"/>
            <w:vAlign w:val="center"/>
          </w:tcPr>
          <w:p>
            <w:pPr>
              <w:widowControl/>
              <w:adjustRightInd w:val="0"/>
              <w:snapToGrid w:val="0"/>
              <w:spacing w:after="0" w:line="240" w:lineRule="auto"/>
              <w:jc w:val="left"/>
              <w:rPr>
                <w:rFonts w:hint="eastAsia" w:ascii="仿宋_GB2312" w:hAnsiTheme="minorEastAsia"/>
                <w:sz w:val="20"/>
                <w:szCs w:val="20"/>
                <w:lang w:bidi="ar"/>
              </w:rPr>
            </w:pPr>
            <w:r>
              <w:rPr>
                <w:rFonts w:hint="eastAsia" w:ascii="仿宋_GB2312" w:hAnsiTheme="minorEastAsia"/>
                <w:sz w:val="20"/>
                <w:szCs w:val="20"/>
                <w:lang w:bidi="ar"/>
              </w:rPr>
              <w:t>企业总平面布置应符合 GB 50016、GB50160、GB 50187、GB 50489、GB 51283、GB 55037等相关标准要求。</w:t>
            </w:r>
          </w:p>
        </w:tc>
        <w:tc>
          <w:tcPr>
            <w:tcW w:w="1290" w:type="pct"/>
            <w:vAlign w:val="center"/>
          </w:tcPr>
          <w:p>
            <w:pPr>
              <w:widowControl/>
              <w:adjustRightInd w:val="0"/>
              <w:snapToGrid w:val="0"/>
              <w:spacing w:after="0" w:line="240" w:lineRule="auto"/>
              <w:jc w:val="left"/>
              <w:rPr>
                <w:rFonts w:hint="eastAsia" w:ascii="仿宋_GB2312" w:hAnsiTheme="minorEastAsia"/>
                <w:sz w:val="20"/>
                <w:szCs w:val="20"/>
                <w:lang w:bidi="ar"/>
              </w:rPr>
            </w:pPr>
            <w:r>
              <w:rPr>
                <w:rFonts w:hint="eastAsia" w:ascii="仿宋_GB2312" w:hAnsiTheme="minorEastAsia"/>
                <w:sz w:val="20"/>
                <w:szCs w:val="20"/>
                <w:lang w:bidi="ar"/>
              </w:rPr>
              <w:t>《建筑设计防火规范（2018年版）》（GB 50016-2014）第3.4条、第3.5条、第4.2条；</w:t>
            </w:r>
          </w:p>
          <w:p>
            <w:pPr>
              <w:widowControl/>
              <w:adjustRightInd w:val="0"/>
              <w:snapToGrid w:val="0"/>
              <w:spacing w:after="0" w:line="240" w:lineRule="auto"/>
              <w:jc w:val="left"/>
              <w:rPr>
                <w:rFonts w:hint="eastAsia" w:ascii="仿宋_GB2312" w:hAnsiTheme="minorEastAsia"/>
                <w:sz w:val="20"/>
                <w:szCs w:val="20"/>
                <w:lang w:bidi="ar"/>
              </w:rPr>
            </w:pPr>
            <w:r>
              <w:rPr>
                <w:rFonts w:hint="eastAsia" w:ascii="仿宋_GB2312" w:hAnsiTheme="minorEastAsia"/>
                <w:sz w:val="20"/>
                <w:szCs w:val="20"/>
                <w:lang w:bidi="ar"/>
              </w:rPr>
              <w:t>《石油化工企业设计防火标准（2018年版）》（GB 50160-2008）；《工业企业总平面设计规范》（GB 50187-2012）；</w:t>
            </w:r>
          </w:p>
          <w:p>
            <w:pPr>
              <w:widowControl/>
              <w:adjustRightInd w:val="0"/>
              <w:snapToGrid w:val="0"/>
              <w:spacing w:after="0" w:line="240" w:lineRule="auto"/>
              <w:jc w:val="left"/>
              <w:rPr>
                <w:rFonts w:hint="eastAsia" w:ascii="仿宋_GB2312" w:hAnsiTheme="minorEastAsia"/>
                <w:sz w:val="20"/>
                <w:szCs w:val="20"/>
                <w:lang w:bidi="ar"/>
              </w:rPr>
            </w:pPr>
            <w:r>
              <w:rPr>
                <w:rFonts w:hint="eastAsia" w:ascii="仿宋_GB2312" w:hAnsiTheme="minorEastAsia"/>
                <w:sz w:val="20"/>
                <w:szCs w:val="20"/>
                <w:lang w:bidi="ar"/>
              </w:rPr>
              <w:t>《化工企业总图运输设计规范》（GB 50489-2009）；</w:t>
            </w:r>
          </w:p>
          <w:p>
            <w:pPr>
              <w:widowControl/>
              <w:adjustRightInd w:val="0"/>
              <w:snapToGrid w:val="0"/>
              <w:spacing w:after="0" w:line="240" w:lineRule="auto"/>
              <w:jc w:val="left"/>
              <w:rPr>
                <w:rFonts w:hint="eastAsia" w:ascii="仿宋_GB2312" w:hAnsiTheme="minorEastAsia"/>
                <w:sz w:val="20"/>
                <w:szCs w:val="20"/>
                <w:lang w:bidi="ar"/>
              </w:rPr>
            </w:pPr>
            <w:r>
              <w:rPr>
                <w:rFonts w:hint="eastAsia" w:ascii="仿宋_GB2312" w:hAnsiTheme="minorEastAsia"/>
                <w:sz w:val="20"/>
                <w:szCs w:val="20"/>
                <w:lang w:bidi="ar"/>
              </w:rPr>
              <w:t>《精细化工企业工程设计防火标准（2020年版）》（GB 51283-2020）；《氧气站设计规范》（GB 50030-2013）</w:t>
            </w:r>
            <w:r>
              <w:rPr>
                <w:rFonts w:hint="eastAsia" w:ascii="仿宋_GB2312" w:hAnsiTheme="minorEastAsia"/>
                <w:sz w:val="20"/>
                <w:szCs w:val="20"/>
                <w:lang w:eastAsia="zh-CN" w:bidi="ar"/>
              </w:rPr>
              <w:t>；</w:t>
            </w:r>
            <w:r>
              <w:rPr>
                <w:rFonts w:hint="eastAsia" w:ascii="仿宋_GB2312" w:hAnsiTheme="minorEastAsia"/>
                <w:sz w:val="20"/>
                <w:szCs w:val="20"/>
                <w:lang w:bidi="ar"/>
              </w:rPr>
              <w:t>《建筑防火通用规范》（GB 55037-2022）；</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12.4.01.102</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场所环境类</w:t>
            </w:r>
          </w:p>
        </w:tc>
        <w:tc>
          <w:tcPr>
            <w:tcW w:w="371"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平面布置类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危险化学品储存场所设置在地下或半地下建（构）筑物内，紧邻食堂、会议室、活动室等人员密集场所。</w:t>
            </w:r>
          </w:p>
        </w:tc>
        <w:tc>
          <w:tcPr>
            <w:tcW w:w="1397" w:type="pct"/>
            <w:vAlign w:val="center"/>
          </w:tcPr>
          <w:p>
            <w:pPr>
              <w:widowControl/>
              <w:adjustRightInd w:val="0"/>
              <w:snapToGrid w:val="0"/>
              <w:spacing w:after="0" w:line="240" w:lineRule="auto"/>
              <w:jc w:val="left"/>
              <w:rPr>
                <w:rFonts w:hint="eastAsia" w:ascii="仿宋_GB2312" w:hAnsi="等线" w:cs="宋体"/>
                <w:kern w:val="0"/>
                <w:sz w:val="20"/>
                <w:szCs w:val="20"/>
              </w:rPr>
            </w:pPr>
            <w:r>
              <w:rPr>
                <w:rFonts w:hint="eastAsia" w:ascii="仿宋_GB2312" w:hAnsi="等线" w:cs="宋体"/>
                <w:kern w:val="0"/>
                <w:sz w:val="20"/>
                <w:szCs w:val="20"/>
              </w:rPr>
              <w:t>储存场所不应设置在地下或半地下建（构）筑物内。</w:t>
            </w:r>
          </w:p>
        </w:tc>
        <w:tc>
          <w:tcPr>
            <w:tcW w:w="1290" w:type="pct"/>
            <w:vAlign w:val="center"/>
          </w:tcPr>
          <w:p>
            <w:pPr>
              <w:widowControl/>
              <w:adjustRightInd w:val="0"/>
              <w:snapToGrid w:val="0"/>
              <w:spacing w:after="0" w:line="240" w:lineRule="auto"/>
              <w:jc w:val="left"/>
              <w:rPr>
                <w:rFonts w:hint="eastAsia" w:ascii="仿宋_GB2312" w:hAnsi="等线" w:cs="宋体"/>
                <w:kern w:val="0"/>
                <w:sz w:val="20"/>
                <w:szCs w:val="20"/>
              </w:rPr>
            </w:pPr>
            <w:r>
              <w:rPr>
                <w:rFonts w:hint="eastAsia" w:ascii="仿宋_GB2312" w:hAnsi="等线" w:cs="宋体"/>
                <w:kern w:val="0"/>
                <w:sz w:val="20"/>
                <w:szCs w:val="20"/>
              </w:rPr>
              <w:t>《建筑设计防火规范（2018年版）》（GB 50016-2014）第3.3.4条；</w:t>
            </w:r>
          </w:p>
          <w:p>
            <w:pPr>
              <w:widowControl/>
              <w:adjustRightInd w:val="0"/>
              <w:snapToGrid w:val="0"/>
              <w:spacing w:after="0" w:line="240" w:lineRule="auto"/>
              <w:jc w:val="left"/>
              <w:rPr>
                <w:rFonts w:hint="eastAsia" w:ascii="仿宋_GB2312" w:hAnsi="等线" w:cs="宋体"/>
                <w:kern w:val="0"/>
                <w:sz w:val="20"/>
                <w:szCs w:val="20"/>
              </w:rPr>
            </w:pPr>
            <w:r>
              <w:rPr>
                <w:rFonts w:hint="eastAsia" w:ascii="仿宋_GB2312" w:hAnsi="等线" w:cs="宋体"/>
                <w:kern w:val="0"/>
                <w:sz w:val="20"/>
                <w:szCs w:val="20"/>
              </w:rPr>
              <w:t>《危险化学品储存场所建设及储存安全要求》（DB11/T 755）第4.1.1条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12.4.01.103</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场所环境类</w:t>
            </w:r>
          </w:p>
        </w:tc>
        <w:tc>
          <w:tcPr>
            <w:tcW w:w="371"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平面布置类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可能产生易燃、有毒气体的气瓶间设有吊顶。</w:t>
            </w:r>
          </w:p>
        </w:tc>
        <w:tc>
          <w:tcPr>
            <w:tcW w:w="1397" w:type="pct"/>
            <w:vAlign w:val="center"/>
          </w:tcPr>
          <w:p>
            <w:pPr>
              <w:widowControl/>
              <w:adjustRightInd w:val="0"/>
              <w:snapToGrid w:val="0"/>
              <w:spacing w:after="0" w:line="240" w:lineRule="auto"/>
              <w:jc w:val="left"/>
              <w:rPr>
                <w:rFonts w:hint="eastAsia" w:ascii="仿宋_GB2312" w:hAnsi="等线" w:cs="宋体"/>
                <w:kern w:val="0"/>
                <w:sz w:val="20"/>
                <w:szCs w:val="20"/>
              </w:rPr>
            </w:pPr>
            <w:r>
              <w:rPr>
                <w:rFonts w:hint="eastAsia" w:ascii="仿宋_GB2312" w:hAnsi="等线" w:cs="宋体"/>
                <w:kern w:val="0"/>
                <w:sz w:val="20"/>
                <w:szCs w:val="20"/>
              </w:rPr>
              <w:t>可能产生易燃、有毒气体的气瓶间不应设吊顶。</w:t>
            </w:r>
          </w:p>
        </w:tc>
        <w:tc>
          <w:tcPr>
            <w:tcW w:w="1290" w:type="pct"/>
            <w:vAlign w:val="center"/>
          </w:tcPr>
          <w:p>
            <w:pPr>
              <w:widowControl/>
              <w:adjustRightInd w:val="0"/>
              <w:snapToGrid w:val="0"/>
              <w:spacing w:after="0" w:line="240" w:lineRule="auto"/>
              <w:jc w:val="left"/>
              <w:rPr>
                <w:rFonts w:hint="eastAsia" w:ascii="仿宋_GB2312" w:hAnsi="等线" w:cs="宋体"/>
                <w:kern w:val="0"/>
                <w:sz w:val="20"/>
                <w:szCs w:val="20"/>
              </w:rPr>
            </w:pPr>
            <w:r>
              <w:rPr>
                <w:rFonts w:hint="eastAsia" w:ascii="仿宋_GB2312" w:hAnsi="等线" w:cs="宋体"/>
                <w:kern w:val="0"/>
                <w:sz w:val="20"/>
                <w:szCs w:val="20"/>
              </w:rPr>
              <w:t>《危险化学品储存场所建设及储存安全要求》（DB11/T 755）第4.4.4条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12.4.01.104</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场所环境类</w:t>
            </w:r>
          </w:p>
        </w:tc>
        <w:tc>
          <w:tcPr>
            <w:tcW w:w="371"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平面布置类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涉及“两重点一重大”的生产装置或储存设施外部安全防护距离不符合GB 36894</w:t>
            </w:r>
            <w:r>
              <w:rPr>
                <w:rFonts w:hint="eastAsia" w:ascii="仿宋_GB2312" w:hAnsi="宋体" w:cs="宋体"/>
                <w:kern w:val="0"/>
                <w:sz w:val="20"/>
                <w:szCs w:val="20"/>
                <w:lang w:eastAsia="zh-CN"/>
              </w:rPr>
              <w:t>、</w:t>
            </w:r>
            <w:r>
              <w:rPr>
                <w:rFonts w:hint="eastAsia" w:ascii="仿宋_GB2312" w:hAnsi="宋体" w:cs="宋体"/>
                <w:kern w:val="0"/>
                <w:sz w:val="20"/>
                <w:szCs w:val="20"/>
              </w:rPr>
              <w:t>GB/T 37243</w:t>
            </w:r>
            <w:r>
              <w:rPr>
                <w:rFonts w:hint="eastAsia" w:ascii="仿宋_GB2312" w:hAnsi="宋体" w:cs="宋体"/>
                <w:kern w:val="0"/>
                <w:sz w:val="20"/>
                <w:szCs w:val="20"/>
                <w:lang w:val="en-US" w:eastAsia="zh-CN"/>
              </w:rPr>
              <w:t>的</w:t>
            </w:r>
            <w:r>
              <w:rPr>
                <w:rFonts w:hint="eastAsia" w:ascii="仿宋_GB2312" w:hAnsi="宋体" w:cs="宋体"/>
                <w:kern w:val="0"/>
                <w:sz w:val="20"/>
                <w:szCs w:val="20"/>
              </w:rPr>
              <w:t>要求。</w:t>
            </w:r>
          </w:p>
        </w:tc>
        <w:tc>
          <w:tcPr>
            <w:tcW w:w="1397" w:type="pct"/>
            <w:vAlign w:val="center"/>
          </w:tcPr>
          <w:p>
            <w:pPr>
              <w:widowControl/>
              <w:adjustRightInd w:val="0"/>
              <w:snapToGrid w:val="0"/>
              <w:spacing w:after="0" w:line="240" w:lineRule="auto"/>
              <w:jc w:val="left"/>
              <w:rPr>
                <w:rFonts w:hint="eastAsia" w:ascii="仿宋_GB2312" w:hAnsi="等线" w:cs="宋体"/>
                <w:kern w:val="0"/>
                <w:sz w:val="20"/>
                <w:szCs w:val="20"/>
              </w:rPr>
            </w:pPr>
            <w:r>
              <w:rPr>
                <w:rFonts w:hint="eastAsia" w:ascii="仿宋_GB2312" w:hAnsi="宋体" w:cs="宋体"/>
                <w:kern w:val="0"/>
                <w:sz w:val="20"/>
                <w:szCs w:val="20"/>
              </w:rPr>
              <w:t>涉及“两重点一重大”的生产装置或储存设施外部安全防护距离应符合GB 36894、GB/T 37243的要求。</w:t>
            </w:r>
          </w:p>
        </w:tc>
        <w:tc>
          <w:tcPr>
            <w:tcW w:w="1290" w:type="pct"/>
            <w:vAlign w:val="center"/>
          </w:tcPr>
          <w:p>
            <w:pPr>
              <w:widowControl/>
              <w:adjustRightInd w:val="0"/>
              <w:snapToGrid w:val="0"/>
              <w:spacing w:after="0" w:line="240" w:lineRule="auto"/>
              <w:jc w:val="left"/>
              <w:rPr>
                <w:rFonts w:hint="eastAsia" w:ascii="仿宋_GB2312" w:hAnsi="等线" w:cs="宋体"/>
                <w:kern w:val="0"/>
                <w:sz w:val="20"/>
                <w:szCs w:val="20"/>
              </w:rPr>
            </w:pPr>
            <w:r>
              <w:rPr>
                <w:rFonts w:hint="eastAsia" w:ascii="仿宋_GB2312" w:hAnsi="等线" w:cs="宋体"/>
                <w:kern w:val="0"/>
                <w:sz w:val="20"/>
                <w:szCs w:val="20"/>
                <w:lang w:eastAsia="zh-CN"/>
              </w:rPr>
              <w:t>《化工和危险化学品生产经营企业重大生产安全事故隐患判定准则》（AQ 3067-2026）</w:t>
            </w:r>
            <w:r>
              <w:rPr>
                <w:rFonts w:hint="eastAsia" w:ascii="仿宋_GB2312" w:hAnsi="等线" w:cs="宋体"/>
                <w:kern w:val="0"/>
                <w:sz w:val="20"/>
                <w:szCs w:val="20"/>
              </w:rPr>
              <w:t>第5.2.2条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12.4.01.105</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场所环境类</w:t>
            </w:r>
          </w:p>
        </w:tc>
        <w:tc>
          <w:tcPr>
            <w:tcW w:w="371"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平面布置类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输送甲、乙类火灾危险性、急性毒性(类别1、类别2)的物料管线或全厂性的公共管廊穿(跨)越与其无关的生产装置、储罐组。地区架空电力线路穿越生产区且不符合标准规范要求</w:t>
            </w:r>
            <w:r>
              <w:rPr>
                <w:rFonts w:hint="eastAsia" w:ascii="仿宋_GB2312" w:hAnsi="宋体" w:cs="宋体"/>
                <w:kern w:val="0"/>
                <w:sz w:val="20"/>
                <w:szCs w:val="20"/>
                <w:lang w:eastAsia="zh-CN"/>
              </w:rPr>
              <w:t>。</w:t>
            </w:r>
          </w:p>
        </w:tc>
        <w:tc>
          <w:tcPr>
            <w:tcW w:w="1397" w:type="pct"/>
            <w:vAlign w:val="center"/>
          </w:tcPr>
          <w:p>
            <w:pPr>
              <w:widowControl/>
              <w:adjustRightInd w:val="0"/>
              <w:snapToGrid w:val="0"/>
              <w:spacing w:after="0" w:line="240" w:lineRule="auto"/>
              <w:jc w:val="left"/>
              <w:rPr>
                <w:rFonts w:hint="eastAsia" w:ascii="仿宋_GB2312" w:hAnsi="等线" w:cs="宋体"/>
                <w:kern w:val="0"/>
                <w:sz w:val="20"/>
                <w:szCs w:val="20"/>
              </w:rPr>
            </w:pPr>
            <w:r>
              <w:rPr>
                <w:rFonts w:hint="eastAsia" w:ascii="仿宋_GB2312" w:hAnsi="宋体" w:cs="宋体"/>
                <w:kern w:val="0"/>
                <w:sz w:val="20"/>
                <w:szCs w:val="20"/>
              </w:rPr>
              <w:t>输送甲、乙类火灾危险性、急性毒性(类别1、类别2)的物料管线或全厂性的公共管廊</w:t>
            </w:r>
            <w:r>
              <w:rPr>
                <w:rFonts w:hint="eastAsia" w:ascii="仿宋_GB2312" w:hAnsi="宋体" w:cs="宋体"/>
                <w:kern w:val="0"/>
                <w:sz w:val="20"/>
                <w:szCs w:val="20"/>
                <w:lang w:val="en-US" w:eastAsia="zh-CN"/>
              </w:rPr>
              <w:t>不应</w:t>
            </w:r>
            <w:r>
              <w:rPr>
                <w:rFonts w:hint="eastAsia" w:ascii="仿宋_GB2312" w:hAnsi="宋体" w:cs="宋体"/>
                <w:kern w:val="0"/>
                <w:sz w:val="20"/>
                <w:szCs w:val="20"/>
              </w:rPr>
              <w:t>穿(跨)越与其无关的生产装置、储罐组。地区架空电力线路</w:t>
            </w:r>
            <w:r>
              <w:rPr>
                <w:rFonts w:hint="eastAsia" w:ascii="仿宋_GB2312" w:hAnsi="宋体" w:cs="宋体"/>
                <w:kern w:val="0"/>
                <w:sz w:val="20"/>
                <w:szCs w:val="20"/>
                <w:lang w:val="en-US" w:eastAsia="zh-CN"/>
              </w:rPr>
              <w:t>严禁</w:t>
            </w:r>
            <w:r>
              <w:rPr>
                <w:rFonts w:hint="eastAsia" w:ascii="仿宋_GB2312" w:hAnsi="宋体" w:cs="宋体"/>
                <w:kern w:val="0"/>
                <w:sz w:val="20"/>
                <w:szCs w:val="20"/>
              </w:rPr>
              <w:t>穿越生产</w:t>
            </w:r>
            <w:r>
              <w:rPr>
                <w:rFonts w:hint="eastAsia" w:ascii="仿宋_GB2312" w:hAnsi="宋体" w:cs="宋体"/>
                <w:kern w:val="0"/>
                <w:sz w:val="20"/>
                <w:szCs w:val="20"/>
                <w:lang w:eastAsia="zh-CN"/>
              </w:rPr>
              <w:t>。</w:t>
            </w:r>
            <w:r>
              <w:rPr>
                <w:rFonts w:hint="eastAsia" w:ascii="仿宋_GB2312" w:hAnsi="宋体" w:cs="宋体"/>
                <w:kern w:val="0"/>
                <w:sz w:val="20"/>
                <w:szCs w:val="20"/>
              </w:rPr>
              <w:t>架空电力线与甲、乙类厂房(仓库)，可燃材料堆垛，甲、乙、丙类液体储罐，液化石油气储罐，可燃、助燃气体储罐的最近水平距离</w:t>
            </w:r>
            <w:r>
              <w:rPr>
                <w:rFonts w:hint="eastAsia" w:ascii="仿宋_GB2312" w:hAnsi="宋体" w:cs="宋体"/>
                <w:kern w:val="0"/>
                <w:sz w:val="20"/>
                <w:szCs w:val="20"/>
                <w:lang w:val="en-US" w:eastAsia="zh-CN"/>
              </w:rPr>
              <w:t>应</w:t>
            </w:r>
            <w:r>
              <w:rPr>
                <w:rFonts w:hint="eastAsia" w:ascii="仿宋_GB2312" w:hAnsi="宋体" w:cs="宋体"/>
                <w:kern w:val="0"/>
                <w:sz w:val="20"/>
                <w:szCs w:val="20"/>
              </w:rPr>
              <w:t>符合标准规范要求</w:t>
            </w:r>
            <w:r>
              <w:rPr>
                <w:rFonts w:hint="eastAsia" w:ascii="仿宋_GB2312" w:hAnsi="宋体" w:cs="宋体"/>
                <w:kern w:val="0"/>
                <w:sz w:val="20"/>
                <w:szCs w:val="20"/>
                <w:lang w:eastAsia="zh-CN"/>
              </w:rPr>
              <w:t>。</w:t>
            </w:r>
          </w:p>
        </w:tc>
        <w:tc>
          <w:tcPr>
            <w:tcW w:w="1290" w:type="pct"/>
            <w:vAlign w:val="center"/>
          </w:tcPr>
          <w:p>
            <w:pPr>
              <w:widowControl/>
              <w:adjustRightInd w:val="0"/>
              <w:snapToGrid w:val="0"/>
              <w:spacing w:after="0" w:line="240" w:lineRule="auto"/>
              <w:jc w:val="left"/>
              <w:rPr>
                <w:rFonts w:hint="eastAsia" w:ascii="仿宋_GB2312" w:hAnsi="等线" w:cs="宋体"/>
                <w:kern w:val="0"/>
                <w:sz w:val="20"/>
                <w:szCs w:val="20"/>
              </w:rPr>
            </w:pPr>
            <w:r>
              <w:rPr>
                <w:rFonts w:hint="eastAsia" w:ascii="仿宋_GB2312" w:hAnsi="等线" w:cs="宋体"/>
                <w:kern w:val="0"/>
                <w:sz w:val="20"/>
                <w:szCs w:val="20"/>
                <w:lang w:eastAsia="zh-CN"/>
              </w:rPr>
              <w:t>《化工和危险化学品生产经营企业重大生产安全事故隐患判定准则》（AQ 3067-2026）</w:t>
            </w:r>
            <w:r>
              <w:rPr>
                <w:rFonts w:hint="eastAsia" w:ascii="仿宋_GB2312" w:hAnsi="等线" w:cs="宋体"/>
                <w:kern w:val="0"/>
                <w:sz w:val="20"/>
                <w:szCs w:val="20"/>
              </w:rPr>
              <w:t>第5.2.</w:t>
            </w:r>
            <w:r>
              <w:rPr>
                <w:rFonts w:hint="eastAsia" w:ascii="仿宋_GB2312" w:hAnsi="等线" w:cs="宋体"/>
                <w:kern w:val="0"/>
                <w:sz w:val="20"/>
                <w:szCs w:val="20"/>
                <w:lang w:val="en-US" w:eastAsia="zh-CN"/>
              </w:rPr>
              <w:t>3</w:t>
            </w:r>
            <w:r>
              <w:rPr>
                <w:rFonts w:hint="eastAsia" w:ascii="仿宋_GB2312" w:hAnsi="等线" w:cs="宋体"/>
                <w:kern w:val="0"/>
                <w:sz w:val="20"/>
                <w:szCs w:val="20"/>
              </w:rPr>
              <w:t>条</w:t>
            </w:r>
            <w:r>
              <w:rPr>
                <w:rFonts w:hint="eastAsia" w:ascii="仿宋_GB2312" w:hAnsi="等线" w:cs="宋体"/>
                <w:kern w:val="0"/>
                <w:sz w:val="20"/>
                <w:szCs w:val="20"/>
                <w:lang w:eastAsia="zh-CN"/>
              </w:rPr>
              <w:t>、</w:t>
            </w:r>
            <w:r>
              <w:rPr>
                <w:rFonts w:hint="eastAsia" w:ascii="仿宋_GB2312" w:hAnsi="等线" w:cs="宋体"/>
                <w:kern w:val="0"/>
                <w:sz w:val="20"/>
                <w:szCs w:val="20"/>
              </w:rPr>
              <w:t>第5.2.</w:t>
            </w:r>
            <w:r>
              <w:rPr>
                <w:rFonts w:hint="eastAsia" w:ascii="仿宋_GB2312" w:hAnsi="等线" w:cs="宋体"/>
                <w:kern w:val="0"/>
                <w:sz w:val="20"/>
                <w:szCs w:val="20"/>
                <w:lang w:val="en-US" w:eastAsia="zh-CN"/>
              </w:rPr>
              <w:t>5</w:t>
            </w:r>
            <w:r>
              <w:rPr>
                <w:rFonts w:hint="eastAsia" w:ascii="仿宋_GB2312" w:hAnsi="等线" w:cs="宋体"/>
                <w:kern w:val="0"/>
                <w:sz w:val="20"/>
                <w:szCs w:val="20"/>
              </w:rPr>
              <w:t>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12.4.01.106</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场所环境类</w:t>
            </w:r>
          </w:p>
        </w:tc>
        <w:tc>
          <w:tcPr>
            <w:tcW w:w="371"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平面布置类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涉及爆炸危险性化学品的生产装置控制室、交接班室布置在装置区（厂房）内；涉及甲、乙类火灾危险性的生产装置（厂房）控制室、交接班室未按要求布置，或布置在装置区内时未按照GB/T 50779的要求进行抗爆设计、建设。</w:t>
            </w:r>
          </w:p>
        </w:tc>
        <w:tc>
          <w:tcPr>
            <w:tcW w:w="1397" w:type="pct"/>
            <w:vAlign w:val="center"/>
          </w:tcPr>
          <w:p>
            <w:pPr>
              <w:widowControl/>
              <w:adjustRightInd w:val="0"/>
              <w:snapToGrid w:val="0"/>
              <w:spacing w:after="0" w:line="240" w:lineRule="auto"/>
              <w:jc w:val="left"/>
              <w:rPr>
                <w:rFonts w:hint="eastAsia" w:ascii="仿宋_GB2312" w:hAnsi="等线" w:cs="宋体"/>
                <w:kern w:val="0"/>
                <w:sz w:val="20"/>
                <w:szCs w:val="20"/>
              </w:rPr>
            </w:pPr>
            <w:r>
              <w:rPr>
                <w:rFonts w:hint="eastAsia" w:ascii="仿宋_GB2312" w:hAnsi="宋体" w:cs="宋体"/>
                <w:kern w:val="0"/>
                <w:sz w:val="20"/>
                <w:szCs w:val="20"/>
              </w:rPr>
              <w:t>涉及爆炸危险性化学品的生产装置控制室、交接班室不得置在装置区（厂房）内；涉及甲、乙类火灾危险性的生产装置（厂房）控制室、交接班室应按要求布置，或布置在装置区内时按照GB/T 50779的要求进行抗爆设计、建设。</w:t>
            </w:r>
          </w:p>
        </w:tc>
        <w:tc>
          <w:tcPr>
            <w:tcW w:w="1290" w:type="pct"/>
            <w:vAlign w:val="center"/>
          </w:tcPr>
          <w:p>
            <w:pPr>
              <w:widowControl/>
              <w:adjustRightInd w:val="0"/>
              <w:snapToGrid w:val="0"/>
              <w:spacing w:after="0" w:line="240" w:lineRule="auto"/>
              <w:jc w:val="left"/>
              <w:rPr>
                <w:rFonts w:hint="eastAsia" w:ascii="仿宋_GB2312" w:hAnsi="等线" w:cs="宋体"/>
                <w:kern w:val="0"/>
                <w:sz w:val="20"/>
                <w:szCs w:val="20"/>
              </w:rPr>
            </w:pPr>
            <w:r>
              <w:rPr>
                <w:rFonts w:hint="eastAsia" w:ascii="仿宋_GB2312" w:hAnsi="等线" w:cs="宋体"/>
                <w:kern w:val="0"/>
                <w:sz w:val="20"/>
                <w:szCs w:val="20"/>
                <w:lang w:eastAsia="zh-CN"/>
              </w:rPr>
              <w:t>《化工和危险化学品生产经营企业重大生产安全事故隐患判定准则》（AQ 3067-2026）</w:t>
            </w:r>
            <w:r>
              <w:rPr>
                <w:rFonts w:hint="eastAsia" w:ascii="仿宋_GB2312" w:hAnsi="等线" w:cs="宋体"/>
                <w:kern w:val="0"/>
                <w:sz w:val="20"/>
                <w:szCs w:val="20"/>
              </w:rPr>
              <w:t>第5.2.6条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宋体" w:cs="宋体"/>
                <w:kern w:val="0"/>
                <w:sz w:val="20"/>
                <w:szCs w:val="20"/>
              </w:rPr>
              <w:t>12.4.01.107</w:t>
            </w:r>
          </w:p>
        </w:tc>
        <w:tc>
          <w:tcPr>
            <w:tcW w:w="383"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场所环境类</w:t>
            </w:r>
          </w:p>
        </w:tc>
        <w:tc>
          <w:tcPr>
            <w:tcW w:w="371"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平面布置类</w:t>
            </w:r>
          </w:p>
        </w:tc>
        <w:tc>
          <w:tcPr>
            <w:tcW w:w="1038"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涉及甲、乙类火灾危险性、爆炸危险性、急性毒性（类别1、类别2）化学品或爆炸性粉尘的厂房（含装置或车间）或仓库内设置办公室、休息室、外操室（含人员固定操作岗位）、巡检室等人员聚集场所。</w:t>
            </w:r>
          </w:p>
        </w:tc>
        <w:tc>
          <w:tcPr>
            <w:tcW w:w="1397"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涉及甲、乙类火灾危险性、爆炸危险性、急性毒性（类别1、类别2）化学品或爆炸性粉尘的厂房（含装置或车间）或仓库内不得设置办公室、休息室、外操室（含人员固定操作岗位）、巡检室等人员聚集场所。</w:t>
            </w:r>
          </w:p>
        </w:tc>
        <w:tc>
          <w:tcPr>
            <w:tcW w:w="1290" w:type="pct"/>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lang w:eastAsia="zh-CN"/>
              </w:rPr>
              <w:t>《化工和危险化学品生产经营企业重大生产安全事故隐患判定准则》（AQ 3067-2026）</w:t>
            </w:r>
            <w:r>
              <w:rPr>
                <w:rFonts w:hint="eastAsia" w:ascii="仿宋_GB2312" w:hAnsi="宋体" w:cs="宋体"/>
                <w:kern w:val="0"/>
                <w:sz w:val="20"/>
                <w:szCs w:val="20"/>
              </w:rPr>
              <w:t>第5.2.7条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Theme="minorEastAsia"/>
                <w:sz w:val="20"/>
                <w:szCs w:val="20"/>
              </w:rPr>
              <w:t>12.4.02.108</w:t>
            </w:r>
          </w:p>
        </w:tc>
        <w:tc>
          <w:tcPr>
            <w:tcW w:w="383" w:type="pct"/>
            <w:vAlign w:val="center"/>
          </w:tcPr>
          <w:p>
            <w:pPr>
              <w:pStyle w:val="10"/>
              <w:adjustRightInd w:val="0"/>
              <w:snapToGrid w:val="0"/>
              <w:spacing w:before="0" w:beforeAutospacing="0" w:after="0" w:afterAutospacing="0"/>
              <w:jc w:val="center"/>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场所环境类</w:t>
            </w:r>
          </w:p>
        </w:tc>
        <w:tc>
          <w:tcPr>
            <w:tcW w:w="371" w:type="pct"/>
            <w:vAlign w:val="center"/>
          </w:tcPr>
          <w:p>
            <w:pPr>
              <w:pStyle w:val="10"/>
              <w:adjustRightInd w:val="0"/>
              <w:snapToGrid w:val="0"/>
              <w:spacing w:before="0" w:beforeAutospacing="0" w:after="0" w:afterAutospacing="0"/>
              <w:jc w:val="center"/>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建（构）筑物类</w:t>
            </w:r>
          </w:p>
        </w:tc>
        <w:tc>
          <w:tcPr>
            <w:tcW w:w="1038" w:type="pct"/>
            <w:vAlign w:val="center"/>
          </w:tcPr>
          <w:p>
            <w:pPr>
              <w:widowControl/>
              <w:adjustRightInd w:val="0"/>
              <w:snapToGrid w:val="0"/>
              <w:spacing w:after="0" w:line="240" w:lineRule="auto"/>
              <w:jc w:val="left"/>
              <w:textAlignment w:val="center"/>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生产厂房、仓库等建(构)筑物的耐火等级、防火分区、防爆和抗震设防等设计不符合GB</w:t>
            </w:r>
            <w:r>
              <w:rPr>
                <w:rFonts w:hint="eastAsia" w:ascii="仿宋_GB2312" w:hAnsi="仿宋_GB2312" w:cs="仿宋_GB2312"/>
                <w:color w:val="000000" w:themeColor="text1"/>
                <w:kern w:val="0"/>
                <w:sz w:val="20"/>
                <w:szCs w:val="20"/>
                <w:lang w:val="en-US" w:eastAsia="zh-CN" w:bidi="ar"/>
                <w14:textFill>
                  <w14:solidFill>
                    <w14:schemeClr w14:val="tx1"/>
                  </w14:solidFill>
                </w14:textFill>
              </w:rPr>
              <w:t xml:space="preserve"> </w:t>
            </w:r>
            <w:r>
              <w:rPr>
                <w:rFonts w:hint="eastAsia" w:ascii="仿宋_GB2312" w:hAnsi="仿宋_GB2312" w:cs="仿宋_GB2312"/>
                <w:color w:val="000000" w:themeColor="text1"/>
                <w:kern w:val="0"/>
                <w:sz w:val="20"/>
                <w:szCs w:val="20"/>
                <w:lang w:bidi="ar"/>
                <w14:textFill>
                  <w14:solidFill>
                    <w14:schemeClr w14:val="tx1"/>
                  </w14:solidFill>
                </w14:textFill>
              </w:rPr>
              <w:t>50016、GB</w:t>
            </w:r>
            <w:r>
              <w:rPr>
                <w:rFonts w:hint="eastAsia" w:ascii="仿宋_GB2312" w:hAnsi="仿宋_GB2312" w:cs="仿宋_GB2312"/>
                <w:color w:val="000000" w:themeColor="text1"/>
                <w:kern w:val="0"/>
                <w:sz w:val="20"/>
                <w:szCs w:val="20"/>
                <w:lang w:val="en-US" w:eastAsia="zh-CN" w:bidi="ar"/>
                <w14:textFill>
                  <w14:solidFill>
                    <w14:schemeClr w14:val="tx1"/>
                  </w14:solidFill>
                </w14:textFill>
              </w:rPr>
              <w:t xml:space="preserve"> </w:t>
            </w:r>
            <w:r>
              <w:rPr>
                <w:rFonts w:hint="eastAsia" w:ascii="仿宋_GB2312" w:hAnsi="仿宋_GB2312" w:cs="仿宋_GB2312"/>
                <w:color w:val="000000" w:themeColor="text1"/>
                <w:kern w:val="0"/>
                <w:sz w:val="20"/>
                <w:szCs w:val="20"/>
                <w:lang w:bidi="ar"/>
                <w14:textFill>
                  <w14:solidFill>
                    <w14:schemeClr w14:val="tx1"/>
                  </w14:solidFill>
                </w14:textFill>
              </w:rPr>
              <w:t>50223的规定。</w:t>
            </w:r>
          </w:p>
        </w:tc>
        <w:tc>
          <w:tcPr>
            <w:tcW w:w="1397" w:type="pct"/>
            <w:vAlign w:val="center"/>
          </w:tcPr>
          <w:p>
            <w:pPr>
              <w:widowControl/>
              <w:adjustRightInd w:val="0"/>
              <w:snapToGrid w:val="0"/>
              <w:spacing w:after="0" w:line="240" w:lineRule="auto"/>
              <w:jc w:val="left"/>
              <w:textAlignment w:val="center"/>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生产厂房、仓库等建(构)筑物的耐火等级、防火分区、防爆和抗震设防等设计应符合 GB</w:t>
            </w:r>
            <w:r>
              <w:rPr>
                <w:rFonts w:hint="eastAsia" w:ascii="仿宋_GB2312" w:hAnsi="仿宋_GB2312" w:cs="仿宋_GB2312"/>
                <w:color w:val="000000" w:themeColor="text1"/>
                <w:kern w:val="0"/>
                <w:sz w:val="20"/>
                <w:szCs w:val="20"/>
                <w:lang w:val="en-US" w:eastAsia="zh-CN" w:bidi="ar"/>
                <w14:textFill>
                  <w14:solidFill>
                    <w14:schemeClr w14:val="tx1"/>
                  </w14:solidFill>
                </w14:textFill>
              </w:rPr>
              <w:t xml:space="preserve"> </w:t>
            </w:r>
            <w:r>
              <w:rPr>
                <w:rFonts w:hint="eastAsia" w:ascii="仿宋_GB2312" w:hAnsi="仿宋_GB2312" w:cs="仿宋_GB2312"/>
                <w:color w:val="000000" w:themeColor="text1"/>
                <w:kern w:val="0"/>
                <w:sz w:val="20"/>
                <w:szCs w:val="20"/>
                <w:lang w:bidi="ar"/>
                <w14:textFill>
                  <w14:solidFill>
                    <w14:schemeClr w14:val="tx1"/>
                  </w14:solidFill>
                </w14:textFill>
              </w:rPr>
              <w:t>50016、GB</w:t>
            </w:r>
            <w:r>
              <w:rPr>
                <w:rFonts w:hint="eastAsia" w:ascii="仿宋_GB2312" w:hAnsi="仿宋_GB2312" w:cs="仿宋_GB2312"/>
                <w:color w:val="000000" w:themeColor="text1"/>
                <w:kern w:val="0"/>
                <w:sz w:val="20"/>
                <w:szCs w:val="20"/>
                <w:lang w:val="en-US" w:eastAsia="zh-CN" w:bidi="ar"/>
                <w14:textFill>
                  <w14:solidFill>
                    <w14:schemeClr w14:val="tx1"/>
                  </w14:solidFill>
                </w14:textFill>
              </w:rPr>
              <w:t xml:space="preserve"> </w:t>
            </w:r>
            <w:r>
              <w:rPr>
                <w:rFonts w:hint="eastAsia" w:ascii="仿宋_GB2312" w:hAnsi="仿宋_GB2312" w:cs="仿宋_GB2312"/>
                <w:color w:val="000000" w:themeColor="text1"/>
                <w:kern w:val="0"/>
                <w:sz w:val="20"/>
                <w:szCs w:val="20"/>
                <w:lang w:bidi="ar"/>
                <w14:textFill>
                  <w14:solidFill>
                    <w14:schemeClr w14:val="tx1"/>
                  </w14:solidFill>
                </w14:textFill>
              </w:rPr>
              <w:t>50223的规定。</w:t>
            </w:r>
          </w:p>
        </w:tc>
        <w:tc>
          <w:tcPr>
            <w:tcW w:w="1290" w:type="pct"/>
            <w:vAlign w:val="center"/>
          </w:tcPr>
          <w:p>
            <w:pPr>
              <w:widowControl/>
              <w:adjustRightInd w:val="0"/>
              <w:snapToGrid w:val="0"/>
              <w:spacing w:after="0" w:line="240" w:lineRule="auto"/>
              <w:jc w:val="left"/>
              <w:textAlignment w:val="center"/>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cs="宋体" w:hAnsiTheme="minorEastAsia"/>
                <w:kern w:val="0"/>
                <w:sz w:val="20"/>
                <w:szCs w:val="20"/>
                <w:lang w:bidi="ar"/>
              </w:rPr>
              <w:t>《生产过程安全基本要求》</w:t>
            </w:r>
            <w:r>
              <w:rPr>
                <w:rFonts w:hint="eastAsia" w:ascii="仿宋_GB2312" w:cs="宋体" w:hAnsiTheme="minorEastAsia"/>
                <w:kern w:val="0"/>
                <w:sz w:val="20"/>
                <w:szCs w:val="20"/>
                <w:lang w:eastAsia="zh-CN" w:bidi="ar"/>
              </w:rPr>
              <w:t>（GB 12801-2025）</w:t>
            </w:r>
            <w:r>
              <w:rPr>
                <w:rFonts w:hint="eastAsia" w:ascii="仿宋_GB2312" w:cs="宋体" w:hAnsiTheme="minorEastAsia"/>
                <w:sz w:val="20"/>
                <w:szCs w:val="20"/>
                <w:lang w:bidi="ar"/>
              </w:rPr>
              <w:t>第</w:t>
            </w:r>
            <w:r>
              <w:rPr>
                <w:rFonts w:hint="eastAsia" w:ascii="仿宋_GB2312" w:hAnsi="仿宋_GB2312" w:cs="仿宋_GB2312"/>
                <w:color w:val="000000" w:themeColor="text1"/>
                <w:kern w:val="0"/>
                <w:sz w:val="20"/>
                <w:szCs w:val="20"/>
                <w:lang w:bidi="ar"/>
                <w14:textFill>
                  <w14:solidFill>
                    <w14:schemeClr w14:val="tx1"/>
                  </w14:solidFill>
                </w14:textFill>
              </w:rPr>
              <w:t>4.3.1条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Theme="minorEastAsia"/>
                <w:sz w:val="20"/>
                <w:szCs w:val="20"/>
              </w:rPr>
              <w:t>12.4.02.109</w:t>
            </w:r>
          </w:p>
        </w:tc>
        <w:tc>
          <w:tcPr>
            <w:tcW w:w="383" w:type="pct"/>
            <w:vAlign w:val="center"/>
          </w:tcPr>
          <w:p>
            <w:pPr>
              <w:pStyle w:val="10"/>
              <w:adjustRightInd w:val="0"/>
              <w:snapToGrid w:val="0"/>
              <w:spacing w:before="0" w:beforeAutospacing="0" w:after="0" w:afterAutospacing="0"/>
              <w:jc w:val="center"/>
              <w:rPr>
                <w:rFonts w:hint="eastAsia" w:ascii="仿宋_GB2312" w:hAnsi="仿宋_GB2312" w:eastAsia="仿宋_GB2312" w:cs="仿宋_GB2312"/>
                <w:color w:val="000000" w:themeColor="text1"/>
                <w:sz w:val="20"/>
                <w:szCs w:val="20"/>
                <w:lang w:bidi="ar"/>
                <w14:textFill>
                  <w14:solidFill>
                    <w14:schemeClr w14:val="tx1"/>
                  </w14:solidFill>
                </w14:textFill>
              </w:rPr>
            </w:pPr>
            <w:r>
              <w:rPr>
                <w:rFonts w:hint="eastAsia" w:ascii="仿宋_GB2312" w:eastAsia="仿宋_GB2312" w:hAnsiTheme="minorEastAsia"/>
                <w:sz w:val="20"/>
                <w:szCs w:val="20"/>
                <w:lang w:bidi="ar"/>
              </w:rPr>
              <w:t>场所环境类</w:t>
            </w:r>
          </w:p>
        </w:tc>
        <w:tc>
          <w:tcPr>
            <w:tcW w:w="371" w:type="pct"/>
            <w:vAlign w:val="center"/>
          </w:tcPr>
          <w:p>
            <w:pPr>
              <w:pStyle w:val="10"/>
              <w:adjustRightInd w:val="0"/>
              <w:snapToGrid w:val="0"/>
              <w:spacing w:before="0" w:beforeAutospacing="0" w:after="0" w:afterAutospacing="0"/>
              <w:jc w:val="center"/>
              <w:rPr>
                <w:rFonts w:hint="eastAsia" w:ascii="仿宋_GB2312" w:hAnsi="仿宋_GB2312" w:eastAsia="仿宋_GB2312" w:cs="仿宋_GB2312"/>
                <w:color w:val="000000" w:themeColor="text1"/>
                <w:sz w:val="20"/>
                <w:szCs w:val="20"/>
                <w:lang w:bidi="ar"/>
                <w14:textFill>
                  <w14:solidFill>
                    <w14:schemeClr w14:val="tx1"/>
                  </w14:solidFill>
                </w14:textFill>
              </w:rPr>
            </w:pPr>
            <w:r>
              <w:rPr>
                <w:rFonts w:hint="eastAsia" w:ascii="仿宋_GB2312" w:eastAsia="仿宋_GB2312" w:hAnsiTheme="minorEastAsia"/>
                <w:sz w:val="20"/>
                <w:szCs w:val="20"/>
                <w:lang w:bidi="ar"/>
              </w:rPr>
              <w:t>建（构）筑物类</w:t>
            </w:r>
          </w:p>
        </w:tc>
        <w:tc>
          <w:tcPr>
            <w:tcW w:w="1038" w:type="pct"/>
            <w:vAlign w:val="center"/>
          </w:tcPr>
          <w:p>
            <w:pPr>
              <w:widowControl/>
              <w:adjustRightInd w:val="0"/>
              <w:snapToGrid w:val="0"/>
              <w:spacing w:after="0" w:line="240" w:lineRule="auto"/>
              <w:jc w:val="left"/>
              <w:textAlignment w:val="center"/>
              <w:rPr>
                <w:rFonts w:hint="eastAsia" w:ascii="仿宋_GB2312" w:hAnsi="仿宋_GB2312" w:cs="仿宋_GB2312"/>
                <w:kern w:val="0"/>
                <w:sz w:val="20"/>
                <w:szCs w:val="20"/>
              </w:rPr>
            </w:pPr>
            <w:r>
              <w:rPr>
                <w:rFonts w:hint="eastAsia" w:ascii="仿宋_GB2312" w:hAnsi="仿宋_GB2312" w:cs="仿宋_GB2312"/>
                <w:bCs/>
                <w:kern w:val="0"/>
                <w:sz w:val="20"/>
                <w:szCs w:val="20"/>
              </w:rPr>
              <w:t>建(构)筑物受到振动、高温、低温或腐蚀等危险和有害因素影响时缺少相应的安全防范措施。</w:t>
            </w:r>
          </w:p>
        </w:tc>
        <w:tc>
          <w:tcPr>
            <w:tcW w:w="1397" w:type="pct"/>
            <w:vAlign w:val="center"/>
          </w:tcPr>
          <w:p>
            <w:pPr>
              <w:widowControl/>
              <w:adjustRightInd w:val="0"/>
              <w:snapToGrid w:val="0"/>
              <w:spacing w:after="0" w:line="240" w:lineRule="auto"/>
              <w:jc w:val="left"/>
              <w:textAlignment w:val="center"/>
              <w:rPr>
                <w:rFonts w:hint="eastAsia" w:ascii="仿宋_GB2312" w:hAnsi="仿宋_GB2312" w:cs="仿宋_GB2312"/>
                <w:bCs/>
                <w:kern w:val="0"/>
                <w:sz w:val="20"/>
                <w:szCs w:val="20"/>
              </w:rPr>
            </w:pPr>
            <w:r>
              <w:rPr>
                <w:rFonts w:hint="eastAsia" w:ascii="仿宋_GB2312" w:hAnsi="仿宋_GB2312" w:cs="仿宋_GB2312"/>
                <w:bCs/>
                <w:kern w:val="0"/>
                <w:sz w:val="20"/>
                <w:szCs w:val="20"/>
              </w:rPr>
              <w:t>建(构)筑物受到振动、高温、低温或腐蚀等危险和有害因素影响时应采取相应的安全防范措施。</w:t>
            </w:r>
          </w:p>
        </w:tc>
        <w:tc>
          <w:tcPr>
            <w:tcW w:w="1290" w:type="pct"/>
            <w:vAlign w:val="center"/>
          </w:tcPr>
          <w:p>
            <w:pPr>
              <w:widowControl/>
              <w:adjustRightInd w:val="0"/>
              <w:snapToGrid w:val="0"/>
              <w:spacing w:after="0" w:line="240" w:lineRule="auto"/>
              <w:jc w:val="left"/>
              <w:textAlignment w:val="center"/>
              <w:rPr>
                <w:rFonts w:hint="eastAsia" w:ascii="仿宋_GB2312" w:hAnsi="仿宋_GB2312" w:cs="仿宋_GB2312"/>
                <w:bCs/>
                <w:kern w:val="0"/>
                <w:sz w:val="20"/>
                <w:szCs w:val="20"/>
              </w:rPr>
            </w:pPr>
            <w:r>
              <w:rPr>
                <w:rFonts w:hint="eastAsia" w:ascii="仿宋_GB2312" w:cs="宋体" w:hAnsiTheme="minorEastAsia"/>
                <w:kern w:val="0"/>
                <w:sz w:val="20"/>
                <w:szCs w:val="20"/>
                <w:lang w:bidi="ar"/>
              </w:rPr>
              <w:t>《生产过程安全基本要求》</w:t>
            </w:r>
            <w:r>
              <w:rPr>
                <w:rFonts w:hint="eastAsia" w:ascii="仿宋_GB2312" w:cs="宋体" w:hAnsiTheme="minorEastAsia"/>
                <w:kern w:val="0"/>
                <w:sz w:val="20"/>
                <w:szCs w:val="20"/>
                <w:lang w:eastAsia="zh-CN" w:bidi="ar"/>
              </w:rPr>
              <w:t>（GB 12801-2025）</w:t>
            </w:r>
            <w:r>
              <w:rPr>
                <w:rFonts w:hint="eastAsia" w:ascii="仿宋_GB2312" w:cs="宋体" w:hAnsiTheme="minorEastAsia"/>
                <w:sz w:val="20"/>
                <w:szCs w:val="20"/>
                <w:lang w:bidi="ar"/>
              </w:rPr>
              <w:t>第</w:t>
            </w:r>
            <w:r>
              <w:rPr>
                <w:rFonts w:hint="eastAsia" w:ascii="仿宋_GB2312" w:hAnsi="仿宋_GB2312" w:cs="仿宋_GB2312"/>
                <w:color w:val="000000" w:themeColor="text1"/>
                <w:kern w:val="0"/>
                <w:sz w:val="20"/>
                <w:szCs w:val="20"/>
                <w:lang w:bidi="ar"/>
                <w14:textFill>
                  <w14:solidFill>
                    <w14:schemeClr w14:val="tx1"/>
                  </w14:solidFill>
                </w14:textFill>
              </w:rPr>
              <w:t>4.3.3条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pStyle w:val="20"/>
              <w:widowControl/>
              <w:tabs>
                <w:tab w:val="left" w:pos="0"/>
              </w:tabs>
              <w:adjustRightInd w:val="0"/>
              <w:snapToGrid w:val="0"/>
              <w:spacing w:after="0" w:line="240" w:lineRule="auto"/>
              <w:ind w:firstLine="0" w:firstLineChars="0"/>
              <w:jc w:val="center"/>
              <w:rPr>
                <w:rFonts w:hint="eastAsia" w:ascii="仿宋_GB2312" w:hAnsi="宋体" w:cs="宋体"/>
                <w:kern w:val="0"/>
                <w:sz w:val="20"/>
                <w:szCs w:val="20"/>
              </w:rPr>
            </w:pPr>
            <w:r>
              <w:rPr>
                <w:rFonts w:hint="eastAsia" w:ascii="仿宋_GB2312" w:hAnsiTheme="minorEastAsia"/>
                <w:sz w:val="20"/>
                <w:szCs w:val="20"/>
              </w:rPr>
              <w:t>12.4.03.110</w:t>
            </w:r>
          </w:p>
        </w:tc>
        <w:tc>
          <w:tcPr>
            <w:tcW w:w="383" w:type="pct"/>
            <w:vAlign w:val="center"/>
          </w:tcPr>
          <w:p>
            <w:pPr>
              <w:widowControl/>
              <w:adjustRightInd w:val="0"/>
              <w:snapToGrid w:val="0"/>
              <w:spacing w:after="0" w:line="240" w:lineRule="auto"/>
              <w:jc w:val="center"/>
              <w:textAlignment w:val="center"/>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场所环境类</w:t>
            </w:r>
          </w:p>
        </w:tc>
        <w:tc>
          <w:tcPr>
            <w:tcW w:w="371" w:type="pct"/>
            <w:vAlign w:val="center"/>
          </w:tcPr>
          <w:p>
            <w:pPr>
              <w:widowControl/>
              <w:adjustRightInd w:val="0"/>
              <w:snapToGrid w:val="0"/>
              <w:spacing w:after="0" w:line="240" w:lineRule="auto"/>
              <w:jc w:val="center"/>
              <w:textAlignment w:val="center"/>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标志及标识类</w:t>
            </w:r>
          </w:p>
        </w:tc>
        <w:tc>
          <w:tcPr>
            <w:tcW w:w="1038" w:type="pct"/>
            <w:vAlign w:val="center"/>
          </w:tcPr>
          <w:p>
            <w:pPr>
              <w:widowControl/>
              <w:adjustRightInd w:val="0"/>
              <w:snapToGrid w:val="0"/>
              <w:spacing w:after="0" w:line="240" w:lineRule="auto"/>
              <w:jc w:val="left"/>
              <w:textAlignment w:val="center"/>
              <w:rPr>
                <w:rFonts w:hint="eastAsia" w:ascii="仿宋_GB2312" w:hAnsi="仿宋_GB2312" w:cs="仿宋_GB2312"/>
                <w:kern w:val="0"/>
                <w:sz w:val="20"/>
                <w:szCs w:val="20"/>
              </w:rPr>
            </w:pPr>
            <w:r>
              <w:rPr>
                <w:rFonts w:hint="eastAsia" w:ascii="仿宋_GB2312" w:hAnsi="仿宋_GB2312" w:cs="仿宋_GB2312"/>
                <w:kern w:val="0"/>
                <w:sz w:val="20"/>
                <w:szCs w:val="20"/>
              </w:rPr>
              <w:t>未在有较大危险因素的生产经营场所和有关设施、设备上，设置明显的安全警示标志。</w:t>
            </w:r>
          </w:p>
        </w:tc>
        <w:tc>
          <w:tcPr>
            <w:tcW w:w="1397" w:type="pct"/>
            <w:vAlign w:val="center"/>
          </w:tcPr>
          <w:p>
            <w:pPr>
              <w:widowControl/>
              <w:adjustRightInd w:val="0"/>
              <w:snapToGrid w:val="0"/>
              <w:spacing w:after="0" w:line="240" w:lineRule="auto"/>
              <w:jc w:val="left"/>
              <w:textAlignment w:val="center"/>
              <w:rPr>
                <w:rFonts w:hint="eastAsia" w:ascii="仿宋_GB2312" w:hAnsi="仿宋_GB2312" w:cs="仿宋_GB2312"/>
                <w:bCs/>
                <w:kern w:val="0"/>
                <w:sz w:val="20"/>
                <w:szCs w:val="20"/>
              </w:rPr>
            </w:pPr>
            <w:r>
              <w:rPr>
                <w:rFonts w:hint="eastAsia" w:ascii="仿宋_GB2312" w:hAnsi="仿宋_GB2312" w:cs="仿宋_GB2312"/>
                <w:bCs/>
                <w:kern w:val="0"/>
                <w:sz w:val="20"/>
                <w:szCs w:val="20"/>
              </w:rPr>
              <w:t>生产经营单位应当在有较大危险因素的生产经营场所和有关设施、设备上，设置明显的安全警示标志。</w:t>
            </w:r>
          </w:p>
        </w:tc>
        <w:tc>
          <w:tcPr>
            <w:tcW w:w="1290" w:type="pct"/>
            <w:vAlign w:val="center"/>
          </w:tcPr>
          <w:p>
            <w:pPr>
              <w:widowControl/>
              <w:adjustRightInd w:val="0"/>
              <w:snapToGrid w:val="0"/>
              <w:spacing w:after="0" w:line="240" w:lineRule="auto"/>
              <w:jc w:val="left"/>
              <w:textAlignment w:val="center"/>
              <w:rPr>
                <w:rFonts w:hint="eastAsia" w:ascii="仿宋_GB2312" w:hAnsi="仿宋_GB2312" w:cs="仿宋_GB2312"/>
                <w:kern w:val="0"/>
                <w:sz w:val="20"/>
                <w:szCs w:val="20"/>
              </w:rPr>
            </w:pPr>
            <w:r>
              <w:rPr>
                <w:rFonts w:hint="eastAsia" w:ascii="仿宋_GB2312" w:hAnsi="仿宋_GB2312" w:cs="仿宋_GB2312"/>
                <w:bCs/>
                <w:kern w:val="0"/>
                <w:sz w:val="20"/>
                <w:szCs w:val="20"/>
              </w:rPr>
              <w:t>《中华人民共和国安全生产法》第三十五条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Theme="minorEastAsia"/>
                <w:sz w:val="20"/>
                <w:szCs w:val="20"/>
              </w:rPr>
              <w:t>12.4.03.111</w:t>
            </w:r>
          </w:p>
        </w:tc>
        <w:tc>
          <w:tcPr>
            <w:tcW w:w="383" w:type="pct"/>
            <w:vAlign w:val="center"/>
          </w:tcPr>
          <w:p>
            <w:pPr>
              <w:widowControl/>
              <w:adjustRightInd w:val="0"/>
              <w:snapToGrid w:val="0"/>
              <w:spacing w:after="0" w:line="240" w:lineRule="auto"/>
              <w:jc w:val="center"/>
              <w:textAlignment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场所环境类</w:t>
            </w:r>
          </w:p>
        </w:tc>
        <w:tc>
          <w:tcPr>
            <w:tcW w:w="371" w:type="pct"/>
            <w:vAlign w:val="center"/>
          </w:tcPr>
          <w:p>
            <w:pPr>
              <w:widowControl/>
              <w:adjustRightInd w:val="0"/>
              <w:snapToGrid w:val="0"/>
              <w:spacing w:after="0" w:line="240" w:lineRule="auto"/>
              <w:jc w:val="center"/>
              <w:textAlignment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标志及标识类</w:t>
            </w:r>
          </w:p>
        </w:tc>
        <w:tc>
          <w:tcPr>
            <w:tcW w:w="1038" w:type="pct"/>
            <w:vAlign w:val="center"/>
          </w:tcPr>
          <w:p>
            <w:pPr>
              <w:widowControl/>
              <w:adjustRightInd w:val="0"/>
              <w:snapToGrid w:val="0"/>
              <w:spacing w:after="0" w:line="240" w:lineRule="auto"/>
              <w:jc w:val="left"/>
              <w:textAlignment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使用危险化学品的单位，未在其作业场所和岗位设置明显的安全警示标志。（1）符合GB 13690 规定的化学品危险性质警示标签；（2）符合GB13495.1和GB15630规定的消防安全标志；（3）符合GB 2894 规定的禁止、警告、指令、提示等永久性安全标志。</w:t>
            </w:r>
          </w:p>
        </w:tc>
        <w:tc>
          <w:tcPr>
            <w:tcW w:w="1397" w:type="pct"/>
            <w:vAlign w:val="center"/>
          </w:tcPr>
          <w:p>
            <w:pPr>
              <w:widowControl/>
              <w:adjustRightInd w:val="0"/>
              <w:snapToGrid w:val="0"/>
              <w:spacing w:after="0" w:line="240" w:lineRule="auto"/>
              <w:jc w:val="left"/>
              <w:textAlignment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使用危险化学品的单位，应在其作业场所和岗位设置明显的安全警示标志。（1）符合GB 13690 规定的化学品危险性质警示标签；（2）符合GB13495.1和GB15630规定的消防安全标志；（3）符合GB 2894 规定的禁止、警告、指令、提示等永久性安全标志。</w:t>
            </w:r>
          </w:p>
        </w:tc>
        <w:tc>
          <w:tcPr>
            <w:tcW w:w="1290" w:type="pct"/>
            <w:vAlign w:val="center"/>
          </w:tcPr>
          <w:p>
            <w:pPr>
              <w:widowControl/>
              <w:adjustRightInd w:val="0"/>
              <w:snapToGrid w:val="0"/>
              <w:spacing w:after="0" w:line="240" w:lineRule="auto"/>
              <w:jc w:val="left"/>
              <w:textAlignment w:val="center"/>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《危险化学品储存场所建设及储存安全要求》（</w:t>
            </w:r>
            <w:r>
              <w:rPr>
                <w:rFonts w:hint="eastAsia" w:ascii="仿宋_GB2312" w:hAnsi="仿宋_GB2312" w:cs="仿宋_GB2312"/>
                <w:color w:val="000000" w:themeColor="text1"/>
                <w:sz w:val="20"/>
                <w:szCs w:val="20"/>
                <w14:textFill>
                  <w14:solidFill>
                    <w14:schemeClr w14:val="tx1"/>
                  </w14:solidFill>
                </w14:textFill>
              </w:rPr>
              <w:t>DB11/T 755</w:t>
            </w:r>
            <w:r>
              <w:rPr>
                <w:rFonts w:hint="eastAsia" w:ascii="仿宋_GB2312" w:hAnsi="仿宋_GB2312" w:cs="仿宋_GB2312"/>
                <w:color w:val="000000" w:themeColor="text1"/>
                <w:kern w:val="0"/>
                <w:sz w:val="20"/>
                <w:szCs w:val="20"/>
                <w:lang w:bidi="ar"/>
                <w14:textFill>
                  <w14:solidFill>
                    <w14:schemeClr w14:val="tx1"/>
                  </w14:solidFill>
                </w14:textFill>
              </w:rPr>
              <w:t>）第4.1.3.13条；</w:t>
            </w:r>
          </w:p>
          <w:p>
            <w:pPr>
              <w:widowControl/>
              <w:adjustRightInd w:val="0"/>
              <w:snapToGrid w:val="0"/>
              <w:spacing w:after="0" w:line="240" w:lineRule="auto"/>
              <w:jc w:val="left"/>
              <w:textAlignment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kern w:val="0"/>
                <w:sz w:val="20"/>
                <w:szCs w:val="20"/>
                <w:lang w:eastAsia="zh-CN" w:bidi="ar"/>
                <w14:textFill>
                  <w14:solidFill>
                    <w14:schemeClr w14:val="tx1"/>
                  </w14:solidFill>
                </w14:textFill>
              </w:rPr>
              <w:t>《安全生产等级评定技术规范 第2部分：安全生产通用要求》</w:t>
            </w:r>
            <w:r>
              <w:rPr>
                <w:rFonts w:hint="eastAsia" w:ascii="仿宋_GB2312" w:hAnsi="仿宋_GB2312" w:cs="仿宋_GB2312"/>
                <w:color w:val="000000" w:themeColor="text1"/>
                <w:kern w:val="0"/>
                <w:sz w:val="20"/>
                <w:szCs w:val="20"/>
                <w:lang w:bidi="ar"/>
                <w14:textFill>
                  <w14:solidFill>
                    <w14:schemeClr w14:val="tx1"/>
                  </w14:solidFill>
                </w14:textFill>
              </w:rPr>
              <w:t>（DB11/T 1322.2-2017）</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Theme="minorEastAsia"/>
                <w:sz w:val="20"/>
                <w:szCs w:val="20"/>
              </w:rPr>
              <w:t>12.4.03.112</w:t>
            </w:r>
          </w:p>
        </w:tc>
        <w:tc>
          <w:tcPr>
            <w:tcW w:w="383" w:type="pct"/>
            <w:vAlign w:val="center"/>
          </w:tcPr>
          <w:p>
            <w:pPr>
              <w:widowControl/>
              <w:adjustRightInd w:val="0"/>
              <w:snapToGrid w:val="0"/>
              <w:spacing w:after="0" w:line="240" w:lineRule="auto"/>
              <w:jc w:val="center"/>
              <w:textAlignment w:val="center"/>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场所环境类</w:t>
            </w:r>
          </w:p>
        </w:tc>
        <w:tc>
          <w:tcPr>
            <w:tcW w:w="371" w:type="pct"/>
            <w:vAlign w:val="center"/>
          </w:tcPr>
          <w:p>
            <w:pPr>
              <w:widowControl/>
              <w:adjustRightInd w:val="0"/>
              <w:snapToGrid w:val="0"/>
              <w:spacing w:after="0" w:line="240" w:lineRule="auto"/>
              <w:jc w:val="center"/>
              <w:textAlignment w:val="center"/>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标志及标识类</w:t>
            </w:r>
          </w:p>
        </w:tc>
        <w:tc>
          <w:tcPr>
            <w:tcW w:w="1038" w:type="pct"/>
            <w:vAlign w:val="center"/>
          </w:tcPr>
          <w:p>
            <w:pPr>
              <w:widowControl/>
              <w:adjustRightInd w:val="0"/>
              <w:snapToGrid w:val="0"/>
              <w:spacing w:after="0" w:line="240" w:lineRule="auto"/>
              <w:jc w:val="left"/>
              <w:textAlignment w:val="center"/>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安全标志牌张贴顺序不正确。</w:t>
            </w:r>
          </w:p>
        </w:tc>
        <w:tc>
          <w:tcPr>
            <w:tcW w:w="1397" w:type="pct"/>
            <w:vAlign w:val="center"/>
          </w:tcPr>
          <w:p>
            <w:pPr>
              <w:widowControl/>
              <w:tabs>
                <w:tab w:val="left" w:pos="917"/>
              </w:tabs>
              <w:adjustRightInd w:val="0"/>
              <w:snapToGrid w:val="0"/>
              <w:spacing w:after="0" w:line="240" w:lineRule="auto"/>
              <w:jc w:val="left"/>
              <w:textAlignment w:val="center"/>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多个安全标志牌在同一部位设置时,应按警告、禁止、指令、提示类型的顺序,先左后右、先上后下排列。</w:t>
            </w:r>
          </w:p>
        </w:tc>
        <w:tc>
          <w:tcPr>
            <w:tcW w:w="1290" w:type="pct"/>
            <w:vAlign w:val="center"/>
          </w:tcPr>
          <w:p>
            <w:pPr>
              <w:widowControl/>
              <w:adjustRightInd w:val="0"/>
              <w:snapToGrid w:val="0"/>
              <w:spacing w:after="0" w:line="240" w:lineRule="auto"/>
              <w:jc w:val="left"/>
              <w:textAlignment w:val="center"/>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《安全色和安全标志》（GB2894-2025）</w:t>
            </w:r>
            <w:r>
              <w:rPr>
                <w:rFonts w:hint="eastAsia" w:ascii="仿宋_GB2312" w:cs="宋体" w:hAnsiTheme="minorEastAsia"/>
                <w:sz w:val="20"/>
                <w:szCs w:val="20"/>
                <w:lang w:bidi="ar"/>
              </w:rPr>
              <w:t>第</w:t>
            </w:r>
            <w:r>
              <w:rPr>
                <w:rFonts w:hint="eastAsia" w:ascii="仿宋_GB2312" w:hAnsi="仿宋_GB2312" w:cs="仿宋_GB2312"/>
                <w:color w:val="000000" w:themeColor="text1"/>
                <w:kern w:val="0"/>
                <w:sz w:val="20"/>
                <w:szCs w:val="20"/>
                <w:lang w:bidi="ar"/>
                <w14:textFill>
                  <w14:solidFill>
                    <w14:schemeClr w14:val="tx1"/>
                  </w14:solidFill>
                </w14:textFill>
              </w:rPr>
              <w:t>7.3.3条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Theme="minorEastAsia"/>
                <w:sz w:val="20"/>
                <w:szCs w:val="20"/>
              </w:rPr>
              <w:t>12.4.04.113</w:t>
            </w:r>
          </w:p>
        </w:tc>
        <w:tc>
          <w:tcPr>
            <w:tcW w:w="383" w:type="pct"/>
            <w:vAlign w:val="center"/>
          </w:tcPr>
          <w:p>
            <w:pPr>
              <w:widowControl/>
              <w:adjustRightInd w:val="0"/>
              <w:snapToGrid w:val="0"/>
              <w:spacing w:after="0" w:line="240" w:lineRule="auto"/>
              <w:jc w:val="center"/>
              <w:textAlignment w:val="center"/>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场所环境类</w:t>
            </w:r>
          </w:p>
        </w:tc>
        <w:tc>
          <w:tcPr>
            <w:tcW w:w="371" w:type="pct"/>
            <w:vAlign w:val="center"/>
          </w:tcPr>
          <w:p>
            <w:pPr>
              <w:widowControl/>
              <w:adjustRightInd w:val="0"/>
              <w:snapToGrid w:val="0"/>
              <w:spacing w:after="0" w:line="240" w:lineRule="auto"/>
              <w:jc w:val="center"/>
              <w:textAlignment w:val="center"/>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作业环境类</w:t>
            </w:r>
          </w:p>
        </w:tc>
        <w:tc>
          <w:tcPr>
            <w:tcW w:w="1038" w:type="pct"/>
            <w:vAlign w:val="center"/>
          </w:tcPr>
          <w:p>
            <w:pPr>
              <w:widowControl/>
              <w:adjustRightInd w:val="0"/>
              <w:snapToGrid w:val="0"/>
              <w:spacing w:after="0" w:line="240" w:lineRule="auto"/>
              <w:jc w:val="left"/>
              <w:textAlignment w:val="center"/>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作业场所的坑、池、井和沟等缺少盖板或防护栏杆。液池、液槽、液罐等缺少防淹溺措施。</w:t>
            </w:r>
          </w:p>
        </w:tc>
        <w:tc>
          <w:tcPr>
            <w:tcW w:w="1397" w:type="pct"/>
            <w:vAlign w:val="center"/>
          </w:tcPr>
          <w:p>
            <w:pPr>
              <w:widowControl/>
              <w:adjustRightInd w:val="0"/>
              <w:snapToGrid w:val="0"/>
              <w:spacing w:after="0" w:line="240" w:lineRule="auto"/>
              <w:jc w:val="left"/>
              <w:textAlignment w:val="center"/>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作业场所的坑、池、井和沟等应设置盖板或防护栏杆。液池、液槽、液罐等应采取防淹溺措施。</w:t>
            </w:r>
          </w:p>
        </w:tc>
        <w:tc>
          <w:tcPr>
            <w:tcW w:w="1290" w:type="pct"/>
            <w:vAlign w:val="center"/>
          </w:tcPr>
          <w:p>
            <w:pPr>
              <w:widowControl/>
              <w:adjustRightInd w:val="0"/>
              <w:snapToGrid w:val="0"/>
              <w:spacing w:after="0" w:line="240" w:lineRule="auto"/>
              <w:jc w:val="left"/>
              <w:textAlignment w:val="center"/>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《生产过程安全基本要求》</w:t>
            </w:r>
            <w:r>
              <w:rPr>
                <w:rFonts w:hint="eastAsia" w:ascii="仿宋_GB2312" w:cs="宋体" w:hAnsiTheme="minorEastAsia"/>
                <w:kern w:val="0"/>
                <w:sz w:val="20"/>
                <w:szCs w:val="20"/>
                <w:lang w:eastAsia="zh-CN" w:bidi="ar"/>
              </w:rPr>
              <w:t>（GB 12801-2025）</w:t>
            </w:r>
            <w:r>
              <w:rPr>
                <w:rFonts w:hint="eastAsia" w:ascii="仿宋_GB2312" w:cs="宋体" w:hAnsiTheme="minorEastAsia"/>
                <w:sz w:val="20"/>
                <w:szCs w:val="20"/>
                <w:lang w:bidi="ar"/>
              </w:rPr>
              <w:t>第</w:t>
            </w:r>
            <w:r>
              <w:rPr>
                <w:rFonts w:hint="eastAsia" w:ascii="仿宋_GB2312" w:hAnsi="仿宋_GB2312" w:cs="仿宋_GB2312"/>
                <w:color w:val="000000" w:themeColor="text1"/>
                <w:kern w:val="0"/>
                <w:sz w:val="20"/>
                <w:szCs w:val="20"/>
                <w:lang w:bidi="ar"/>
                <w14:textFill>
                  <w14:solidFill>
                    <w14:schemeClr w14:val="tx1"/>
                  </w14:solidFill>
                </w14:textFill>
              </w:rPr>
              <w:t>5.6.1条；</w:t>
            </w:r>
            <w:r>
              <w:rPr>
                <w:rFonts w:hint="eastAsia" w:ascii="仿宋_GB2312" w:cs="宋体" w:hAnsiTheme="minorEastAsia"/>
                <w:sz w:val="20"/>
                <w:szCs w:val="20"/>
                <w:lang w:bidi="ar"/>
              </w:rPr>
              <w:t>第</w:t>
            </w:r>
            <w:r>
              <w:rPr>
                <w:rFonts w:hint="eastAsia" w:ascii="仿宋_GB2312" w:hAnsi="仿宋_GB2312" w:cs="仿宋_GB2312"/>
                <w:color w:val="000000" w:themeColor="text1"/>
                <w:kern w:val="0"/>
                <w:sz w:val="20"/>
                <w:szCs w:val="20"/>
                <w:lang w:bidi="ar"/>
                <w14:textFill>
                  <w14:solidFill>
                    <w14:schemeClr w14:val="tx1"/>
                  </w14:solidFill>
                </w14:textFill>
              </w:rPr>
              <w:t>5.7.1条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Theme="minorEastAsia"/>
                <w:sz w:val="20"/>
                <w:szCs w:val="20"/>
              </w:rPr>
              <w:t>12.4.04.114</w:t>
            </w:r>
          </w:p>
        </w:tc>
        <w:tc>
          <w:tcPr>
            <w:tcW w:w="383" w:type="pct"/>
            <w:vAlign w:val="center"/>
          </w:tcPr>
          <w:p>
            <w:pPr>
              <w:widowControl/>
              <w:adjustRightInd w:val="0"/>
              <w:snapToGrid w:val="0"/>
              <w:spacing w:after="0" w:line="240" w:lineRule="auto"/>
              <w:jc w:val="center"/>
              <w:textAlignment w:val="center"/>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场所环境类</w:t>
            </w:r>
          </w:p>
        </w:tc>
        <w:tc>
          <w:tcPr>
            <w:tcW w:w="371" w:type="pct"/>
            <w:vAlign w:val="center"/>
          </w:tcPr>
          <w:p>
            <w:pPr>
              <w:widowControl/>
              <w:adjustRightInd w:val="0"/>
              <w:snapToGrid w:val="0"/>
              <w:spacing w:after="0" w:line="240" w:lineRule="auto"/>
              <w:jc w:val="center"/>
              <w:textAlignment w:val="center"/>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作业环境类</w:t>
            </w:r>
          </w:p>
        </w:tc>
        <w:tc>
          <w:tcPr>
            <w:tcW w:w="1038" w:type="pct"/>
            <w:vAlign w:val="center"/>
          </w:tcPr>
          <w:p>
            <w:pPr>
              <w:widowControl/>
              <w:adjustRightInd w:val="0"/>
              <w:snapToGrid w:val="0"/>
              <w:spacing w:after="0" w:line="240" w:lineRule="auto"/>
              <w:jc w:val="left"/>
              <w:textAlignment w:val="center"/>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通道或作业场所上方有物体坠落可能时,缺少隔离护栏、防护网等防物体打击的安全措施。</w:t>
            </w:r>
          </w:p>
        </w:tc>
        <w:tc>
          <w:tcPr>
            <w:tcW w:w="1397" w:type="pct"/>
            <w:vAlign w:val="center"/>
          </w:tcPr>
          <w:p>
            <w:pPr>
              <w:widowControl/>
              <w:adjustRightInd w:val="0"/>
              <w:snapToGrid w:val="0"/>
              <w:spacing w:after="0" w:line="240" w:lineRule="auto"/>
              <w:jc w:val="left"/>
              <w:textAlignment w:val="center"/>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通道或作业场所上方有物体坠落可能时,应采取隔离护栏、防护网等防物体打击的安全措施。</w:t>
            </w:r>
          </w:p>
        </w:tc>
        <w:tc>
          <w:tcPr>
            <w:tcW w:w="1290" w:type="pct"/>
            <w:vAlign w:val="center"/>
          </w:tcPr>
          <w:p>
            <w:pPr>
              <w:widowControl/>
              <w:adjustRightInd w:val="0"/>
              <w:snapToGrid w:val="0"/>
              <w:spacing w:after="0" w:line="240" w:lineRule="auto"/>
              <w:jc w:val="left"/>
              <w:textAlignment w:val="center"/>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cs="宋体" w:hAnsiTheme="minorEastAsia"/>
                <w:kern w:val="0"/>
                <w:sz w:val="20"/>
                <w:szCs w:val="20"/>
                <w:lang w:bidi="ar"/>
              </w:rPr>
              <w:t>《生产过程安全基本要求》</w:t>
            </w:r>
            <w:r>
              <w:rPr>
                <w:rFonts w:hint="eastAsia" w:ascii="仿宋_GB2312" w:cs="宋体" w:hAnsiTheme="minorEastAsia"/>
                <w:kern w:val="0"/>
                <w:sz w:val="20"/>
                <w:szCs w:val="20"/>
                <w:lang w:eastAsia="zh-CN" w:bidi="ar"/>
              </w:rPr>
              <w:t>（GB 12801-2025）</w:t>
            </w:r>
            <w:r>
              <w:rPr>
                <w:rFonts w:hint="eastAsia" w:ascii="仿宋_GB2312" w:cs="宋体" w:hAnsiTheme="minorEastAsia"/>
                <w:sz w:val="20"/>
                <w:szCs w:val="20"/>
                <w:lang w:bidi="ar"/>
              </w:rPr>
              <w:t>第</w:t>
            </w:r>
            <w:r>
              <w:rPr>
                <w:rFonts w:hint="eastAsia" w:ascii="仿宋_GB2312" w:hAnsi="仿宋_GB2312" w:cs="仿宋_GB2312"/>
                <w:color w:val="000000" w:themeColor="text1"/>
                <w:kern w:val="0"/>
                <w:sz w:val="20"/>
                <w:szCs w:val="20"/>
                <w:lang w:bidi="ar"/>
                <w14:textFill>
                  <w14:solidFill>
                    <w14:schemeClr w14:val="tx1"/>
                  </w14:solidFill>
                </w14:textFill>
              </w:rPr>
              <w:t>5.7.2条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6" w:type="pct"/>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Theme="minorEastAsia"/>
                <w:sz w:val="20"/>
                <w:szCs w:val="20"/>
              </w:rPr>
              <w:t>12.4.04.115</w:t>
            </w:r>
          </w:p>
        </w:tc>
        <w:tc>
          <w:tcPr>
            <w:tcW w:w="383" w:type="pct"/>
            <w:vAlign w:val="center"/>
          </w:tcPr>
          <w:p>
            <w:pPr>
              <w:widowControl/>
              <w:adjustRightInd w:val="0"/>
              <w:snapToGrid w:val="0"/>
              <w:spacing w:after="0" w:line="240" w:lineRule="auto"/>
              <w:jc w:val="center"/>
              <w:textAlignment w:val="center"/>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场所环境类</w:t>
            </w:r>
          </w:p>
        </w:tc>
        <w:tc>
          <w:tcPr>
            <w:tcW w:w="371" w:type="pct"/>
            <w:vAlign w:val="center"/>
          </w:tcPr>
          <w:p>
            <w:pPr>
              <w:widowControl/>
              <w:adjustRightInd w:val="0"/>
              <w:snapToGrid w:val="0"/>
              <w:spacing w:after="0" w:line="240" w:lineRule="auto"/>
              <w:jc w:val="center"/>
              <w:textAlignment w:val="center"/>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作业环境类</w:t>
            </w:r>
          </w:p>
        </w:tc>
        <w:tc>
          <w:tcPr>
            <w:tcW w:w="1038" w:type="pct"/>
            <w:vAlign w:val="center"/>
          </w:tcPr>
          <w:p>
            <w:pPr>
              <w:widowControl/>
              <w:adjustRightInd w:val="0"/>
              <w:snapToGrid w:val="0"/>
              <w:spacing w:after="0" w:line="240" w:lineRule="auto"/>
              <w:jc w:val="left"/>
              <w:textAlignment w:val="center"/>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作业场所未按规定设置应急照明、安全疏散通道及疏散指示标志。</w:t>
            </w:r>
          </w:p>
        </w:tc>
        <w:tc>
          <w:tcPr>
            <w:tcW w:w="1397" w:type="pct"/>
            <w:vAlign w:val="center"/>
          </w:tcPr>
          <w:p>
            <w:pPr>
              <w:widowControl/>
              <w:adjustRightInd w:val="0"/>
              <w:snapToGrid w:val="0"/>
              <w:spacing w:after="0" w:line="240" w:lineRule="auto"/>
              <w:jc w:val="left"/>
              <w:textAlignment w:val="center"/>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作业场所应按规定设置应急照明、安全疏散通道及疏散指示标志。</w:t>
            </w:r>
          </w:p>
        </w:tc>
        <w:tc>
          <w:tcPr>
            <w:tcW w:w="1290" w:type="pct"/>
            <w:vAlign w:val="center"/>
          </w:tcPr>
          <w:p>
            <w:pPr>
              <w:widowControl/>
              <w:adjustRightInd w:val="0"/>
              <w:snapToGrid w:val="0"/>
              <w:spacing w:after="0" w:line="240" w:lineRule="auto"/>
              <w:jc w:val="left"/>
              <w:textAlignment w:val="center"/>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cs="宋体" w:hAnsiTheme="minorEastAsia"/>
                <w:kern w:val="0"/>
                <w:sz w:val="20"/>
                <w:szCs w:val="20"/>
                <w:lang w:bidi="ar"/>
              </w:rPr>
              <w:t>《生产过程安全基本要求》</w:t>
            </w:r>
            <w:r>
              <w:rPr>
                <w:rFonts w:hint="eastAsia" w:ascii="仿宋_GB2312" w:cs="宋体" w:hAnsiTheme="minorEastAsia"/>
                <w:kern w:val="0"/>
                <w:sz w:val="20"/>
                <w:szCs w:val="20"/>
                <w:lang w:eastAsia="zh-CN" w:bidi="ar"/>
              </w:rPr>
              <w:t>（GB 12801-2025）</w:t>
            </w:r>
            <w:r>
              <w:rPr>
                <w:rFonts w:hint="eastAsia" w:ascii="仿宋_GB2312" w:cs="宋体" w:hAnsiTheme="minorEastAsia"/>
                <w:sz w:val="20"/>
                <w:szCs w:val="20"/>
                <w:lang w:bidi="ar"/>
              </w:rPr>
              <w:t>第</w:t>
            </w:r>
            <w:r>
              <w:rPr>
                <w:rFonts w:hint="eastAsia" w:ascii="仿宋_GB2312" w:hAnsi="仿宋_GB2312" w:cs="仿宋_GB2312"/>
                <w:color w:val="000000" w:themeColor="text1"/>
                <w:kern w:val="0"/>
                <w:sz w:val="20"/>
                <w:szCs w:val="20"/>
                <w:lang w:bidi="ar"/>
                <w14:textFill>
                  <w14:solidFill>
                    <w14:schemeClr w14:val="tx1"/>
                  </w14:solidFill>
                </w14:textFill>
              </w:rPr>
              <w:t>5.7.5条</w:t>
            </w:r>
          </w:p>
        </w:tc>
        <w:tc>
          <w:tcPr>
            <w:tcW w:w="182" w:type="pct"/>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00" w:type="pct"/>
            <w:gridSpan w:val="7"/>
            <w:noWrap/>
            <w:vAlign w:val="center"/>
          </w:tcPr>
          <w:p>
            <w:pPr>
              <w:adjustRightInd w:val="0"/>
              <w:snapToGrid w:val="0"/>
              <w:spacing w:after="0" w:line="240" w:lineRule="auto"/>
              <w:rPr>
                <w:rFonts w:hint="eastAsia" w:ascii="仿宋_GB2312" w:hAnsi="宋体" w:cs="宋体"/>
                <w:kern w:val="0"/>
                <w:sz w:val="20"/>
                <w:szCs w:val="20"/>
              </w:rPr>
            </w:pPr>
            <w:r>
              <w:rPr>
                <w:rFonts w:hint="eastAsia" w:ascii="仿宋_GB2312" w:hAnsi="宋体" w:cs="宋体"/>
                <w:kern w:val="0"/>
                <w:sz w:val="20"/>
                <w:szCs w:val="20"/>
              </w:rPr>
              <w:t>注：加★为化工和危险化学品</w:t>
            </w:r>
            <w:r>
              <w:rPr>
                <w:rFonts w:hint="eastAsia" w:ascii="仿宋_GB2312" w:hAnsi="宋体" w:cs="宋体"/>
                <w:kern w:val="0"/>
                <w:sz w:val="20"/>
                <w:szCs w:val="20"/>
                <w:lang w:val="en-US" w:eastAsia="zh-CN"/>
              </w:rPr>
              <w:t>生产经营</w:t>
            </w:r>
            <w:r>
              <w:rPr>
                <w:rFonts w:hint="eastAsia" w:ascii="仿宋_GB2312" w:hAnsi="宋体" w:cs="宋体"/>
                <w:kern w:val="0"/>
                <w:sz w:val="20"/>
                <w:szCs w:val="20"/>
              </w:rPr>
              <w:t>企业重大生产安全事故隐患。</w:t>
            </w:r>
          </w:p>
        </w:tc>
      </w:tr>
    </w:tbl>
    <w:p>
      <w:pPr>
        <w:pStyle w:val="2"/>
        <w:spacing w:line="240" w:lineRule="atLeast"/>
        <w:ind w:firstLine="0" w:firstLineChars="0"/>
        <w:jc w:val="center"/>
        <w:rPr>
          <w:rFonts w:hint="eastAsia" w:ascii="方正小标宋简体" w:hAnsi="方正小标宋简体" w:eastAsia="方正小标宋简体" w:cs="方正小标宋简体"/>
          <w:kern w:val="2"/>
          <w:sz w:val="44"/>
          <w:szCs w:val="44"/>
        </w:rPr>
        <w:sectPr>
          <w:footerReference r:id="rId7" w:type="default"/>
          <w:pgSz w:w="16838" w:h="11906" w:orient="landscape"/>
          <w:pgMar w:top="1800" w:right="1440" w:bottom="1800" w:left="1440" w:header="851" w:footer="992" w:gutter="0"/>
          <w:pgNumType w:fmt="decimal" w:start="1"/>
          <w:cols w:space="425" w:num="1"/>
          <w:docGrid w:type="lines" w:linePitch="312" w:charSpace="0"/>
        </w:sectPr>
      </w:pPr>
    </w:p>
    <w:p>
      <w:pPr>
        <w:pStyle w:val="2"/>
        <w:adjustRightInd w:val="0"/>
        <w:snapToGrid w:val="0"/>
        <w:spacing w:before="156" w:beforeLines="50" w:after="156" w:afterLines="50" w:line="800" w:lineRule="exact"/>
        <w:ind w:firstLine="0" w:firstLineChars="0"/>
        <w:jc w:val="center"/>
        <w:rPr>
          <w:rFonts w:hint="eastAsia" w:ascii="方正小标宋简体" w:hAnsi="方正小标宋简体" w:eastAsia="方正小标宋简体" w:cs="方正小标宋简体"/>
          <w:kern w:val="2"/>
          <w:sz w:val="44"/>
          <w:szCs w:val="44"/>
        </w:rPr>
      </w:pPr>
      <w:bookmarkStart w:id="12" w:name="_Toc1986429095_WPSOffice_Level1"/>
      <w:r>
        <w:rPr>
          <w:rFonts w:hint="eastAsia" w:ascii="方正小标宋简体" w:hAnsi="方正小标宋简体" w:eastAsia="方正小标宋简体" w:cs="方正小标宋简体"/>
          <w:kern w:val="2"/>
          <w:sz w:val="44"/>
          <w:szCs w:val="44"/>
        </w:rPr>
        <w:t>北京市医药制造企业危险化学品</w:t>
      </w:r>
      <w:r>
        <w:rPr>
          <w:rFonts w:hint="eastAsia" w:ascii="方正小标宋简体" w:hAnsi="方正小标宋简体" w:eastAsia="方正小标宋简体" w:cs="方正小标宋简体"/>
          <w:sz w:val="44"/>
          <w:szCs w:val="44"/>
        </w:rPr>
        <w:t>隐患</w:t>
      </w:r>
      <w:r>
        <w:rPr>
          <w:rFonts w:hint="eastAsia" w:ascii="方正小标宋简体" w:hAnsi="方正小标宋简体" w:eastAsia="方正小标宋简体" w:cs="方正小标宋简体"/>
          <w:sz w:val="44"/>
          <w:szCs w:val="44"/>
          <w:lang w:eastAsia="zh-CN"/>
        </w:rPr>
        <w:t>自</w:t>
      </w:r>
      <w:r>
        <w:rPr>
          <w:rFonts w:hint="eastAsia" w:ascii="方正小标宋简体" w:hAnsi="方正小标宋简体" w:eastAsia="方正小标宋简体" w:cs="方正小标宋简体"/>
          <w:sz w:val="44"/>
          <w:szCs w:val="44"/>
        </w:rPr>
        <w:t>查清单</w:t>
      </w:r>
      <w:bookmarkEnd w:id="12"/>
    </w:p>
    <w:tbl>
      <w:tblPr>
        <w:tblStyle w:val="12"/>
        <w:tblW w:w="502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
      <w:tblGrid>
        <w:gridCol w:w="909"/>
        <w:gridCol w:w="1092"/>
        <w:gridCol w:w="1058"/>
        <w:gridCol w:w="2881"/>
        <w:gridCol w:w="3919"/>
        <w:gridCol w:w="3605"/>
        <w:gridCol w:w="5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blHeader/>
          <w:jc w:val="center"/>
        </w:trPr>
        <w:tc>
          <w:tcPr>
            <w:tcW w:w="323" w:type="pct"/>
            <w:vMerge w:val="restart"/>
            <w:tcBorders>
              <w:tl2br w:val="nil"/>
              <w:tr2bl w:val="nil"/>
            </w:tcBorders>
            <w:shd w:val="clear" w:color="auto" w:fill="95B3D7" w:themeFill="accent1" w:themeFillTint="99"/>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b/>
                <w:bCs/>
                <w:sz w:val="20"/>
                <w:szCs w:val="20"/>
                <w:lang w:eastAsia="zh-TW"/>
              </w:rPr>
            </w:pPr>
            <w:r>
              <w:rPr>
                <w:rFonts w:hint="eastAsia" w:ascii="仿宋_GB2312" w:eastAsia="仿宋_GB2312" w:hAnsiTheme="minorEastAsia"/>
                <w:b/>
                <w:bCs/>
                <w:sz w:val="20"/>
                <w:szCs w:val="20"/>
              </w:rPr>
              <w:t>编号</w:t>
            </w:r>
          </w:p>
        </w:tc>
        <w:tc>
          <w:tcPr>
            <w:tcW w:w="764" w:type="pct"/>
            <w:gridSpan w:val="2"/>
            <w:tcBorders>
              <w:tl2br w:val="nil"/>
              <w:tr2bl w:val="nil"/>
            </w:tcBorders>
            <w:shd w:val="clear" w:color="auto" w:fill="95B3D7" w:themeFill="accent1" w:themeFillTint="99"/>
            <w:vAlign w:val="center"/>
          </w:tcPr>
          <w:p>
            <w:pPr>
              <w:widowControl/>
              <w:suppressAutoHyphens/>
              <w:adjustRightInd w:val="0"/>
              <w:snapToGrid w:val="0"/>
              <w:spacing w:after="0" w:line="240" w:lineRule="auto"/>
              <w:jc w:val="center"/>
              <w:rPr>
                <w:rFonts w:hint="eastAsia" w:ascii="仿宋_GB2312" w:hAnsiTheme="minorEastAsia"/>
                <w:b/>
                <w:bCs/>
                <w:sz w:val="20"/>
                <w:szCs w:val="20"/>
                <w:lang w:eastAsia="zh-TW"/>
              </w:rPr>
            </w:pPr>
            <w:r>
              <w:rPr>
                <w:rFonts w:hint="eastAsia" w:ascii="仿宋_GB2312" w:hAnsi="仿宋_GB2312" w:cs="仿宋_GB2312"/>
                <w:b/>
                <w:bCs/>
                <w:kern w:val="0"/>
                <w:sz w:val="20"/>
                <w:szCs w:val="20"/>
              </w:rPr>
              <w:t>隐患分类</w:t>
            </w:r>
          </w:p>
        </w:tc>
        <w:tc>
          <w:tcPr>
            <w:tcW w:w="1025" w:type="pct"/>
            <w:vMerge w:val="restart"/>
            <w:tcBorders>
              <w:tl2br w:val="nil"/>
              <w:tr2bl w:val="nil"/>
            </w:tcBorders>
            <w:shd w:val="clear" w:color="auto" w:fill="95B3D7" w:themeFill="accent1" w:themeFillTint="99"/>
            <w:vAlign w:val="center"/>
          </w:tcPr>
          <w:p>
            <w:pPr>
              <w:widowControl/>
              <w:suppressAutoHyphens/>
              <w:adjustRightInd w:val="0"/>
              <w:snapToGrid w:val="0"/>
              <w:spacing w:after="0" w:line="240" w:lineRule="auto"/>
              <w:jc w:val="center"/>
              <w:textAlignment w:val="center"/>
              <w:rPr>
                <w:rFonts w:hint="eastAsia" w:ascii="仿宋_GB2312" w:hAnsiTheme="minorEastAsia"/>
                <w:b/>
                <w:bCs/>
                <w:sz w:val="20"/>
                <w:szCs w:val="20"/>
                <w:lang w:eastAsia="zh-TW"/>
              </w:rPr>
            </w:pPr>
            <w:r>
              <w:rPr>
                <w:rFonts w:hint="eastAsia" w:ascii="仿宋_GB2312" w:hAnsiTheme="minorEastAsia"/>
                <w:b/>
                <w:bCs/>
                <w:sz w:val="20"/>
                <w:szCs w:val="20"/>
              </w:rPr>
              <w:t>自查内容</w:t>
            </w:r>
          </w:p>
        </w:tc>
        <w:tc>
          <w:tcPr>
            <w:tcW w:w="1394" w:type="pct"/>
            <w:vMerge w:val="restart"/>
            <w:tcBorders>
              <w:tl2br w:val="nil"/>
              <w:tr2bl w:val="nil"/>
            </w:tcBorders>
            <w:shd w:val="clear" w:color="auto" w:fill="95B3D7" w:themeFill="accent1" w:themeFillTint="99"/>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b/>
                <w:bCs/>
                <w:sz w:val="20"/>
                <w:szCs w:val="20"/>
                <w:lang w:eastAsia="zh-TW" w:bidi="ar"/>
              </w:rPr>
            </w:pPr>
            <w:r>
              <w:rPr>
                <w:rFonts w:hint="eastAsia" w:ascii="仿宋_GB2312" w:eastAsia="仿宋_GB2312" w:hAnsiTheme="minorEastAsia"/>
                <w:b/>
                <w:bCs/>
                <w:sz w:val="20"/>
                <w:szCs w:val="20"/>
                <w:lang w:eastAsia="zh-TW" w:bidi="ar"/>
              </w:rPr>
              <w:t>自查标准</w:t>
            </w:r>
          </w:p>
        </w:tc>
        <w:tc>
          <w:tcPr>
            <w:tcW w:w="1282" w:type="pct"/>
            <w:vMerge w:val="restart"/>
            <w:tcBorders>
              <w:tl2br w:val="nil"/>
              <w:tr2bl w:val="nil"/>
            </w:tcBorders>
            <w:shd w:val="clear" w:color="auto" w:fill="95B3D7" w:themeFill="accent1" w:themeFillTint="99"/>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b/>
                <w:bCs/>
                <w:sz w:val="20"/>
                <w:szCs w:val="20"/>
                <w:lang w:eastAsia="zh-TW"/>
              </w:rPr>
            </w:pPr>
            <w:r>
              <w:rPr>
                <w:rFonts w:hint="eastAsia" w:ascii="仿宋_GB2312" w:eastAsia="仿宋_GB2312" w:hAnsiTheme="minorEastAsia"/>
                <w:b/>
                <w:bCs/>
                <w:sz w:val="20"/>
                <w:szCs w:val="20"/>
                <w:lang w:eastAsia="zh-TW" w:bidi="ar"/>
              </w:rPr>
              <w:t>依据</w:t>
            </w:r>
          </w:p>
        </w:tc>
        <w:tc>
          <w:tcPr>
            <w:tcW w:w="209" w:type="pct"/>
            <w:vMerge w:val="restart"/>
            <w:tcBorders>
              <w:tl2br w:val="nil"/>
              <w:tr2bl w:val="nil"/>
            </w:tcBorders>
            <w:shd w:val="clear" w:color="auto" w:fill="95B3D7" w:themeFill="accent1" w:themeFillTint="99"/>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b/>
                <w:bCs/>
                <w:sz w:val="20"/>
                <w:szCs w:val="20"/>
                <w:lang w:eastAsia="zh-TW"/>
              </w:rPr>
            </w:pPr>
            <w:r>
              <w:rPr>
                <w:rFonts w:hint="eastAsia" w:ascii="仿宋_GB2312" w:eastAsia="仿宋_GB2312" w:hAnsiTheme="minorEastAsia"/>
                <w:b/>
                <w:bCs/>
                <w:sz w:val="20"/>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593" w:hRule="atLeast"/>
          <w:tblHeader/>
          <w:jc w:val="center"/>
        </w:trPr>
        <w:tc>
          <w:tcPr>
            <w:tcW w:w="323" w:type="pct"/>
            <w:vMerge w:val="continue"/>
            <w:tcBorders>
              <w:tl2br w:val="nil"/>
              <w:tr2bl w:val="nil"/>
            </w:tcBorders>
            <w:shd w:val="clear" w:color="auto" w:fill="B8CCE4" w:themeFill="accent1" w:themeFillTint="66"/>
            <w:vAlign w:val="center"/>
          </w:tcPr>
          <w:p>
            <w:pPr>
              <w:adjustRightInd w:val="0"/>
              <w:snapToGrid w:val="0"/>
              <w:spacing w:line="240" w:lineRule="auto"/>
              <w:jc w:val="center"/>
              <w:rPr>
                <w:rFonts w:hint="eastAsia" w:ascii="仿宋_GB2312" w:hAnsiTheme="minorEastAsia"/>
                <w:sz w:val="20"/>
                <w:szCs w:val="20"/>
                <w:lang w:eastAsia="en-US" w:bidi="en-US"/>
              </w:rPr>
            </w:pPr>
          </w:p>
        </w:tc>
        <w:tc>
          <w:tcPr>
            <w:tcW w:w="388" w:type="pct"/>
            <w:tcBorders>
              <w:tl2br w:val="nil"/>
              <w:tr2bl w:val="nil"/>
            </w:tcBorders>
            <w:shd w:val="clear" w:color="auto" w:fill="95B3D7" w:themeFill="accent1" w:themeFillTint="99"/>
            <w:vAlign w:val="center"/>
          </w:tcPr>
          <w:p>
            <w:pPr>
              <w:widowControl/>
              <w:suppressAutoHyphens/>
              <w:adjustRightInd w:val="0"/>
              <w:snapToGrid w:val="0"/>
              <w:spacing w:after="0" w:line="240" w:lineRule="auto"/>
              <w:jc w:val="center"/>
              <w:rPr>
                <w:rFonts w:hint="eastAsia" w:ascii="仿宋_GB2312" w:hAnsi="仿宋_GB2312" w:cs="仿宋_GB2312"/>
                <w:b/>
                <w:bCs/>
                <w:kern w:val="0"/>
                <w:sz w:val="20"/>
                <w:szCs w:val="20"/>
              </w:rPr>
            </w:pPr>
            <w:r>
              <w:rPr>
                <w:rFonts w:hint="eastAsia" w:ascii="仿宋_GB2312" w:hAnsi="仿宋_GB2312" w:cs="仿宋_GB2312"/>
                <w:b/>
                <w:bCs/>
                <w:kern w:val="0"/>
                <w:sz w:val="20"/>
                <w:szCs w:val="20"/>
              </w:rPr>
              <w:t>“一类”</w:t>
            </w:r>
          </w:p>
          <w:p>
            <w:pPr>
              <w:widowControl/>
              <w:suppressAutoHyphens/>
              <w:adjustRightInd w:val="0"/>
              <w:snapToGrid w:val="0"/>
              <w:spacing w:after="0" w:line="240" w:lineRule="auto"/>
              <w:jc w:val="center"/>
              <w:rPr>
                <w:rFonts w:hint="eastAsia" w:ascii="仿宋_GB2312" w:hAnsiTheme="minorEastAsia"/>
                <w:b/>
                <w:bCs/>
                <w:sz w:val="20"/>
                <w:szCs w:val="20"/>
                <w:lang w:eastAsia="zh-TW"/>
              </w:rPr>
            </w:pPr>
            <w:r>
              <w:rPr>
                <w:rFonts w:hint="eastAsia" w:ascii="仿宋_GB2312" w:hAnsi="仿宋_GB2312" w:cs="仿宋_GB2312"/>
                <w:b/>
                <w:bCs/>
                <w:kern w:val="0"/>
                <w:sz w:val="20"/>
                <w:szCs w:val="20"/>
              </w:rPr>
              <w:t>隐患</w:t>
            </w:r>
          </w:p>
        </w:tc>
        <w:tc>
          <w:tcPr>
            <w:tcW w:w="376" w:type="pct"/>
            <w:tcBorders>
              <w:tl2br w:val="nil"/>
              <w:tr2bl w:val="nil"/>
            </w:tcBorders>
            <w:shd w:val="clear" w:color="auto" w:fill="95B3D7" w:themeFill="accent1" w:themeFillTint="99"/>
            <w:vAlign w:val="center"/>
          </w:tcPr>
          <w:p>
            <w:pPr>
              <w:widowControl/>
              <w:suppressAutoHyphens/>
              <w:adjustRightInd w:val="0"/>
              <w:snapToGrid w:val="0"/>
              <w:spacing w:after="0" w:line="240" w:lineRule="auto"/>
              <w:jc w:val="center"/>
              <w:rPr>
                <w:rFonts w:hint="eastAsia" w:ascii="仿宋_GB2312" w:hAnsi="仿宋_GB2312" w:cs="仿宋_GB2312"/>
                <w:b/>
                <w:bCs/>
                <w:kern w:val="0"/>
                <w:sz w:val="20"/>
                <w:szCs w:val="20"/>
              </w:rPr>
            </w:pPr>
            <w:r>
              <w:rPr>
                <w:rFonts w:hint="eastAsia" w:ascii="仿宋_GB2312" w:hAnsi="仿宋_GB2312" w:cs="仿宋_GB2312"/>
                <w:b/>
                <w:bCs/>
                <w:kern w:val="0"/>
                <w:sz w:val="20"/>
                <w:szCs w:val="20"/>
              </w:rPr>
              <w:t>“二类”</w:t>
            </w:r>
          </w:p>
          <w:p>
            <w:pPr>
              <w:widowControl/>
              <w:suppressAutoHyphens/>
              <w:adjustRightInd w:val="0"/>
              <w:snapToGrid w:val="0"/>
              <w:spacing w:after="0" w:line="240" w:lineRule="auto"/>
              <w:jc w:val="center"/>
              <w:rPr>
                <w:rFonts w:hint="eastAsia" w:ascii="仿宋_GB2312" w:hAnsiTheme="minorEastAsia"/>
                <w:b/>
                <w:bCs/>
                <w:sz w:val="20"/>
                <w:szCs w:val="20"/>
                <w:lang w:eastAsia="zh-TW"/>
              </w:rPr>
            </w:pPr>
            <w:r>
              <w:rPr>
                <w:rFonts w:hint="eastAsia" w:ascii="仿宋_GB2312" w:hAnsi="仿宋_GB2312" w:cs="仿宋_GB2312"/>
                <w:b/>
                <w:bCs/>
                <w:kern w:val="0"/>
                <w:sz w:val="20"/>
                <w:szCs w:val="20"/>
              </w:rPr>
              <w:t>隐患</w:t>
            </w:r>
          </w:p>
        </w:tc>
        <w:tc>
          <w:tcPr>
            <w:tcW w:w="1025" w:type="pct"/>
            <w:vMerge w:val="continue"/>
            <w:tcBorders>
              <w:tl2br w:val="nil"/>
              <w:tr2bl w:val="nil"/>
            </w:tcBorders>
            <w:shd w:val="clear" w:color="auto" w:fill="B8CCE4" w:themeFill="accent1" w:themeFillTint="66"/>
            <w:vAlign w:val="center"/>
          </w:tcPr>
          <w:p>
            <w:pPr>
              <w:adjustRightInd w:val="0"/>
              <w:snapToGrid w:val="0"/>
              <w:spacing w:line="240" w:lineRule="auto"/>
              <w:rPr>
                <w:rFonts w:hint="eastAsia" w:ascii="仿宋_GB2312" w:hAnsiTheme="minorEastAsia"/>
                <w:sz w:val="20"/>
                <w:szCs w:val="20"/>
                <w:lang w:eastAsia="en-US" w:bidi="en-US"/>
              </w:rPr>
            </w:pPr>
          </w:p>
        </w:tc>
        <w:tc>
          <w:tcPr>
            <w:tcW w:w="1394" w:type="pct"/>
            <w:vMerge w:val="continue"/>
            <w:tcBorders>
              <w:tl2br w:val="nil"/>
              <w:tr2bl w:val="nil"/>
            </w:tcBorders>
            <w:shd w:val="clear" w:color="auto" w:fill="B8CCE4" w:themeFill="accent1" w:themeFillTint="66"/>
            <w:vAlign w:val="center"/>
          </w:tcPr>
          <w:p>
            <w:pPr>
              <w:adjustRightInd w:val="0"/>
              <w:snapToGrid w:val="0"/>
              <w:spacing w:line="240" w:lineRule="auto"/>
              <w:rPr>
                <w:rFonts w:hint="eastAsia" w:ascii="仿宋_GB2312" w:hAnsiTheme="minorEastAsia"/>
                <w:sz w:val="20"/>
                <w:szCs w:val="20"/>
                <w:lang w:eastAsia="en-US" w:bidi="en-US"/>
              </w:rPr>
            </w:pPr>
          </w:p>
        </w:tc>
        <w:tc>
          <w:tcPr>
            <w:tcW w:w="1282" w:type="pct"/>
            <w:vMerge w:val="continue"/>
            <w:tcBorders>
              <w:tl2br w:val="nil"/>
              <w:tr2bl w:val="nil"/>
            </w:tcBorders>
            <w:shd w:val="clear" w:color="auto" w:fill="B8CCE4" w:themeFill="accent1" w:themeFillTint="66"/>
            <w:vAlign w:val="center"/>
          </w:tcPr>
          <w:p>
            <w:pPr>
              <w:adjustRightInd w:val="0"/>
              <w:snapToGrid w:val="0"/>
              <w:spacing w:line="240" w:lineRule="auto"/>
              <w:rPr>
                <w:rFonts w:hint="eastAsia" w:ascii="仿宋_GB2312" w:hAnsiTheme="minorEastAsia"/>
                <w:sz w:val="20"/>
                <w:szCs w:val="20"/>
                <w:lang w:eastAsia="en-US" w:bidi="en-US"/>
              </w:rPr>
            </w:pPr>
          </w:p>
        </w:tc>
        <w:tc>
          <w:tcPr>
            <w:tcW w:w="209" w:type="pct"/>
            <w:vMerge w:val="continue"/>
            <w:tcBorders>
              <w:tl2br w:val="nil"/>
              <w:tr2bl w:val="nil"/>
            </w:tcBorders>
            <w:shd w:val="clear" w:color="auto" w:fill="B8CCE4" w:themeFill="accent1" w:themeFillTint="66"/>
            <w:vAlign w:val="center"/>
          </w:tcPr>
          <w:p>
            <w:pPr>
              <w:adjustRightInd w:val="0"/>
              <w:snapToGrid w:val="0"/>
              <w:spacing w:line="240" w:lineRule="auto"/>
              <w:jc w:val="center"/>
              <w:rPr>
                <w:rFonts w:hint="eastAsia" w:ascii="仿宋_GB2312" w:hAnsiTheme="minorEastAsia"/>
                <w:sz w:val="20"/>
                <w:szCs w:val="20"/>
                <w:lang w:eastAsia="en-US" w:bidi="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hAnsiTheme="minorEastAsia"/>
                <w:sz w:val="20"/>
                <w:szCs w:val="20"/>
              </w:rPr>
            </w:pPr>
            <w:r>
              <w:rPr>
                <w:rFonts w:hint="eastAsia" w:ascii="仿宋_GB2312" w:hAnsiTheme="minorEastAsia"/>
                <w:sz w:val="20"/>
                <w:szCs w:val="20"/>
              </w:rPr>
              <w:t>13.1.02.001</w:t>
            </w:r>
          </w:p>
        </w:tc>
        <w:tc>
          <w:tcPr>
            <w:tcW w:w="388"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基础资料类</w:t>
            </w:r>
          </w:p>
        </w:tc>
        <w:tc>
          <w:tcPr>
            <w:tcW w:w="376"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机构及人员配备类</w:t>
            </w:r>
          </w:p>
        </w:tc>
        <w:tc>
          <w:tcPr>
            <w:tcW w:w="1025" w:type="pct"/>
            <w:tcBorders>
              <w:tl2br w:val="nil"/>
              <w:tr2bl w:val="nil"/>
            </w:tcBorders>
            <w:shd w:val="clear" w:color="auto" w:fill="FFFFFF"/>
            <w:vAlign w:val="center"/>
          </w:tcPr>
          <w:p>
            <w:pPr>
              <w:adjustRightInd w:val="0"/>
              <w:snapToGrid w:val="0"/>
              <w:spacing w:after="0" w:line="240" w:lineRule="auto"/>
              <w:jc w:val="left"/>
              <w:rPr>
                <w:rFonts w:hint="eastAsia" w:ascii="仿宋_GB2312" w:hAnsiTheme="minorEastAsia"/>
                <w:sz w:val="20"/>
                <w:szCs w:val="20"/>
                <w:lang w:bidi="ar"/>
              </w:rPr>
            </w:pPr>
            <w:r>
              <w:rPr>
                <w:rFonts w:hint="eastAsia" w:ascii="仿宋_GB2312" w:hAnsiTheme="minorEastAsia"/>
                <w:sz w:val="20"/>
                <w:szCs w:val="20"/>
                <w:lang w:bidi="ar"/>
              </w:rPr>
              <w:t>未按要求设置安全生产管理机构或配备专（兼）职安全生产管理人员。</w:t>
            </w:r>
          </w:p>
        </w:tc>
        <w:tc>
          <w:tcPr>
            <w:tcW w:w="1394" w:type="pct"/>
            <w:tcBorders>
              <w:tl2br w:val="nil"/>
              <w:tr2bl w:val="nil"/>
            </w:tcBorders>
            <w:shd w:val="clear" w:color="auto" w:fill="FFFFFF"/>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生产经营单位，应当按照下列规定设置安全生产管理机构或者配备安全生产管理人员：</w:t>
            </w:r>
          </w:p>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（一）从业人员总数超过300人的，应当设置安全生产管理机构，按照不少于从业人员总数0.5%的比例配备专职安全生产管理人员，且最低不得少于3人；</w:t>
            </w:r>
          </w:p>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（二）从业人员总数超过100人且在300人以下的，应当配备不少于2人的专职安全生产管理人员；</w:t>
            </w:r>
          </w:p>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（三）从业人员总数在100人以下的，应当配备专职或者兼职安全生产管理人员，或者委托依法设立的安全生产技术、管理服务机构提供安全生产管理服务。</w:t>
            </w:r>
          </w:p>
        </w:tc>
        <w:tc>
          <w:tcPr>
            <w:tcW w:w="1282"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《中华人民共和国安全生产法》第二十四条；</w:t>
            </w:r>
          </w:p>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《北京市安全生产条例》第二十条；</w:t>
            </w:r>
          </w:p>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《北京市生产经营单位安全生产主体责任规定》第十二条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hAnsiTheme="minorEastAsia"/>
                <w:sz w:val="20"/>
                <w:szCs w:val="20"/>
              </w:rPr>
            </w:pPr>
            <w:r>
              <w:rPr>
                <w:rFonts w:hint="eastAsia" w:ascii="仿宋_GB2312" w:hAnsiTheme="minorEastAsia"/>
                <w:sz w:val="20"/>
                <w:szCs w:val="20"/>
              </w:rPr>
              <w:t>13.1.03.002</w:t>
            </w:r>
          </w:p>
        </w:tc>
        <w:tc>
          <w:tcPr>
            <w:tcW w:w="388"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r>
              <w:rPr>
                <w:rFonts w:hint="eastAsia" w:ascii="仿宋_GB2312" w:eastAsia="仿宋_GB2312" w:hAnsiTheme="minorEastAsia"/>
                <w:sz w:val="20"/>
                <w:szCs w:val="20"/>
                <w:lang w:eastAsia="zh-TW" w:bidi="ar"/>
              </w:rPr>
              <w:t>基础资料类</w:t>
            </w:r>
          </w:p>
        </w:tc>
        <w:tc>
          <w:tcPr>
            <w:tcW w:w="376"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r>
              <w:rPr>
                <w:rFonts w:hint="eastAsia" w:ascii="仿宋_GB2312" w:eastAsia="仿宋_GB2312" w:hAnsiTheme="minorEastAsia"/>
                <w:sz w:val="20"/>
                <w:szCs w:val="20"/>
                <w:lang w:eastAsia="zh-TW" w:bidi="ar"/>
              </w:rPr>
              <w:t>责任制类</w:t>
            </w:r>
          </w:p>
        </w:tc>
        <w:tc>
          <w:tcPr>
            <w:tcW w:w="1025"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rPr>
            </w:pPr>
            <w:r>
              <w:rPr>
                <w:rFonts w:hint="eastAsia" w:ascii="仿宋_GB2312" w:eastAsia="仿宋_GB2312" w:hAnsiTheme="minorEastAsia"/>
                <w:sz w:val="20"/>
                <w:szCs w:val="20"/>
                <w:lang w:bidi="ar"/>
              </w:rPr>
              <w:t>未建立与岗位相匹配的全员安全生产责任制或者未制定实施生产安全事故隐患排查治理制度。</w:t>
            </w:r>
          </w:p>
        </w:tc>
        <w:tc>
          <w:tcPr>
            <w:tcW w:w="1394" w:type="pct"/>
            <w:tcBorders>
              <w:tl2br w:val="nil"/>
              <w:tr2bl w:val="nil"/>
            </w:tcBorders>
            <w:shd w:val="clear" w:color="auto" w:fill="FFFFFF"/>
            <w:vAlign w:val="center"/>
          </w:tcPr>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生产经营单位必须建立健全全员安全生产责任制和安全生产规章制度,构建安全风险分级管控和隐患排查治理双重预防机制。</w:t>
            </w:r>
          </w:p>
        </w:tc>
        <w:tc>
          <w:tcPr>
            <w:tcW w:w="1282" w:type="pct"/>
            <w:tcBorders>
              <w:tl2br w:val="nil"/>
              <w:tr2bl w:val="nil"/>
            </w:tcBorders>
            <w:shd w:val="clear" w:color="auto" w:fill="FFFFFF"/>
            <w:vAlign w:val="center"/>
          </w:tcPr>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《中华人民共和国安全生产法》第四条、第二十二条；</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《中华人民共和国危险化学品安全法》第五条；</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《北京市安全生产条例》第四条、第十四条；</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《北京市生产经营单位安全生产主体责任规定》第三条、第六条；</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eastAsia="zh-CN" w:bidi="ar"/>
              </w:rPr>
              <w:t>《化工和危险化学品生产经营企业重大生产安全事故隐患判定准则》（AQ 3067-2026）</w:t>
            </w:r>
            <w:r>
              <w:rPr>
                <w:rFonts w:hint="eastAsia" w:ascii="仿宋_GB2312" w:cs="宋体" w:hAnsiTheme="minorEastAsia"/>
                <w:kern w:val="0"/>
                <w:sz w:val="20"/>
                <w:szCs w:val="20"/>
                <w:lang w:bidi="ar"/>
              </w:rPr>
              <w:t>第5.7.6条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r>
              <w:rPr>
                <w:rFonts w:hint="eastAsia" w:ascii="仿宋_GB2312"/>
                <w:sz w:val="20"/>
                <w:szCs w:val="2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hAnsiTheme="minorEastAsia"/>
                <w:sz w:val="20"/>
                <w:szCs w:val="20"/>
              </w:rPr>
            </w:pPr>
            <w:r>
              <w:rPr>
                <w:rFonts w:hint="eastAsia" w:ascii="仿宋_GB2312" w:hAnsiTheme="minorEastAsia"/>
                <w:sz w:val="20"/>
                <w:szCs w:val="20"/>
              </w:rPr>
              <w:t>13.1.03.003</w:t>
            </w:r>
          </w:p>
        </w:tc>
        <w:tc>
          <w:tcPr>
            <w:tcW w:w="388"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r>
              <w:rPr>
                <w:rFonts w:hint="eastAsia" w:ascii="仿宋_GB2312" w:eastAsia="仿宋_GB2312" w:hAnsiTheme="minorEastAsia"/>
                <w:sz w:val="20"/>
                <w:szCs w:val="20"/>
                <w:lang w:eastAsia="zh-TW" w:bidi="ar"/>
              </w:rPr>
              <w:t>基础资料类</w:t>
            </w:r>
          </w:p>
        </w:tc>
        <w:tc>
          <w:tcPr>
            <w:tcW w:w="376"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r>
              <w:rPr>
                <w:rFonts w:hint="eastAsia" w:ascii="仿宋_GB2312" w:eastAsia="仿宋_GB2312" w:hAnsiTheme="minorEastAsia"/>
                <w:sz w:val="20"/>
                <w:szCs w:val="20"/>
                <w:lang w:eastAsia="zh-TW" w:bidi="ar"/>
              </w:rPr>
              <w:t>责任制类</w:t>
            </w:r>
          </w:p>
        </w:tc>
        <w:tc>
          <w:tcPr>
            <w:tcW w:w="1025"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rPr>
            </w:pPr>
            <w:r>
              <w:rPr>
                <w:rFonts w:hint="eastAsia" w:ascii="仿宋_GB2312" w:eastAsia="仿宋_GB2312" w:hAnsiTheme="minorEastAsia"/>
                <w:sz w:val="20"/>
                <w:szCs w:val="20"/>
                <w:lang w:bidi="ar"/>
              </w:rPr>
              <w:t>主要负责人职责不完善。</w:t>
            </w:r>
          </w:p>
        </w:tc>
        <w:tc>
          <w:tcPr>
            <w:tcW w:w="1394" w:type="pct"/>
            <w:tcBorders>
              <w:tl2br w:val="nil"/>
              <w:tr2bl w:val="nil"/>
            </w:tcBorders>
            <w:vAlign w:val="center"/>
          </w:tcPr>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生产经营单位的主要负责人对本单位的安全生产工作全面负责，履行下列职责：</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(一)建立、健全并督促落实安全生产责任制；</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(二)组织制定并督促落实安全生产规章制度和操作规程；</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(三)组织制定并实施安全生产教育和培训计划；</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(四)保证安全生产投入的有效实施；</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(五)每季度至少研究一次安全生产工作；</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(六)督促检查安全生产工作，及时消除生产安全事故隐患；</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(七)每年向职工代表大会或者职工大会报告安全生产工作情况；依法不需要建立职工代表大会或者职工大会的小型或者微型企业等规模较小的生产经营单位，应当每年向从业人员通报安全生产工作情况；</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(八)组织制定并实施生产安全事故应急救援预案；</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(九)及时、如实报告生产安全事故。</w:t>
            </w:r>
          </w:p>
        </w:tc>
        <w:tc>
          <w:tcPr>
            <w:tcW w:w="1282" w:type="pct"/>
            <w:tcBorders>
              <w:tl2br w:val="nil"/>
              <w:tr2bl w:val="nil"/>
            </w:tcBorders>
            <w:vAlign w:val="center"/>
          </w:tcPr>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《中华人民共和国安全生产法》第二十一条；</w:t>
            </w:r>
          </w:p>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《北京市生产经营单位安全生产主体责任规定》第四条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hAnsiTheme="minorEastAsia"/>
                <w:sz w:val="20"/>
                <w:szCs w:val="20"/>
              </w:rPr>
            </w:pPr>
            <w:r>
              <w:rPr>
                <w:rFonts w:hint="eastAsia" w:ascii="仿宋_GB2312" w:hAnsiTheme="minorEastAsia"/>
                <w:sz w:val="20"/>
                <w:szCs w:val="20"/>
              </w:rPr>
              <w:t>13.1.03.004</w:t>
            </w:r>
          </w:p>
        </w:tc>
        <w:tc>
          <w:tcPr>
            <w:tcW w:w="388"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基础资料类</w:t>
            </w:r>
          </w:p>
        </w:tc>
        <w:tc>
          <w:tcPr>
            <w:tcW w:w="376"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责任制类</w:t>
            </w:r>
          </w:p>
        </w:tc>
        <w:tc>
          <w:tcPr>
            <w:tcW w:w="1025" w:type="pct"/>
            <w:tcBorders>
              <w:tl2br w:val="nil"/>
              <w:tr2bl w:val="nil"/>
            </w:tcBorders>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安全生产管理机构或者安全生产管理人员职责不完善。</w:t>
            </w:r>
          </w:p>
        </w:tc>
        <w:tc>
          <w:tcPr>
            <w:tcW w:w="1394" w:type="pct"/>
            <w:tcBorders>
              <w:tl2br w:val="nil"/>
              <w:tr2bl w:val="nil"/>
            </w:tcBorders>
            <w:vAlign w:val="center"/>
          </w:tcPr>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生产经营单位的安全生产管理机构或者安全生产管理人员履行下列职责：</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(一)组织或者参与拟订安全生产规章制度、操作规程和生产安全事故应急救援预案；</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(二)组织或者参与安全生产教育和培训，如实记录安全生产教育和培训情况；</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(三)督促落实重大危险源的安全管理措施；</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(四)组织或者参与应急救援演练；</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(五)检查安全生产状况，及时排查事故隐患，提出改进安全生产管理的建议；</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(六)制止和纠正违章指挥、强令冒险作业、违反操作规程的行为；</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(七)督促落实安全生产整改措施；</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(八)督促本单位其他机构和人员履行安全生产职责，组织或者参与安全生产考核，提出奖惩意见；</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(九)依法组织或者参与生产安全事故调查处理。</w:t>
            </w:r>
          </w:p>
        </w:tc>
        <w:tc>
          <w:tcPr>
            <w:tcW w:w="1282" w:type="pct"/>
            <w:tcBorders>
              <w:tl2br w:val="nil"/>
              <w:tr2bl w:val="nil"/>
            </w:tcBorders>
            <w:vAlign w:val="center"/>
          </w:tcPr>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《中华人民共和国安全生产法》第二十五条；</w:t>
            </w:r>
          </w:p>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《北京市生产经营单位安全生产主体责任规定》第十五条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hAnsiTheme="minorEastAsia"/>
                <w:sz w:val="20"/>
                <w:szCs w:val="20"/>
              </w:rPr>
            </w:pPr>
            <w:r>
              <w:rPr>
                <w:rFonts w:hint="eastAsia" w:ascii="仿宋_GB2312" w:hAnsiTheme="minorEastAsia"/>
                <w:sz w:val="20"/>
                <w:szCs w:val="20"/>
              </w:rPr>
              <w:t>13.1.03.005</w:t>
            </w:r>
          </w:p>
        </w:tc>
        <w:tc>
          <w:tcPr>
            <w:tcW w:w="388"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基础资料类</w:t>
            </w:r>
          </w:p>
        </w:tc>
        <w:tc>
          <w:tcPr>
            <w:tcW w:w="376"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责任制类</w:t>
            </w:r>
          </w:p>
        </w:tc>
        <w:tc>
          <w:tcPr>
            <w:tcW w:w="1025" w:type="pct"/>
            <w:tcBorders>
              <w:tl2br w:val="nil"/>
              <w:tr2bl w:val="nil"/>
            </w:tcBorders>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生产经营单位未建立责任制相应的机制，未对全员安全生产责任制落实情况的监督考核，保证全员安全生产责任制的落实。</w:t>
            </w:r>
          </w:p>
        </w:tc>
        <w:tc>
          <w:tcPr>
            <w:tcW w:w="1394" w:type="pct"/>
            <w:tcBorders>
              <w:tl2br w:val="nil"/>
              <w:tr2bl w:val="nil"/>
            </w:tcBorders>
            <w:vAlign w:val="center"/>
          </w:tcPr>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生产经营单位的全员安全生产责任制应当明确各岗位的责任人员、责任范围和考核标准等内容。生产经营单位应当建立相应的机制，加强对全员安全生产责任制落实情况的监督考核，保证全员安全生产责任制的落实。</w:t>
            </w:r>
          </w:p>
        </w:tc>
        <w:tc>
          <w:tcPr>
            <w:tcW w:w="1282" w:type="pct"/>
            <w:tcBorders>
              <w:tl2br w:val="nil"/>
              <w:tr2bl w:val="nil"/>
            </w:tcBorders>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《中华人民共和国安全生产法》第四条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hAnsiTheme="minorEastAsia"/>
                <w:sz w:val="20"/>
                <w:szCs w:val="20"/>
              </w:rPr>
            </w:pPr>
            <w:r>
              <w:rPr>
                <w:rFonts w:hint="eastAsia" w:ascii="仿宋_GB2312" w:hAnsiTheme="minorEastAsia"/>
                <w:sz w:val="20"/>
                <w:szCs w:val="20"/>
              </w:rPr>
              <w:t>13.1.04.006</w:t>
            </w:r>
          </w:p>
        </w:tc>
        <w:tc>
          <w:tcPr>
            <w:tcW w:w="388"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r>
              <w:rPr>
                <w:rFonts w:hint="eastAsia" w:ascii="仿宋_GB2312" w:eastAsia="仿宋_GB2312" w:hAnsiTheme="minorEastAsia"/>
                <w:sz w:val="20"/>
                <w:szCs w:val="20"/>
                <w:lang w:eastAsia="zh-TW" w:bidi="ar"/>
              </w:rPr>
              <w:t>基础资料类</w:t>
            </w:r>
          </w:p>
        </w:tc>
        <w:tc>
          <w:tcPr>
            <w:tcW w:w="376"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r>
              <w:rPr>
                <w:rFonts w:hint="eastAsia" w:ascii="仿宋_GB2312" w:eastAsia="仿宋_GB2312" w:hAnsiTheme="minorEastAsia"/>
                <w:sz w:val="20"/>
                <w:szCs w:val="20"/>
                <w:lang w:eastAsia="zh-TW" w:bidi="ar"/>
              </w:rPr>
              <w:t>制度类</w:t>
            </w:r>
          </w:p>
        </w:tc>
        <w:tc>
          <w:tcPr>
            <w:tcW w:w="1025"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rPr>
            </w:pPr>
            <w:r>
              <w:rPr>
                <w:rFonts w:hint="eastAsia" w:ascii="仿宋_GB2312" w:eastAsia="仿宋_GB2312" w:hAnsiTheme="minorEastAsia"/>
                <w:sz w:val="20"/>
                <w:szCs w:val="20"/>
                <w:lang w:bidi="ar"/>
              </w:rPr>
              <w:t>未制定安全生产教育和培训制度、安全生产检查制度、安全风险分级管控制度、生产安全事故隐患排查治理制度、危险化学品安全管理制度、劳动防护用品配备和管理制度、生产安全事故报告和处理制度等安全管理制度。未建立健全使用危险化学品的安全管理规章制度。未建立事故隐患内部报告奖励机制。使用危险化学品从事生产的</w:t>
            </w:r>
            <w:r>
              <w:rPr>
                <w:rFonts w:hint="eastAsia" w:ascii="仿宋_GB2312" w:eastAsia="仿宋_GB2312" w:hAnsiTheme="minorEastAsia"/>
                <w:sz w:val="20"/>
                <w:szCs w:val="20"/>
                <w:lang w:eastAsia="zh-TW" w:bidi="ar"/>
              </w:rPr>
              <w:t>企业</w:t>
            </w:r>
            <w:r>
              <w:rPr>
                <w:rFonts w:hint="eastAsia" w:ascii="仿宋_GB2312" w:eastAsia="仿宋_GB2312" w:hAnsiTheme="minorEastAsia"/>
                <w:sz w:val="20"/>
                <w:szCs w:val="20"/>
                <w:lang w:bidi="ar"/>
              </w:rPr>
              <w:t>未</w:t>
            </w:r>
            <w:r>
              <w:rPr>
                <w:rFonts w:hint="eastAsia" w:ascii="仿宋_GB2312" w:eastAsia="仿宋_GB2312" w:hAnsiTheme="minorEastAsia"/>
                <w:sz w:val="20"/>
                <w:szCs w:val="20"/>
                <w:lang w:eastAsia="zh-TW" w:bidi="ar"/>
              </w:rPr>
              <w:t>建立包括工艺操作、特殊作业、设备管理、储存条件、开停车和检维修、变更等全部生产作业环节在内的过程安全管理制度，明确责任人、岗位职责和操作规程，并组织有效实施。</w:t>
            </w:r>
          </w:p>
        </w:tc>
        <w:tc>
          <w:tcPr>
            <w:tcW w:w="1394" w:type="pct"/>
            <w:tcBorders>
              <w:tl2br w:val="nil"/>
              <w:tr2bl w:val="nil"/>
            </w:tcBorders>
            <w:shd w:val="clear" w:color="auto" w:fill="FFFFFF"/>
            <w:vAlign w:val="center"/>
          </w:tcPr>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生产经营单位的主要负责人应当组织制定下列安全生产规章制度：</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（一）安全生产教育和培训制度；</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（二）安全生产检查制度；</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（三）生产安全事故隐患排查和治理制度；</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（四）具有较大危险因素的生产经营场所、设备和设施的安全管理制度；</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（五）安全生产资金投入或者安全生产费用提取、使用和管理制度；</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（六）危险作业管理制度；</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（七）特种作业人员管理制度；</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（八）劳动防护用品配备和使用制度；</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（九）安全生产奖励和惩罚制度；</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（十）生产安全事故报告和调查处理制度；</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（十一）法律、法规、规章规定的其他安全生产制度。</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按照安全生产治本攻坚三年行动总体要求，推动建立完善各行业领域生产经营单位事故隐患内部报告奖励机制，促进生产经营单位自觉主动、动态性开展事故隐患自查自纠，构筑安全生产领域的“人民防线”。</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生产、储存危险化学品的企业应当建立包括工艺操作、特殊作业、设备管理、储存条件、开停车和检维修、变更等全部生产作业环节在内的过程安全管理制度，明确责任人、岗位职责和操作规程，并组织有效实施。</w:t>
            </w:r>
          </w:p>
        </w:tc>
        <w:tc>
          <w:tcPr>
            <w:tcW w:w="1282"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《中华人民共和国安全生产法》第四条、第二十一条、第四十一条；</w:t>
            </w:r>
          </w:p>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eastAsia="zh-TW" w:bidi="ar"/>
              </w:rPr>
              <w:t>《中华人民共和国危险化学品安全法》第三十</w:t>
            </w:r>
            <w:r>
              <w:rPr>
                <w:rFonts w:hint="eastAsia" w:ascii="仿宋_GB2312" w:eastAsia="仿宋_GB2312" w:hAnsiTheme="minorEastAsia"/>
                <w:sz w:val="20"/>
                <w:szCs w:val="20"/>
                <w:lang w:bidi="ar"/>
              </w:rPr>
              <w:t>四条、第三十五条、</w:t>
            </w:r>
            <w:r>
              <w:rPr>
                <w:rFonts w:hint="eastAsia" w:ascii="仿宋_GB2312" w:eastAsia="仿宋_GB2312" w:hAnsiTheme="minorEastAsia"/>
                <w:sz w:val="20"/>
                <w:szCs w:val="20"/>
                <w:lang w:eastAsia="zh-TW" w:bidi="ar"/>
              </w:rPr>
              <w:t>第</w:t>
            </w:r>
            <w:r>
              <w:rPr>
                <w:rFonts w:hint="eastAsia" w:ascii="仿宋_GB2312" w:eastAsia="仿宋_GB2312" w:hAnsiTheme="minorEastAsia"/>
                <w:sz w:val="20"/>
                <w:szCs w:val="20"/>
                <w:lang w:bidi="ar"/>
              </w:rPr>
              <w:t>四十七</w:t>
            </w:r>
            <w:r>
              <w:rPr>
                <w:rFonts w:hint="eastAsia" w:ascii="仿宋_GB2312" w:eastAsia="仿宋_GB2312" w:hAnsiTheme="minorEastAsia"/>
                <w:sz w:val="20"/>
                <w:szCs w:val="20"/>
                <w:lang w:eastAsia="zh-TW" w:bidi="ar"/>
              </w:rPr>
              <w:t>条</w:t>
            </w:r>
            <w:r>
              <w:rPr>
                <w:rFonts w:hint="eastAsia" w:ascii="仿宋_GB2312" w:eastAsia="仿宋_GB2312" w:hAnsiTheme="minorEastAsia"/>
                <w:sz w:val="20"/>
                <w:szCs w:val="20"/>
                <w:lang w:bidi="ar"/>
              </w:rPr>
              <w:t>；</w:t>
            </w:r>
          </w:p>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《北京市安全生产条例》第四条、第十五条；</w:t>
            </w:r>
          </w:p>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《北京市生产经营单位安全生产主体责任规定》第七条；</w:t>
            </w:r>
          </w:p>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w:t>
            </w:r>
            <w:r>
              <w:rPr>
                <w:rFonts w:hint="eastAsia" w:ascii="仿宋_GB2312" w:eastAsia="仿宋_GB2312" w:hAnsiTheme="minorEastAsia"/>
                <w:sz w:val="20"/>
                <w:szCs w:val="20"/>
                <w:lang w:eastAsia="zh-TW" w:bidi="ar"/>
              </w:rPr>
              <w:t>国务院安全生产委员会关于推动建立完善生产经营单位事故隐患内部报告奖励机制的意见</w:t>
            </w:r>
            <w:r>
              <w:rPr>
                <w:rFonts w:hint="eastAsia" w:ascii="仿宋_GB2312" w:eastAsia="仿宋_GB2312" w:hAnsiTheme="minorEastAsia"/>
                <w:sz w:val="20"/>
                <w:szCs w:val="20"/>
                <w:lang w:bidi="ar"/>
              </w:rPr>
              <w:t>》</w:t>
            </w:r>
            <w:r>
              <w:rPr>
                <w:rFonts w:hint="eastAsia" w:ascii="仿宋_GB2312" w:eastAsia="仿宋_GB2312" w:hAnsiTheme="minorEastAsia"/>
                <w:sz w:val="20"/>
                <w:szCs w:val="20"/>
                <w:lang w:eastAsia="zh-TW" w:bidi="ar"/>
              </w:rPr>
              <w:t>安委〔2024〕7号</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hAnsiTheme="minorEastAsia"/>
                <w:sz w:val="20"/>
                <w:szCs w:val="20"/>
              </w:rPr>
            </w:pPr>
            <w:r>
              <w:rPr>
                <w:rFonts w:hint="eastAsia" w:ascii="仿宋_GB2312" w:hAnsiTheme="minorEastAsia"/>
                <w:sz w:val="20"/>
                <w:szCs w:val="20"/>
              </w:rPr>
              <w:t>13.1.05.007</w:t>
            </w:r>
          </w:p>
        </w:tc>
        <w:tc>
          <w:tcPr>
            <w:tcW w:w="388"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基础资料类</w:t>
            </w:r>
          </w:p>
        </w:tc>
        <w:tc>
          <w:tcPr>
            <w:tcW w:w="376"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操作规程类</w:t>
            </w:r>
          </w:p>
        </w:tc>
        <w:tc>
          <w:tcPr>
            <w:tcW w:w="1025" w:type="pct"/>
            <w:tcBorders>
              <w:tl2br w:val="nil"/>
              <w:tr2bl w:val="nil"/>
            </w:tcBorders>
            <w:vAlign w:val="center"/>
          </w:tcPr>
          <w:p>
            <w:pPr>
              <w:pStyle w:val="10"/>
              <w:adjustRightInd w:val="0"/>
              <w:snapToGrid w:val="0"/>
              <w:spacing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未制定操作规程和工艺控制指标。</w:t>
            </w:r>
          </w:p>
        </w:tc>
        <w:tc>
          <w:tcPr>
            <w:tcW w:w="1394" w:type="pct"/>
            <w:tcBorders>
              <w:tl2br w:val="nil"/>
              <w:tr2bl w:val="nil"/>
            </w:tcBorders>
            <w:vAlign w:val="center"/>
          </w:tcPr>
          <w:p>
            <w:pPr>
              <w:adjustRightInd w:val="0"/>
              <w:snapToGrid w:val="0"/>
              <w:spacing w:after="0" w:line="240" w:lineRule="auto"/>
              <w:jc w:val="left"/>
              <w:rPr>
                <w:rFonts w:hint="eastAsia" w:ascii="仿宋_GB2312" w:cs="宋体" w:hAnsiTheme="minorEastAsia"/>
                <w:kern w:val="0"/>
                <w:sz w:val="20"/>
                <w:szCs w:val="20"/>
                <w:lang w:eastAsia="zh-TW" w:bidi="ar"/>
              </w:rPr>
            </w:pPr>
            <w:r>
              <w:rPr>
                <w:rFonts w:hint="eastAsia" w:ascii="仿宋_GB2312" w:cs="宋体" w:hAnsiTheme="minorEastAsia"/>
                <w:kern w:val="0"/>
                <w:sz w:val="20"/>
                <w:szCs w:val="20"/>
                <w:lang w:eastAsia="zh-TW" w:bidi="ar"/>
              </w:rPr>
              <w:t>应按照法律、法规、规章和国家标准、行业标准，在危险有害因素辨识的基础上，结合工艺流程、技术设备特点以及原辅料危险性等制定安全操作规程</w:t>
            </w:r>
            <w:r>
              <w:rPr>
                <w:rFonts w:hint="eastAsia" w:ascii="仿宋_GB2312" w:cs="宋体" w:hAnsiTheme="minorEastAsia"/>
                <w:kern w:val="0"/>
                <w:sz w:val="20"/>
                <w:szCs w:val="20"/>
                <w:lang w:bidi="ar"/>
              </w:rPr>
              <w:t>和</w:t>
            </w:r>
            <w:r>
              <w:rPr>
                <w:rFonts w:hint="eastAsia" w:ascii="仿宋_GB2312" w:cs="宋体" w:hAnsiTheme="minorEastAsia"/>
                <w:kern w:val="0"/>
                <w:sz w:val="20"/>
                <w:szCs w:val="20"/>
                <w:lang w:eastAsia="zh-TW" w:bidi="ar"/>
              </w:rPr>
              <w:t>工艺控制指标。</w:t>
            </w:r>
          </w:p>
        </w:tc>
        <w:tc>
          <w:tcPr>
            <w:tcW w:w="1282" w:type="pct"/>
            <w:tcBorders>
              <w:tl2br w:val="nil"/>
              <w:tr2bl w:val="nil"/>
            </w:tcBorders>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18"/>
                <w:szCs w:val="18"/>
                <w:lang w:bidi="ar"/>
              </w:rPr>
            </w:pPr>
            <w:r>
              <w:rPr>
                <w:rFonts w:hint="eastAsia" w:ascii="仿宋_GB2312" w:eastAsia="仿宋_GB2312" w:hAnsiTheme="minorEastAsia"/>
                <w:sz w:val="20"/>
                <w:szCs w:val="20"/>
                <w:lang w:eastAsia="zh-CN" w:bidi="ar"/>
              </w:rPr>
              <w:t>《化工和危险化学品生产经营企业重大生产安全事故隐患判定准则》（AQ 3067-2026）</w:t>
            </w:r>
            <w:r>
              <w:rPr>
                <w:rFonts w:hint="eastAsia" w:ascii="仿宋_GB2312" w:eastAsia="仿宋_GB2312" w:hAnsiTheme="minorEastAsia"/>
                <w:sz w:val="20"/>
                <w:szCs w:val="20"/>
                <w:lang w:bidi="ar"/>
              </w:rPr>
              <w:t>第5.5.2条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r>
              <w:rPr>
                <w:rFonts w:hint="eastAsia" w:ascii="仿宋_GB2312"/>
                <w:sz w:val="20"/>
                <w:szCs w:val="2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hAnsiTheme="minorEastAsia"/>
                <w:sz w:val="20"/>
                <w:szCs w:val="20"/>
              </w:rPr>
            </w:pPr>
            <w:r>
              <w:rPr>
                <w:rFonts w:hint="eastAsia" w:ascii="仿宋_GB2312" w:hAnsiTheme="minorEastAsia"/>
                <w:sz w:val="20"/>
                <w:szCs w:val="20"/>
              </w:rPr>
              <w:t>13.1.05.008</w:t>
            </w:r>
          </w:p>
        </w:tc>
        <w:tc>
          <w:tcPr>
            <w:tcW w:w="388"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r>
              <w:rPr>
                <w:rFonts w:hint="eastAsia" w:ascii="仿宋_GB2312" w:eastAsia="仿宋_GB2312" w:hAnsiTheme="minorEastAsia"/>
                <w:sz w:val="20"/>
                <w:szCs w:val="20"/>
                <w:lang w:eastAsia="zh-TW" w:bidi="ar"/>
              </w:rPr>
              <w:t>基础资料类</w:t>
            </w:r>
          </w:p>
        </w:tc>
        <w:tc>
          <w:tcPr>
            <w:tcW w:w="376"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r>
              <w:rPr>
                <w:rFonts w:hint="eastAsia" w:ascii="仿宋_GB2312" w:eastAsia="仿宋_GB2312" w:hAnsiTheme="minorEastAsia"/>
                <w:sz w:val="20"/>
                <w:szCs w:val="20"/>
                <w:lang w:eastAsia="zh-TW" w:bidi="ar"/>
              </w:rPr>
              <w:t>操作规程类</w:t>
            </w:r>
          </w:p>
        </w:tc>
        <w:tc>
          <w:tcPr>
            <w:tcW w:w="1025" w:type="pct"/>
            <w:tcBorders>
              <w:tl2br w:val="nil"/>
              <w:tr2bl w:val="nil"/>
            </w:tcBorders>
            <w:shd w:val="clear" w:color="auto" w:fill="FFFFFF"/>
            <w:vAlign w:val="center"/>
          </w:tcPr>
          <w:p>
            <w:pPr>
              <w:pStyle w:val="10"/>
              <w:adjustRightInd w:val="0"/>
              <w:snapToGrid w:val="0"/>
              <w:spacing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安全操作规程未明确安全操作要求、作业环境要求、作业防护要求、禁止事项、紧急情况现场处置措施等内容。操作规程编制未按规定7项要素编制。</w:t>
            </w:r>
          </w:p>
        </w:tc>
        <w:tc>
          <w:tcPr>
            <w:tcW w:w="1394" w:type="pct"/>
            <w:tcBorders>
              <w:tl2br w:val="nil"/>
              <w:tr2bl w:val="nil"/>
            </w:tcBorders>
            <w:shd w:val="clear" w:color="auto" w:fill="FFFFFF"/>
            <w:vAlign w:val="center"/>
          </w:tcPr>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安全操作规程正文应包括以下7项要素，各要素内容应符合其岗位实际：a） 适用范围；b） 安全操作要求；c） 岗位存在的危险有害因素；d） 作业环境；e） 作业防护要求；f） 禁止事项；g） 紧急情况现场处置措施。</w:t>
            </w:r>
          </w:p>
        </w:tc>
        <w:tc>
          <w:tcPr>
            <w:tcW w:w="1282"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《中华人民共和国安全生产法》第二十一条；</w:t>
            </w:r>
          </w:p>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eastAsia="zh-TW" w:bidi="ar"/>
              </w:rPr>
              <w:t>《中华人民共和国危险化学品安全法》第</w:t>
            </w:r>
            <w:r>
              <w:rPr>
                <w:rFonts w:hint="eastAsia" w:ascii="仿宋_GB2312" w:eastAsia="仿宋_GB2312" w:hAnsiTheme="minorEastAsia"/>
                <w:sz w:val="20"/>
                <w:szCs w:val="20"/>
                <w:lang w:bidi="ar"/>
              </w:rPr>
              <w:t>四十七</w:t>
            </w:r>
            <w:r>
              <w:rPr>
                <w:rFonts w:hint="eastAsia" w:ascii="仿宋_GB2312" w:eastAsia="仿宋_GB2312" w:hAnsiTheme="minorEastAsia"/>
                <w:sz w:val="20"/>
                <w:szCs w:val="20"/>
                <w:lang w:eastAsia="zh-TW" w:bidi="ar"/>
              </w:rPr>
              <w:t>条</w:t>
            </w:r>
            <w:r>
              <w:rPr>
                <w:rFonts w:hint="eastAsia" w:ascii="仿宋_GB2312" w:eastAsia="仿宋_GB2312" w:hAnsiTheme="minorEastAsia"/>
                <w:sz w:val="20"/>
                <w:szCs w:val="20"/>
                <w:lang w:bidi="ar"/>
              </w:rPr>
              <w:t>；</w:t>
            </w:r>
          </w:p>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《北京市安全生产条例》第二十二条；</w:t>
            </w:r>
          </w:p>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《北京市生产经营单位安全生产主体责任规定》第八条；</w:t>
            </w:r>
          </w:p>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《危险化学品企业安全操作规程编制要求》（DB11/T 2332-2024）第5.1.6.1条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hAnsiTheme="minorEastAsia"/>
                <w:sz w:val="20"/>
                <w:szCs w:val="20"/>
              </w:rPr>
            </w:pPr>
            <w:r>
              <w:rPr>
                <w:rFonts w:hint="eastAsia" w:ascii="仿宋_GB2312" w:hAnsiTheme="minorEastAsia"/>
                <w:sz w:val="20"/>
                <w:szCs w:val="20"/>
              </w:rPr>
              <w:t>13.1.06.009</w:t>
            </w:r>
          </w:p>
        </w:tc>
        <w:tc>
          <w:tcPr>
            <w:tcW w:w="388"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r>
              <w:rPr>
                <w:rFonts w:hint="eastAsia" w:ascii="仿宋_GB2312" w:eastAsia="仿宋_GB2312" w:hAnsiTheme="minorEastAsia"/>
                <w:sz w:val="20"/>
                <w:szCs w:val="20"/>
                <w:lang w:eastAsia="zh-TW" w:bidi="ar"/>
              </w:rPr>
              <w:t>基础资料类</w:t>
            </w:r>
          </w:p>
        </w:tc>
        <w:tc>
          <w:tcPr>
            <w:tcW w:w="376"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r>
              <w:rPr>
                <w:rFonts w:hint="eastAsia" w:ascii="仿宋_GB2312" w:eastAsia="仿宋_GB2312" w:hAnsiTheme="minorEastAsia"/>
                <w:sz w:val="20"/>
                <w:szCs w:val="20"/>
                <w:lang w:eastAsia="zh-TW" w:bidi="ar"/>
              </w:rPr>
              <w:t>记录档案类</w:t>
            </w:r>
          </w:p>
        </w:tc>
        <w:tc>
          <w:tcPr>
            <w:tcW w:w="1025"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rPr>
            </w:pPr>
            <w:r>
              <w:rPr>
                <w:rFonts w:hint="eastAsia" w:ascii="仿宋_GB2312" w:eastAsia="仿宋_GB2312" w:hAnsiTheme="minorEastAsia"/>
                <w:sz w:val="20"/>
                <w:szCs w:val="20"/>
                <w:lang w:bidi="ar"/>
              </w:rPr>
              <w:t>未建立安全生产教育和培训档案，如实记录安全生产教育和培训的时间、内容、参加人员以及考核结果等情况。</w:t>
            </w:r>
          </w:p>
        </w:tc>
        <w:tc>
          <w:tcPr>
            <w:tcW w:w="1394"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生产经营单位应当建立安全生产教育和培训档案，如实记录安全生产教育和培训的时间、内容、参加人员以及考核结果等情况。</w:t>
            </w:r>
          </w:p>
        </w:tc>
        <w:tc>
          <w:tcPr>
            <w:tcW w:w="1282"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《中华人民共和国安全生产法》第二十八条；</w:t>
            </w:r>
          </w:p>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《北京市安全生产条例》第二十二条</w:t>
            </w:r>
          </w:p>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《北京市生产经营单位安全生产主体责任规定》第十七条、第十八条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hAnsiTheme="minorEastAsia"/>
                <w:sz w:val="20"/>
                <w:szCs w:val="20"/>
              </w:rPr>
            </w:pPr>
            <w:r>
              <w:rPr>
                <w:rFonts w:hint="eastAsia" w:ascii="仿宋_GB2312" w:hAnsiTheme="minorEastAsia"/>
                <w:sz w:val="20"/>
                <w:szCs w:val="20"/>
              </w:rPr>
              <w:t>13.1.06.010</w:t>
            </w:r>
          </w:p>
        </w:tc>
        <w:tc>
          <w:tcPr>
            <w:tcW w:w="388" w:type="pct"/>
            <w:tcBorders>
              <w:tl2br w:val="nil"/>
              <w:tr2bl w:val="nil"/>
            </w:tcBorders>
            <w:vAlign w:val="center"/>
          </w:tcPr>
          <w:p>
            <w:pPr>
              <w:adjustRightInd w:val="0"/>
              <w:snapToGrid w:val="0"/>
              <w:spacing w:after="0" w:line="240" w:lineRule="auto"/>
              <w:jc w:val="center"/>
              <w:rPr>
                <w:rFonts w:hint="eastAsia" w:ascii="仿宋_GB2312" w:hAnsiTheme="minorEastAsia"/>
                <w:sz w:val="20"/>
                <w:szCs w:val="20"/>
                <w:lang w:eastAsia="zh-TW" w:bidi="ar"/>
              </w:rPr>
            </w:pPr>
            <w:r>
              <w:rPr>
                <w:rFonts w:hint="eastAsia" w:ascii="仿宋_GB2312" w:hAnsiTheme="minorEastAsia"/>
                <w:sz w:val="20"/>
                <w:szCs w:val="20"/>
                <w:lang w:eastAsia="zh-TW" w:bidi="ar"/>
              </w:rPr>
              <w:t>基础资料类</w:t>
            </w:r>
          </w:p>
        </w:tc>
        <w:tc>
          <w:tcPr>
            <w:tcW w:w="376" w:type="pct"/>
            <w:tcBorders>
              <w:tl2br w:val="nil"/>
              <w:tr2bl w:val="nil"/>
            </w:tcBorders>
            <w:vAlign w:val="center"/>
          </w:tcPr>
          <w:p>
            <w:pPr>
              <w:widowControl/>
              <w:adjustRightInd w:val="0"/>
              <w:snapToGrid w:val="0"/>
              <w:spacing w:after="0" w:line="240" w:lineRule="auto"/>
              <w:jc w:val="center"/>
              <w:textAlignment w:val="auto"/>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Theme="minorEastAsia"/>
                <w:sz w:val="20"/>
                <w:szCs w:val="20"/>
                <w:lang w:eastAsia="zh-TW" w:bidi="ar"/>
              </w:rPr>
              <w:t>记录档案类</w:t>
            </w:r>
          </w:p>
        </w:tc>
        <w:tc>
          <w:tcPr>
            <w:tcW w:w="1025" w:type="pct"/>
            <w:tcBorders>
              <w:tl2br w:val="nil"/>
              <w:tr2bl w:val="nil"/>
            </w:tcBorders>
            <w:vAlign w:val="center"/>
          </w:tcPr>
          <w:p>
            <w:pPr>
              <w:widowControl/>
              <w:adjustRightInd w:val="0"/>
              <w:snapToGrid w:val="0"/>
              <w:spacing w:after="0" w:line="240" w:lineRule="auto"/>
              <w:jc w:val="left"/>
              <w:textAlignment w:val="auto"/>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Theme="minorEastAsia"/>
                <w:sz w:val="20"/>
                <w:szCs w:val="20"/>
                <w:lang w:bidi="ar"/>
              </w:rPr>
              <w:t>未建立隐患排查治理台账，如实记录事故隐患的排查时间、所属类型、所在位置、责任部门和责任人、治理措施及整改情况等内容。</w:t>
            </w:r>
          </w:p>
        </w:tc>
        <w:tc>
          <w:tcPr>
            <w:tcW w:w="1394" w:type="pct"/>
            <w:tcBorders>
              <w:tl2br w:val="nil"/>
              <w:tr2bl w:val="nil"/>
            </w:tcBorders>
            <w:vAlign w:val="center"/>
          </w:tcPr>
          <w:p>
            <w:pPr>
              <w:widowControl/>
              <w:adjustRightInd w:val="0"/>
              <w:snapToGrid w:val="0"/>
              <w:spacing w:after="0" w:line="240" w:lineRule="auto"/>
              <w:jc w:val="left"/>
              <w:textAlignment w:val="auto"/>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cs="宋体" w:hAnsiTheme="minorEastAsia"/>
                <w:kern w:val="0"/>
                <w:sz w:val="20"/>
                <w:szCs w:val="20"/>
                <w:lang w:bidi="ar"/>
              </w:rPr>
              <w:t>生产经营单位应当按照要求使用生产安全事故隐患排查治理信息系统，如实记录事故隐患的排查时间、所属类型、所在位置、责任部门和责任人、治理措施及整改情况等内容。</w:t>
            </w:r>
          </w:p>
        </w:tc>
        <w:tc>
          <w:tcPr>
            <w:tcW w:w="1282" w:type="pct"/>
            <w:tcBorders>
              <w:tl2br w:val="nil"/>
              <w:tr2bl w:val="nil"/>
            </w:tcBorders>
            <w:vAlign w:val="center"/>
          </w:tcPr>
          <w:p>
            <w:pPr>
              <w:pStyle w:val="10"/>
              <w:widowControl w:val="0"/>
              <w:adjustRightInd w:val="0"/>
              <w:snapToGrid w:val="0"/>
              <w:spacing w:before="0" w:beforeAutospacing="0" w:after="0" w:afterAutospacing="0"/>
              <w:jc w:val="both"/>
              <w:rPr>
                <w:rFonts w:hint="eastAsia" w:ascii="仿宋_GB2312" w:hAnsi="仿宋_GB2312" w:eastAsia="仿宋_GB2312" w:cs="仿宋_GB2312"/>
                <w:color w:val="000000" w:themeColor="text1"/>
                <w:sz w:val="20"/>
                <w:szCs w:val="20"/>
                <w:lang w:bidi="ar"/>
                <w14:textFill>
                  <w14:solidFill>
                    <w14:schemeClr w14:val="tx1"/>
                  </w14:solidFill>
                </w14:textFill>
              </w:rPr>
            </w:pPr>
            <w:r>
              <w:rPr>
                <w:rFonts w:hint="eastAsia" w:ascii="仿宋_GB2312" w:eastAsia="仿宋_GB2312" w:hAnsiTheme="minorEastAsia"/>
                <w:sz w:val="20"/>
                <w:szCs w:val="20"/>
                <w:lang w:bidi="ar"/>
              </w:rPr>
              <w:t>《北京市生产安全事故隐患排查治理办法》第十六条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hAnsiTheme="minorEastAsia"/>
                <w:sz w:val="20"/>
                <w:szCs w:val="20"/>
              </w:rPr>
            </w:pPr>
            <w:r>
              <w:rPr>
                <w:rFonts w:hint="eastAsia" w:ascii="仿宋_GB2312" w:hAnsiTheme="minorEastAsia"/>
                <w:sz w:val="20"/>
                <w:szCs w:val="20"/>
              </w:rPr>
              <w:t>13.1.06.011</w:t>
            </w:r>
          </w:p>
        </w:tc>
        <w:tc>
          <w:tcPr>
            <w:tcW w:w="388" w:type="pct"/>
            <w:tcBorders>
              <w:tl2br w:val="nil"/>
              <w:tr2bl w:val="nil"/>
            </w:tcBorders>
            <w:vAlign w:val="center"/>
          </w:tcPr>
          <w:p>
            <w:pPr>
              <w:adjustRightInd w:val="0"/>
              <w:snapToGrid w:val="0"/>
              <w:spacing w:after="0" w:line="240" w:lineRule="auto"/>
              <w:jc w:val="center"/>
              <w:rPr>
                <w:rFonts w:hint="eastAsia" w:ascii="仿宋_GB2312" w:hAnsiTheme="minorEastAsia"/>
                <w:sz w:val="20"/>
                <w:szCs w:val="20"/>
                <w:lang w:eastAsia="zh-TW" w:bidi="ar"/>
              </w:rPr>
            </w:pPr>
            <w:r>
              <w:rPr>
                <w:rFonts w:hint="eastAsia" w:ascii="仿宋_GB2312" w:hAnsiTheme="minorEastAsia"/>
                <w:sz w:val="20"/>
                <w:szCs w:val="20"/>
                <w:lang w:eastAsia="zh-TW" w:bidi="ar"/>
              </w:rPr>
              <w:t>基础资料类</w:t>
            </w:r>
          </w:p>
        </w:tc>
        <w:tc>
          <w:tcPr>
            <w:tcW w:w="376" w:type="pct"/>
            <w:tcBorders>
              <w:tl2br w:val="nil"/>
              <w:tr2bl w:val="nil"/>
            </w:tcBorders>
            <w:vAlign w:val="center"/>
          </w:tcPr>
          <w:p>
            <w:pPr>
              <w:widowControl/>
              <w:adjustRightInd w:val="0"/>
              <w:snapToGrid w:val="0"/>
              <w:spacing w:after="0" w:line="240" w:lineRule="auto"/>
              <w:jc w:val="center"/>
              <w:textAlignment w:val="auto"/>
              <w:rPr>
                <w:rFonts w:hint="eastAsia" w:ascii="仿宋_GB2312" w:hAnsi="仿宋_GB2312" w:cs="仿宋_GB2312"/>
                <w:color w:val="000000" w:themeColor="text1"/>
                <w:sz w:val="20"/>
                <w:szCs w:val="20"/>
                <w:lang w:eastAsia="zh-TW"/>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记录档案类</w:t>
            </w:r>
          </w:p>
        </w:tc>
        <w:tc>
          <w:tcPr>
            <w:tcW w:w="1025" w:type="pct"/>
            <w:tcBorders>
              <w:tl2br w:val="nil"/>
              <w:tr2bl w:val="nil"/>
            </w:tcBorders>
            <w:vAlign w:val="center"/>
          </w:tcPr>
          <w:p>
            <w:pPr>
              <w:widowControl/>
              <w:adjustRightInd w:val="0"/>
              <w:snapToGrid w:val="0"/>
              <w:spacing w:after="0" w:line="240" w:lineRule="auto"/>
              <w:jc w:val="left"/>
              <w:textAlignment w:val="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未建立危险化学品储存台账，未见温湿度记录和安全检查记录，危险化学品出入储存场所时，未检验物品数量、包装等情况。</w:t>
            </w:r>
          </w:p>
        </w:tc>
        <w:tc>
          <w:tcPr>
            <w:tcW w:w="1394" w:type="pct"/>
            <w:tcBorders>
              <w:tl2br w:val="nil"/>
              <w:tr2bl w:val="nil"/>
            </w:tcBorders>
            <w:vAlign w:val="center"/>
          </w:tcPr>
          <w:p>
            <w:pPr>
              <w:widowControl/>
              <w:adjustRightInd w:val="0"/>
              <w:snapToGrid w:val="0"/>
              <w:spacing w:after="0" w:line="240" w:lineRule="auto"/>
              <w:jc w:val="left"/>
              <w:textAlignment w:val="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应建立危险化学品储存台账，温湿度记录和安全检查记录，危险化学品出入储存场所时，应检验物品数量、包装等情况。</w:t>
            </w:r>
          </w:p>
        </w:tc>
        <w:tc>
          <w:tcPr>
            <w:tcW w:w="1282" w:type="pct"/>
            <w:tcBorders>
              <w:tl2br w:val="nil"/>
              <w:tr2bl w:val="nil"/>
            </w:tcBorders>
            <w:vAlign w:val="center"/>
          </w:tcPr>
          <w:p>
            <w:pPr>
              <w:widowControl/>
              <w:adjustRightInd w:val="0"/>
              <w:snapToGrid w:val="0"/>
              <w:spacing w:after="0" w:line="240" w:lineRule="auto"/>
              <w:jc w:val="left"/>
              <w:textAlignment w:val="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《危险化学品储存场所建设及储存安全要求》（DB11/T 755）第5.1.1.14条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hAnsiTheme="minorEastAsia"/>
                <w:sz w:val="20"/>
                <w:szCs w:val="20"/>
              </w:rPr>
            </w:pPr>
            <w:r>
              <w:rPr>
                <w:rFonts w:hint="eastAsia" w:ascii="仿宋_GB2312" w:hAnsiTheme="minorEastAsia"/>
                <w:sz w:val="20"/>
                <w:szCs w:val="20"/>
              </w:rPr>
              <w:t>13.1.06.012</w:t>
            </w:r>
          </w:p>
        </w:tc>
        <w:tc>
          <w:tcPr>
            <w:tcW w:w="388" w:type="pct"/>
            <w:tcBorders>
              <w:tl2br w:val="nil"/>
              <w:tr2bl w:val="nil"/>
            </w:tcBorders>
            <w:vAlign w:val="center"/>
          </w:tcPr>
          <w:p>
            <w:pPr>
              <w:adjustRightInd w:val="0"/>
              <w:snapToGrid w:val="0"/>
              <w:spacing w:after="0" w:line="240" w:lineRule="auto"/>
              <w:jc w:val="center"/>
              <w:rPr>
                <w:rFonts w:hint="eastAsia" w:ascii="仿宋_GB2312" w:hAnsiTheme="minorEastAsia"/>
                <w:sz w:val="20"/>
                <w:szCs w:val="20"/>
                <w:lang w:eastAsia="zh-TW" w:bidi="ar"/>
              </w:rPr>
            </w:pPr>
            <w:r>
              <w:rPr>
                <w:rFonts w:hint="eastAsia" w:ascii="仿宋_GB2312" w:hAnsiTheme="minorEastAsia"/>
                <w:sz w:val="20"/>
                <w:szCs w:val="20"/>
                <w:lang w:eastAsia="zh-TW" w:bidi="ar"/>
              </w:rPr>
              <w:t>基础资料类</w:t>
            </w:r>
          </w:p>
        </w:tc>
        <w:tc>
          <w:tcPr>
            <w:tcW w:w="376" w:type="pct"/>
            <w:tcBorders>
              <w:tl2br w:val="nil"/>
              <w:tr2bl w:val="nil"/>
            </w:tcBorders>
            <w:vAlign w:val="center"/>
          </w:tcPr>
          <w:p>
            <w:pPr>
              <w:widowControl/>
              <w:adjustRightInd w:val="0"/>
              <w:snapToGrid w:val="0"/>
              <w:spacing w:after="0" w:line="240" w:lineRule="auto"/>
              <w:jc w:val="center"/>
              <w:textAlignment w:val="auto"/>
              <w:rPr>
                <w:rFonts w:hint="eastAsia" w:ascii="仿宋_GB2312" w:hAnsi="仿宋_GB2312" w:cs="仿宋_GB2312"/>
                <w:color w:val="000000" w:themeColor="text1"/>
                <w:sz w:val="20"/>
                <w:szCs w:val="20"/>
                <w:lang w:eastAsia="zh-TW"/>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记录档案类</w:t>
            </w:r>
          </w:p>
        </w:tc>
        <w:tc>
          <w:tcPr>
            <w:tcW w:w="1025" w:type="pct"/>
            <w:tcBorders>
              <w:tl2br w:val="nil"/>
              <w:tr2bl w:val="nil"/>
            </w:tcBorders>
            <w:vAlign w:val="center"/>
          </w:tcPr>
          <w:p>
            <w:pPr>
              <w:widowControl/>
              <w:adjustRightInd w:val="0"/>
              <w:snapToGrid w:val="0"/>
              <w:spacing w:after="0" w:line="240" w:lineRule="auto"/>
              <w:jc w:val="left"/>
              <w:textAlignment w:val="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危险化学品采购单位未如实登记危险化学品购买、出入库、领取、使用、归还、处置等信息。危险化学品采购单位未通过本市危险化学品信息平台开展危险化学品交易活动，未实现危险化学品全过程可追溯。</w:t>
            </w:r>
          </w:p>
        </w:tc>
        <w:tc>
          <w:tcPr>
            <w:tcW w:w="1394" w:type="pct"/>
            <w:tcBorders>
              <w:tl2br w:val="nil"/>
              <w:tr2bl w:val="nil"/>
            </w:tcBorders>
            <w:vAlign w:val="center"/>
          </w:tcPr>
          <w:p>
            <w:pPr>
              <w:widowControl/>
              <w:adjustRightInd w:val="0"/>
              <w:snapToGrid w:val="0"/>
              <w:spacing w:after="0" w:line="240" w:lineRule="auto"/>
              <w:jc w:val="left"/>
              <w:textAlignment w:val="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危险化学品采购单位应当如实登记危险化学品购买、出入库、领取、使用、归还、处置等信息。鼓励生产经营单位通过本市危险化学品信息平台开展危险化学品交易活动，实现危险化学品全过程可追溯。使用单位在带包装危险化学品收货时，应通过追溯系统扫描追溯标签确认收货信息。散装危险化学品收货时，应通过追溯系统填报收货信息。</w:t>
            </w:r>
          </w:p>
        </w:tc>
        <w:tc>
          <w:tcPr>
            <w:tcW w:w="1282" w:type="pct"/>
            <w:tcBorders>
              <w:tl2br w:val="nil"/>
              <w:tr2bl w:val="nil"/>
            </w:tcBorders>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eastAsia="zh-CN" w:bidi="ar"/>
              </w:rPr>
              <w:t>《安全生产等级评定技术规范 第2部分：安全生产通用要求》</w:t>
            </w:r>
            <w:r>
              <w:rPr>
                <w:rFonts w:hint="eastAsia" w:ascii="仿宋_GB2312" w:eastAsia="仿宋_GB2312" w:hAnsiTheme="minorEastAsia"/>
                <w:sz w:val="20"/>
                <w:szCs w:val="20"/>
                <w:lang w:bidi="ar"/>
              </w:rPr>
              <w:t>（DB11/T 1322.2-2017）第3.8.1.17条；</w:t>
            </w:r>
          </w:p>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《北京市安全生产条例》第四十六条；</w:t>
            </w:r>
          </w:p>
          <w:p>
            <w:pPr>
              <w:pStyle w:val="10"/>
              <w:widowControl w:val="0"/>
              <w:adjustRightInd w:val="0"/>
              <w:snapToGrid w:val="0"/>
              <w:spacing w:before="0" w:beforeAutospacing="0" w:after="0" w:afterAutospacing="0"/>
              <w:jc w:val="both"/>
              <w:rPr>
                <w:rFonts w:hint="eastAsia"/>
              </w:rPr>
            </w:pPr>
            <w:r>
              <w:rPr>
                <w:rFonts w:hint="eastAsia" w:ascii="仿宋_GB2312" w:eastAsia="仿宋_GB2312" w:hAnsiTheme="minorEastAsia"/>
                <w:sz w:val="20"/>
                <w:szCs w:val="20"/>
                <w:lang w:bidi="ar"/>
              </w:rPr>
              <w:t>《危险化学品全流程追溯管理技术规范》（DB11/T 2196-2023）第7.6.2条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hAnsiTheme="minorEastAsia"/>
                <w:sz w:val="20"/>
                <w:szCs w:val="20"/>
              </w:rPr>
            </w:pPr>
            <w:r>
              <w:rPr>
                <w:rFonts w:hint="eastAsia" w:ascii="仿宋_GB2312" w:hAnsiTheme="minorEastAsia"/>
                <w:sz w:val="20"/>
                <w:szCs w:val="20"/>
              </w:rPr>
              <w:t>13.1.07.013</w:t>
            </w:r>
          </w:p>
        </w:tc>
        <w:tc>
          <w:tcPr>
            <w:tcW w:w="388"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基础资料类</w:t>
            </w:r>
          </w:p>
        </w:tc>
        <w:tc>
          <w:tcPr>
            <w:tcW w:w="376"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风险辨识类</w:t>
            </w:r>
          </w:p>
        </w:tc>
        <w:tc>
          <w:tcPr>
            <w:tcW w:w="1025" w:type="pct"/>
            <w:tcBorders>
              <w:tl2br w:val="nil"/>
              <w:tr2bl w:val="nil"/>
            </w:tcBorders>
            <w:vAlign w:val="center"/>
          </w:tcPr>
          <w:p>
            <w:pPr>
              <w:pStyle w:val="10"/>
              <w:adjustRightInd w:val="0"/>
              <w:snapToGrid w:val="0"/>
              <w:spacing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未开展安全风险辨识评估，未按照安全风险分级采取相应的管控措施。生产、储存危险化学品的企业的工艺、设施、设备、原料等发生变更时未重新进行安全风险辨识评估。未根据生产经营活动的特点，制定安全风险辨识程序和方法，全面开展安全风险辨识和评估。未根据风险评估的结果从组织、制度、技术、应急等方面对安全风险进行有效管控。</w:t>
            </w:r>
          </w:p>
        </w:tc>
        <w:tc>
          <w:tcPr>
            <w:tcW w:w="1394" w:type="pct"/>
            <w:tcBorders>
              <w:tl2br w:val="nil"/>
              <w:tr2bl w:val="nil"/>
            </w:tcBorders>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生产经营单位应当按照下列规定开展安全风险分级管控：</w:t>
            </w:r>
          </w:p>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（一）根据本单位生产经营活动的特点，制定安全风险辨识程序和方法，全面开展安全风险辨识和评估；</w:t>
            </w:r>
          </w:p>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（二）对辨识出的安全风险进行分类梳理，确定安全风险等级；</w:t>
            </w:r>
          </w:p>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（三）从制度、技术、应急等方面，对安全风险进行有效管控；</w:t>
            </w:r>
          </w:p>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（四）建立安全风险公告制度，告知从业人员安全风险基本情况和防范措施。</w:t>
            </w:r>
          </w:p>
        </w:tc>
        <w:tc>
          <w:tcPr>
            <w:tcW w:w="1282" w:type="pct"/>
            <w:tcBorders>
              <w:tl2br w:val="nil"/>
              <w:tr2bl w:val="nil"/>
            </w:tcBorders>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《北京市安全生产条例》第二十七条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hAnsiTheme="minorEastAsia"/>
                <w:sz w:val="20"/>
                <w:szCs w:val="20"/>
              </w:rPr>
            </w:pPr>
            <w:r>
              <w:rPr>
                <w:rFonts w:hint="eastAsia" w:ascii="仿宋_GB2312" w:hAnsiTheme="minorEastAsia"/>
                <w:sz w:val="20"/>
                <w:szCs w:val="20"/>
              </w:rPr>
              <w:t>13.1.08.014</w:t>
            </w:r>
          </w:p>
        </w:tc>
        <w:tc>
          <w:tcPr>
            <w:tcW w:w="388"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基础资料类</w:t>
            </w:r>
          </w:p>
        </w:tc>
        <w:tc>
          <w:tcPr>
            <w:tcW w:w="376"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隐患排查类</w:t>
            </w:r>
          </w:p>
        </w:tc>
        <w:tc>
          <w:tcPr>
            <w:tcW w:w="1025" w:type="pct"/>
            <w:tcBorders>
              <w:tl2br w:val="nil"/>
              <w:tr2bl w:val="nil"/>
            </w:tcBorders>
            <w:vAlign w:val="center"/>
          </w:tcPr>
          <w:p>
            <w:pPr>
              <w:pStyle w:val="10"/>
              <w:adjustRightInd w:val="0"/>
              <w:snapToGrid w:val="0"/>
              <w:spacing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未督促、检查本单位的安全生产工作，及时消除生产安全事故隐患；未按照要求使用生产安全事故隐患排查治理信息系统，如实记录事故隐患情况，未对事故隐患治理实行闭环管理。</w:t>
            </w:r>
          </w:p>
        </w:tc>
        <w:tc>
          <w:tcPr>
            <w:tcW w:w="1394" w:type="pct"/>
            <w:tcBorders>
              <w:tl2br w:val="nil"/>
              <w:tr2bl w:val="nil"/>
            </w:tcBorders>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生产经营单位应当按照要求使用生产安全事故隐患排查治理信息系统，如实记录事故隐患的排查时间、所属类型、所在位置、责任部门和责任人、治理措施及整改情况等内容。</w:t>
            </w:r>
          </w:p>
        </w:tc>
        <w:tc>
          <w:tcPr>
            <w:tcW w:w="1282" w:type="pct"/>
            <w:tcBorders>
              <w:tl2br w:val="nil"/>
              <w:tr2bl w:val="nil"/>
            </w:tcBorders>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《北京市生产安全事故隐患排查治理办法》第十六条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hAnsiTheme="minorEastAsia"/>
                <w:sz w:val="20"/>
                <w:szCs w:val="20"/>
              </w:rPr>
            </w:pPr>
            <w:r>
              <w:rPr>
                <w:rFonts w:hint="eastAsia" w:ascii="仿宋_GB2312" w:hAnsiTheme="minorEastAsia"/>
                <w:sz w:val="20"/>
                <w:szCs w:val="20"/>
              </w:rPr>
              <w:t>13.1.08.015</w:t>
            </w:r>
          </w:p>
        </w:tc>
        <w:tc>
          <w:tcPr>
            <w:tcW w:w="388"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基础资料类</w:t>
            </w:r>
          </w:p>
        </w:tc>
        <w:tc>
          <w:tcPr>
            <w:tcW w:w="376"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隐患排查类</w:t>
            </w:r>
          </w:p>
        </w:tc>
        <w:tc>
          <w:tcPr>
            <w:tcW w:w="1025" w:type="pct"/>
            <w:tcBorders>
              <w:tl2br w:val="nil"/>
              <w:tr2bl w:val="nil"/>
            </w:tcBorders>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企业主要负责人未每月带队对本单位重大事故隐患排查整治情况至少开展一次检查，并通过“企安安”系统进行记录。</w:t>
            </w:r>
          </w:p>
        </w:tc>
        <w:tc>
          <w:tcPr>
            <w:tcW w:w="1394" w:type="pct"/>
            <w:tcBorders>
              <w:tl2br w:val="nil"/>
              <w:tr2bl w:val="nil"/>
            </w:tcBorders>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企业主要负责人应每月带队对本单位重大事故隐患排查整治情况至少开展一次检查，并通过“企安安”系统进行记录。</w:t>
            </w:r>
          </w:p>
        </w:tc>
        <w:tc>
          <w:tcPr>
            <w:tcW w:w="1282" w:type="pct"/>
            <w:tcBorders>
              <w:tl2br w:val="nil"/>
              <w:tr2bl w:val="nil"/>
            </w:tcBorders>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《北京市危险化学品安全生产治本攻坚三年行动实施方案（2024-2026年）》</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hAnsiTheme="minorEastAsia"/>
                <w:sz w:val="20"/>
                <w:szCs w:val="20"/>
              </w:rPr>
            </w:pPr>
            <w:r>
              <w:rPr>
                <w:rFonts w:hint="eastAsia" w:ascii="仿宋_GB2312" w:hAnsiTheme="minorEastAsia"/>
                <w:sz w:val="20"/>
                <w:szCs w:val="20"/>
              </w:rPr>
              <w:t>13.1.09.016</w:t>
            </w:r>
          </w:p>
        </w:tc>
        <w:tc>
          <w:tcPr>
            <w:tcW w:w="388"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基础资料类</w:t>
            </w:r>
          </w:p>
        </w:tc>
        <w:tc>
          <w:tcPr>
            <w:tcW w:w="376"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应急救援</w:t>
            </w:r>
            <w:r>
              <w:rPr>
                <w:rFonts w:hint="eastAsia" w:ascii="仿宋_GB2312" w:eastAsia="仿宋_GB2312" w:hAnsiTheme="minorEastAsia"/>
                <w:sz w:val="20"/>
                <w:szCs w:val="20"/>
                <w:lang w:bidi="ar"/>
              </w:rPr>
              <w:t>类</w:t>
            </w:r>
          </w:p>
        </w:tc>
        <w:tc>
          <w:tcPr>
            <w:tcW w:w="1025" w:type="pct"/>
            <w:tcBorders>
              <w:tl2br w:val="nil"/>
              <w:tr2bl w:val="nil"/>
            </w:tcBorders>
            <w:vAlign w:val="center"/>
          </w:tcPr>
          <w:p>
            <w:pPr>
              <w:pStyle w:val="10"/>
              <w:adjustRightInd w:val="0"/>
              <w:snapToGrid w:val="0"/>
              <w:spacing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未进行事故风险辨识、评估和应急资源调查。</w:t>
            </w:r>
          </w:p>
        </w:tc>
        <w:tc>
          <w:tcPr>
            <w:tcW w:w="1394" w:type="pct"/>
            <w:tcBorders>
              <w:tl2br w:val="nil"/>
              <w:tr2bl w:val="nil"/>
            </w:tcBorders>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编制应急预案前，编制单位应当进行事故风险辨识、评估和应急资源调查。</w:t>
            </w:r>
          </w:p>
        </w:tc>
        <w:tc>
          <w:tcPr>
            <w:tcW w:w="1282" w:type="pct"/>
            <w:tcBorders>
              <w:tl2br w:val="nil"/>
              <w:tr2bl w:val="nil"/>
            </w:tcBorders>
            <w:vAlign w:val="center"/>
          </w:tcPr>
          <w:p>
            <w:pPr>
              <w:pStyle w:val="10"/>
              <w:adjustRightInd w:val="0"/>
              <w:snapToGrid w:val="0"/>
              <w:spacing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《生产安全事故应急预案管理办法》第十条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hAnsiTheme="minorEastAsia"/>
                <w:sz w:val="20"/>
                <w:szCs w:val="20"/>
              </w:rPr>
            </w:pPr>
            <w:r>
              <w:rPr>
                <w:rFonts w:hint="eastAsia" w:ascii="仿宋_GB2312" w:hAnsiTheme="minorEastAsia"/>
                <w:sz w:val="20"/>
                <w:szCs w:val="20"/>
              </w:rPr>
              <w:t>13.1.09.017</w:t>
            </w:r>
          </w:p>
        </w:tc>
        <w:tc>
          <w:tcPr>
            <w:tcW w:w="388"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基础资料类</w:t>
            </w:r>
          </w:p>
        </w:tc>
        <w:tc>
          <w:tcPr>
            <w:tcW w:w="376"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应急救援</w:t>
            </w:r>
            <w:r>
              <w:rPr>
                <w:rFonts w:hint="eastAsia" w:ascii="仿宋_GB2312" w:eastAsia="仿宋_GB2312" w:hAnsiTheme="minorEastAsia"/>
                <w:sz w:val="20"/>
                <w:szCs w:val="20"/>
                <w:lang w:bidi="ar"/>
              </w:rPr>
              <w:t>类</w:t>
            </w:r>
          </w:p>
        </w:tc>
        <w:tc>
          <w:tcPr>
            <w:tcW w:w="1025" w:type="pct"/>
            <w:tcBorders>
              <w:tl2br w:val="nil"/>
              <w:tr2bl w:val="nil"/>
            </w:tcBorders>
            <w:vAlign w:val="center"/>
          </w:tcPr>
          <w:p>
            <w:pPr>
              <w:pStyle w:val="10"/>
              <w:adjustRightInd w:val="0"/>
              <w:snapToGrid w:val="0"/>
              <w:spacing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未制定本单位生产安全事故应急救援预案。</w:t>
            </w:r>
          </w:p>
        </w:tc>
        <w:tc>
          <w:tcPr>
            <w:tcW w:w="1394" w:type="pct"/>
            <w:tcBorders>
              <w:tl2br w:val="nil"/>
              <w:tr2bl w:val="nil"/>
            </w:tcBorders>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生产经营单位应当制定本单位生产安全事故应急救援预案。</w:t>
            </w:r>
          </w:p>
        </w:tc>
        <w:tc>
          <w:tcPr>
            <w:tcW w:w="1282" w:type="pct"/>
            <w:tcBorders>
              <w:tl2br w:val="nil"/>
              <w:tr2bl w:val="nil"/>
            </w:tcBorders>
            <w:vAlign w:val="center"/>
          </w:tcPr>
          <w:p>
            <w:pPr>
              <w:pStyle w:val="10"/>
              <w:adjustRightInd w:val="0"/>
              <w:snapToGrid w:val="0"/>
              <w:spacing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《中华人民共和国安全生产法》第八十一条；</w:t>
            </w:r>
          </w:p>
          <w:p>
            <w:pPr>
              <w:pStyle w:val="10"/>
              <w:adjustRightInd w:val="0"/>
              <w:snapToGrid w:val="0"/>
              <w:spacing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《北京市安全生产条例》第五十五条；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hAnsiTheme="minorEastAsia"/>
                <w:sz w:val="20"/>
                <w:szCs w:val="20"/>
              </w:rPr>
            </w:pPr>
            <w:r>
              <w:rPr>
                <w:rFonts w:hint="eastAsia" w:ascii="仿宋_GB2312" w:hAnsiTheme="minorEastAsia"/>
                <w:sz w:val="20"/>
                <w:szCs w:val="20"/>
              </w:rPr>
              <w:t>13.1.09.018</w:t>
            </w:r>
          </w:p>
        </w:tc>
        <w:tc>
          <w:tcPr>
            <w:tcW w:w="388"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基础资料类</w:t>
            </w:r>
          </w:p>
        </w:tc>
        <w:tc>
          <w:tcPr>
            <w:tcW w:w="376"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应急救援</w:t>
            </w:r>
            <w:r>
              <w:rPr>
                <w:rFonts w:hint="eastAsia" w:ascii="仿宋_GB2312" w:eastAsia="仿宋_GB2312" w:hAnsiTheme="minorEastAsia"/>
                <w:sz w:val="20"/>
                <w:szCs w:val="20"/>
                <w:lang w:bidi="ar"/>
              </w:rPr>
              <w:t>类</w:t>
            </w:r>
          </w:p>
        </w:tc>
        <w:tc>
          <w:tcPr>
            <w:tcW w:w="1025" w:type="pct"/>
            <w:tcBorders>
              <w:tl2br w:val="nil"/>
              <w:tr2bl w:val="nil"/>
            </w:tcBorders>
            <w:vAlign w:val="center"/>
          </w:tcPr>
          <w:p>
            <w:pPr>
              <w:pStyle w:val="10"/>
              <w:adjustRightInd w:val="0"/>
              <w:snapToGrid w:val="0"/>
              <w:spacing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未编制应急处置卡。</w:t>
            </w:r>
          </w:p>
        </w:tc>
        <w:tc>
          <w:tcPr>
            <w:tcW w:w="1394" w:type="pct"/>
            <w:tcBorders>
              <w:tl2br w:val="nil"/>
              <w:tr2bl w:val="nil"/>
            </w:tcBorders>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生产经营单位应当在编制应急预案的基础上，针对工作场所、岗位的特点，编制简明、实用、有效的应急处置卡。</w:t>
            </w:r>
          </w:p>
        </w:tc>
        <w:tc>
          <w:tcPr>
            <w:tcW w:w="1282" w:type="pct"/>
            <w:tcBorders>
              <w:tl2br w:val="nil"/>
              <w:tr2bl w:val="nil"/>
            </w:tcBorders>
            <w:vAlign w:val="center"/>
          </w:tcPr>
          <w:p>
            <w:pPr>
              <w:pStyle w:val="10"/>
              <w:adjustRightInd w:val="0"/>
              <w:snapToGrid w:val="0"/>
              <w:spacing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《生产安全事故应急预案管理办法》第十九条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hAnsiTheme="minorEastAsia"/>
                <w:sz w:val="20"/>
                <w:szCs w:val="20"/>
              </w:rPr>
            </w:pPr>
            <w:r>
              <w:rPr>
                <w:rFonts w:hint="eastAsia" w:ascii="仿宋_GB2312" w:hAnsiTheme="minorEastAsia"/>
                <w:sz w:val="20"/>
                <w:szCs w:val="20"/>
              </w:rPr>
              <w:t>13.1.09.019</w:t>
            </w:r>
          </w:p>
        </w:tc>
        <w:tc>
          <w:tcPr>
            <w:tcW w:w="388"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基础资料类</w:t>
            </w:r>
          </w:p>
        </w:tc>
        <w:tc>
          <w:tcPr>
            <w:tcW w:w="376"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应急救援</w:t>
            </w:r>
            <w:r>
              <w:rPr>
                <w:rFonts w:hint="eastAsia" w:ascii="仿宋_GB2312" w:eastAsia="仿宋_GB2312" w:hAnsiTheme="minorEastAsia"/>
                <w:sz w:val="20"/>
                <w:szCs w:val="20"/>
                <w:lang w:bidi="ar"/>
              </w:rPr>
              <w:t>类</w:t>
            </w:r>
          </w:p>
        </w:tc>
        <w:tc>
          <w:tcPr>
            <w:tcW w:w="1025" w:type="pct"/>
            <w:tcBorders>
              <w:tl2br w:val="nil"/>
              <w:tr2bl w:val="nil"/>
            </w:tcBorders>
            <w:vAlign w:val="center"/>
          </w:tcPr>
          <w:p>
            <w:pPr>
              <w:pStyle w:val="10"/>
              <w:adjustRightInd w:val="0"/>
              <w:snapToGrid w:val="0"/>
              <w:spacing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未配备必要的应急救援器材、装备、设备和物资。</w:t>
            </w:r>
          </w:p>
        </w:tc>
        <w:tc>
          <w:tcPr>
            <w:tcW w:w="1394" w:type="pct"/>
            <w:tcBorders>
              <w:tl2br w:val="nil"/>
              <w:tr2bl w:val="nil"/>
            </w:tcBorders>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单位应配备必要的应急救援器材、装备、设备和物资。</w:t>
            </w:r>
          </w:p>
        </w:tc>
        <w:tc>
          <w:tcPr>
            <w:tcW w:w="1282" w:type="pct"/>
            <w:tcBorders>
              <w:tl2br w:val="nil"/>
              <w:tr2bl w:val="nil"/>
            </w:tcBorders>
            <w:vAlign w:val="center"/>
          </w:tcPr>
          <w:p>
            <w:pPr>
              <w:pStyle w:val="10"/>
              <w:adjustRightInd w:val="0"/>
              <w:snapToGrid w:val="0"/>
              <w:spacing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《中华人民共和国危险化学品安全法》第九十一条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hAnsiTheme="minorEastAsia"/>
                <w:sz w:val="20"/>
                <w:szCs w:val="20"/>
              </w:rPr>
            </w:pPr>
            <w:r>
              <w:rPr>
                <w:rFonts w:hint="eastAsia" w:ascii="仿宋_GB2312" w:hAnsiTheme="minorEastAsia"/>
                <w:sz w:val="20"/>
                <w:szCs w:val="20"/>
              </w:rPr>
              <w:t>13.1.09.020</w:t>
            </w:r>
          </w:p>
        </w:tc>
        <w:tc>
          <w:tcPr>
            <w:tcW w:w="388"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基础资料类</w:t>
            </w:r>
          </w:p>
        </w:tc>
        <w:tc>
          <w:tcPr>
            <w:tcW w:w="376"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应急救援</w:t>
            </w:r>
            <w:r>
              <w:rPr>
                <w:rFonts w:hint="eastAsia" w:ascii="仿宋_GB2312" w:eastAsia="仿宋_GB2312" w:hAnsiTheme="minorEastAsia"/>
                <w:sz w:val="20"/>
                <w:szCs w:val="20"/>
                <w:lang w:bidi="ar"/>
              </w:rPr>
              <w:t>类</w:t>
            </w:r>
          </w:p>
        </w:tc>
        <w:tc>
          <w:tcPr>
            <w:tcW w:w="1025" w:type="pct"/>
            <w:tcBorders>
              <w:tl2br w:val="nil"/>
              <w:tr2bl w:val="nil"/>
            </w:tcBorders>
            <w:vAlign w:val="center"/>
          </w:tcPr>
          <w:p>
            <w:pPr>
              <w:pStyle w:val="10"/>
              <w:adjustRightInd w:val="0"/>
              <w:snapToGrid w:val="0"/>
              <w:spacing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未按规定定期组织应急演练，或演练结束后未按要求进行应急演练效果评估。</w:t>
            </w:r>
          </w:p>
        </w:tc>
        <w:tc>
          <w:tcPr>
            <w:tcW w:w="1394" w:type="pct"/>
            <w:tcBorders>
              <w:tl2br w:val="nil"/>
              <w:tr2bl w:val="nil"/>
            </w:tcBorders>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生产经营单位应当制定本单位的应急预案演练计划，根据本单位的事故风险特点，每年至少组织一次综合应急预案演练或者专项应急预案演练，每半年至少组织一次现场处置方案演练。应急预案演练结束后，应急预案演练组织单位应当对应急预案演练效果进行评估，撰写应急预案演练评估报告，分析存在的问题，并对应急预案提出修订意见。</w:t>
            </w:r>
          </w:p>
        </w:tc>
        <w:tc>
          <w:tcPr>
            <w:tcW w:w="1282" w:type="pct"/>
            <w:tcBorders>
              <w:tl2br w:val="nil"/>
              <w:tr2bl w:val="nil"/>
            </w:tcBorders>
            <w:vAlign w:val="center"/>
          </w:tcPr>
          <w:p>
            <w:pPr>
              <w:pStyle w:val="10"/>
              <w:adjustRightInd w:val="0"/>
              <w:snapToGrid w:val="0"/>
              <w:spacing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《生产安全事故应急预案管理办法》第三十三条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hAnsiTheme="minorEastAsia"/>
                <w:sz w:val="20"/>
                <w:szCs w:val="20"/>
              </w:rPr>
            </w:pPr>
            <w:r>
              <w:rPr>
                <w:rFonts w:hint="eastAsia" w:ascii="仿宋_GB2312" w:hAnsiTheme="minorEastAsia"/>
                <w:sz w:val="20"/>
                <w:szCs w:val="20"/>
              </w:rPr>
              <w:t>13.1.09.021</w:t>
            </w:r>
          </w:p>
        </w:tc>
        <w:tc>
          <w:tcPr>
            <w:tcW w:w="388"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基础资料类</w:t>
            </w:r>
          </w:p>
        </w:tc>
        <w:tc>
          <w:tcPr>
            <w:tcW w:w="376"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bidi="ar"/>
              </w:rPr>
            </w:pPr>
            <w:r>
              <w:rPr>
                <w:rFonts w:hint="eastAsia" w:ascii="仿宋_GB2312" w:eastAsia="仿宋_GB2312" w:hAnsiTheme="minorEastAsia"/>
                <w:sz w:val="20"/>
                <w:szCs w:val="20"/>
                <w:lang w:eastAsia="zh-TW" w:bidi="ar"/>
              </w:rPr>
              <w:t>应急救援</w:t>
            </w:r>
            <w:r>
              <w:rPr>
                <w:rFonts w:hint="eastAsia" w:ascii="仿宋_GB2312" w:eastAsia="仿宋_GB2312" w:hAnsiTheme="minorEastAsia"/>
                <w:sz w:val="20"/>
                <w:szCs w:val="20"/>
                <w:lang w:bidi="ar"/>
              </w:rPr>
              <w:t>类</w:t>
            </w:r>
          </w:p>
        </w:tc>
        <w:tc>
          <w:tcPr>
            <w:tcW w:w="1025" w:type="pct"/>
            <w:tcBorders>
              <w:tl2br w:val="nil"/>
              <w:tr2bl w:val="nil"/>
            </w:tcBorders>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企业主要负责人未每半年至少组织开展一次生产安全事故应急演练。</w:t>
            </w:r>
          </w:p>
        </w:tc>
        <w:tc>
          <w:tcPr>
            <w:tcW w:w="1394" w:type="pct"/>
            <w:tcBorders>
              <w:tl2br w:val="nil"/>
              <w:tr2bl w:val="nil"/>
            </w:tcBorders>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企业主要负责人应每半年至少组织开展一次生产安全事故应急演练。</w:t>
            </w:r>
          </w:p>
        </w:tc>
        <w:tc>
          <w:tcPr>
            <w:tcW w:w="1282" w:type="pct"/>
            <w:tcBorders>
              <w:tl2br w:val="nil"/>
              <w:tr2bl w:val="nil"/>
            </w:tcBorders>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《北京市危险化学品安全生产治本攻坚三年行动实施方案（2024-2026年）》</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hAnsiTheme="minorEastAsia"/>
                <w:sz w:val="20"/>
                <w:szCs w:val="20"/>
              </w:rPr>
            </w:pPr>
            <w:r>
              <w:rPr>
                <w:rFonts w:hint="eastAsia" w:ascii="仿宋_GB2312" w:hAnsiTheme="minorEastAsia"/>
                <w:sz w:val="20"/>
                <w:szCs w:val="20"/>
              </w:rPr>
              <w:t>13.1.10.022</w:t>
            </w:r>
          </w:p>
        </w:tc>
        <w:tc>
          <w:tcPr>
            <w:tcW w:w="388"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基础资料类</w:t>
            </w:r>
          </w:p>
        </w:tc>
        <w:tc>
          <w:tcPr>
            <w:tcW w:w="376"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bidi="ar"/>
              </w:rPr>
              <w:t>教育培训</w:t>
            </w:r>
            <w:r>
              <w:rPr>
                <w:rFonts w:hint="eastAsia" w:ascii="仿宋_GB2312" w:eastAsia="仿宋_GB2312" w:hAnsiTheme="minorEastAsia"/>
                <w:sz w:val="20"/>
                <w:szCs w:val="20"/>
                <w:lang w:eastAsia="zh-TW" w:bidi="ar"/>
              </w:rPr>
              <w:t>类</w:t>
            </w:r>
          </w:p>
        </w:tc>
        <w:tc>
          <w:tcPr>
            <w:tcW w:w="1025" w:type="pct"/>
            <w:tcBorders>
              <w:tl2br w:val="nil"/>
              <w:tr2bl w:val="nil"/>
            </w:tcBorders>
            <w:vAlign w:val="center"/>
          </w:tcPr>
          <w:p>
            <w:pPr>
              <w:pStyle w:val="10"/>
              <w:adjustRightInd w:val="0"/>
              <w:snapToGrid w:val="0"/>
              <w:spacing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未按照法律、法规、规章和国家标准、行业标准的要求对从主要负责人、一线员工、派遣劳动者、实习生等进行相应的安全生产教育和培训。培训学时和内容不符合法规要求。</w:t>
            </w:r>
          </w:p>
        </w:tc>
        <w:tc>
          <w:tcPr>
            <w:tcW w:w="1394" w:type="pct"/>
            <w:tcBorders>
              <w:tl2br w:val="nil"/>
              <w:tr2bl w:val="nil"/>
            </w:tcBorders>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w:t>
            </w:r>
          </w:p>
        </w:tc>
        <w:tc>
          <w:tcPr>
            <w:tcW w:w="1282" w:type="pct"/>
            <w:tcBorders>
              <w:tl2br w:val="nil"/>
              <w:tr2bl w:val="nil"/>
            </w:tcBorders>
            <w:vAlign w:val="center"/>
          </w:tcPr>
          <w:p>
            <w:pPr>
              <w:pStyle w:val="10"/>
              <w:adjustRightInd w:val="0"/>
              <w:snapToGrid w:val="0"/>
              <w:spacing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《中华人民共和国安全生产法》第二十八条、第二十九条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hAnsiTheme="minorEastAsia"/>
                <w:sz w:val="20"/>
                <w:szCs w:val="20"/>
              </w:rPr>
            </w:pPr>
            <w:r>
              <w:rPr>
                <w:rFonts w:hint="eastAsia" w:ascii="仿宋_GB2312" w:hAnsiTheme="minorEastAsia"/>
                <w:sz w:val="20"/>
                <w:szCs w:val="20"/>
              </w:rPr>
              <w:t>13.1.10.023</w:t>
            </w:r>
          </w:p>
        </w:tc>
        <w:tc>
          <w:tcPr>
            <w:tcW w:w="388"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基础资料类</w:t>
            </w:r>
          </w:p>
        </w:tc>
        <w:tc>
          <w:tcPr>
            <w:tcW w:w="376"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bidi="ar"/>
              </w:rPr>
              <w:t>教育培训</w:t>
            </w:r>
            <w:r>
              <w:rPr>
                <w:rFonts w:hint="eastAsia" w:ascii="仿宋_GB2312" w:eastAsia="仿宋_GB2312" w:hAnsiTheme="minorEastAsia"/>
                <w:sz w:val="20"/>
                <w:szCs w:val="20"/>
                <w:lang w:eastAsia="zh-TW" w:bidi="ar"/>
              </w:rPr>
              <w:t>类</w:t>
            </w:r>
          </w:p>
        </w:tc>
        <w:tc>
          <w:tcPr>
            <w:tcW w:w="1025" w:type="pct"/>
            <w:tcBorders>
              <w:tl2br w:val="nil"/>
              <w:tr2bl w:val="nil"/>
            </w:tcBorders>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特种作业人员未接受与其所从事的特种作业相应的安全技术培训。</w:t>
            </w:r>
          </w:p>
        </w:tc>
        <w:tc>
          <w:tcPr>
            <w:tcW w:w="1394" w:type="pct"/>
            <w:tcBorders>
              <w:tl2br w:val="nil"/>
              <w:tr2bl w:val="nil"/>
            </w:tcBorders>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特种作业人员应当接受与其所从事的特种作业相应的安全技术培训，包括理论培训和实际操作培训。</w:t>
            </w:r>
          </w:p>
        </w:tc>
        <w:tc>
          <w:tcPr>
            <w:tcW w:w="1282" w:type="pct"/>
            <w:tcBorders>
              <w:tl2br w:val="nil"/>
              <w:tr2bl w:val="nil"/>
            </w:tcBorders>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《特种作业人员安全技术培训考核管理规定》第九条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hAnsiTheme="minorEastAsia"/>
                <w:sz w:val="20"/>
                <w:szCs w:val="20"/>
              </w:rPr>
            </w:pPr>
            <w:r>
              <w:rPr>
                <w:rFonts w:hint="eastAsia" w:ascii="仿宋_GB2312" w:hAnsiTheme="minorEastAsia"/>
                <w:sz w:val="20"/>
                <w:szCs w:val="20"/>
              </w:rPr>
              <w:t>13.1.12.024</w:t>
            </w:r>
          </w:p>
        </w:tc>
        <w:tc>
          <w:tcPr>
            <w:tcW w:w="388"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hAnsi="等线" w:eastAsia="仿宋_GB2312"/>
                <w:sz w:val="20"/>
                <w:szCs w:val="20"/>
              </w:rPr>
            </w:pPr>
            <w:r>
              <w:rPr>
                <w:rFonts w:hint="eastAsia" w:ascii="仿宋_GB2312" w:hAnsi="等线" w:eastAsia="仿宋_GB2312"/>
                <w:sz w:val="20"/>
                <w:szCs w:val="20"/>
              </w:rPr>
              <w:t>基础资料类</w:t>
            </w:r>
          </w:p>
        </w:tc>
        <w:tc>
          <w:tcPr>
            <w:tcW w:w="376"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hAnsi="等线" w:eastAsia="仿宋_GB2312"/>
                <w:sz w:val="20"/>
                <w:szCs w:val="20"/>
              </w:rPr>
            </w:pPr>
            <w:r>
              <w:rPr>
                <w:rFonts w:hint="eastAsia" w:ascii="仿宋_GB2312" w:hAnsi="等线" w:eastAsia="仿宋_GB2312"/>
                <w:sz w:val="20"/>
                <w:szCs w:val="20"/>
              </w:rPr>
              <w:t>相关方管理</w:t>
            </w:r>
          </w:p>
        </w:tc>
        <w:tc>
          <w:tcPr>
            <w:tcW w:w="1025" w:type="pct"/>
            <w:tcBorders>
              <w:tl2br w:val="nil"/>
              <w:tr2bl w:val="nil"/>
            </w:tcBorders>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出租单位未加强对租赁厂房“三合一”“多合一”现象的安全检查，及时消除因居住与生产、经营、存储功能混合使用导致的重大安全隐患。</w:t>
            </w:r>
          </w:p>
        </w:tc>
        <w:tc>
          <w:tcPr>
            <w:tcW w:w="1394" w:type="pct"/>
            <w:tcBorders>
              <w:tl2br w:val="nil"/>
              <w:tr2bl w:val="nil"/>
            </w:tcBorders>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生产经营单位不得将生产经营项目、场所、设备发包或者出租给不具备安全生产条件或者相应资质的单位或者个人。生产经营单位对承包单位、承租单位的安全生产工作统一协调、管理，定期进行安全检查，发现安全问题的，应当及时督促整改。</w:t>
            </w:r>
          </w:p>
        </w:tc>
        <w:tc>
          <w:tcPr>
            <w:tcW w:w="1282" w:type="pct"/>
            <w:tcBorders>
              <w:tl2br w:val="nil"/>
              <w:tr2bl w:val="nil"/>
            </w:tcBorders>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《中华人民共和国安全生产法》第四十九条；</w:t>
            </w:r>
          </w:p>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《北京市安全生产委员会关于开展安全隐患大排查大清理大整治专项行动的通知》（京安发〔2017〕15号）</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hAnsiTheme="minorEastAsia"/>
                <w:sz w:val="20"/>
                <w:szCs w:val="20"/>
              </w:rPr>
            </w:pPr>
            <w:r>
              <w:rPr>
                <w:rFonts w:hint="eastAsia" w:ascii="仿宋_GB2312" w:hAnsiTheme="minorEastAsia"/>
                <w:sz w:val="20"/>
                <w:szCs w:val="20"/>
              </w:rPr>
              <w:t>13.1.12.0125</w:t>
            </w:r>
          </w:p>
        </w:tc>
        <w:tc>
          <w:tcPr>
            <w:tcW w:w="388"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hAnsi="等线" w:eastAsia="仿宋_GB2312"/>
                <w:sz w:val="20"/>
                <w:szCs w:val="20"/>
              </w:rPr>
            </w:pPr>
            <w:r>
              <w:rPr>
                <w:rFonts w:hint="eastAsia" w:ascii="仿宋_GB2312" w:hAnsi="等线" w:eastAsia="仿宋_GB2312"/>
                <w:sz w:val="20"/>
                <w:szCs w:val="20"/>
              </w:rPr>
              <w:t>基础资料类</w:t>
            </w:r>
          </w:p>
        </w:tc>
        <w:tc>
          <w:tcPr>
            <w:tcW w:w="376"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hAnsi="等线" w:eastAsia="仿宋_GB2312"/>
                <w:sz w:val="20"/>
                <w:szCs w:val="20"/>
              </w:rPr>
            </w:pPr>
            <w:r>
              <w:rPr>
                <w:rFonts w:hint="eastAsia" w:ascii="仿宋_GB2312" w:hAnsi="等线" w:eastAsia="仿宋_GB2312"/>
                <w:sz w:val="20"/>
                <w:szCs w:val="20"/>
              </w:rPr>
              <w:t>相关方管理</w:t>
            </w:r>
          </w:p>
        </w:tc>
        <w:tc>
          <w:tcPr>
            <w:tcW w:w="1025" w:type="pct"/>
            <w:tcBorders>
              <w:tl2br w:val="nil"/>
              <w:tr2bl w:val="nil"/>
            </w:tcBorders>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两个以上生产经营单位在同一作业区域内进行生产经营活动，可能危及对方生产安全的，未签订安全生产管理协议，明确各自的安全生产管理职责和应当采取的安全措施，未指定专职安全生产管理人员进行安全检查与协调。</w:t>
            </w:r>
          </w:p>
        </w:tc>
        <w:tc>
          <w:tcPr>
            <w:tcW w:w="1394" w:type="pct"/>
            <w:tcBorders>
              <w:tl2br w:val="nil"/>
              <w:tr2bl w:val="nil"/>
            </w:tcBorders>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tc>
        <w:tc>
          <w:tcPr>
            <w:tcW w:w="1282" w:type="pct"/>
            <w:tcBorders>
              <w:tl2br w:val="nil"/>
              <w:tr2bl w:val="nil"/>
            </w:tcBorders>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《中华人民共和国安全生产法》第四十八条</w:t>
            </w:r>
          </w:p>
        </w:tc>
        <w:tc>
          <w:tcPr>
            <w:tcW w:w="209" w:type="pct"/>
            <w:tcBorders>
              <w:tl2br w:val="nil"/>
              <w:tr2bl w:val="nil"/>
            </w:tcBorders>
            <w:shd w:val="clear" w:color="auto" w:fill="FFFFFF"/>
            <w:vAlign w:val="center"/>
          </w:tcPr>
          <w:p>
            <w:pPr>
              <w:adjustRightInd w:val="0"/>
              <w:snapToGrid w:val="0"/>
              <w:spacing w:after="0" w:line="240" w:lineRule="auto"/>
              <w:jc w:val="center"/>
              <w:rPr>
                <w:rFonts w:hint="eastAsia" w:ascii="仿宋_GB2312" w:hAnsiTheme="minorEastAsia"/>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hAnsiTheme="minorEastAsia"/>
                <w:sz w:val="20"/>
                <w:szCs w:val="20"/>
              </w:rPr>
            </w:pPr>
            <w:r>
              <w:rPr>
                <w:rFonts w:hint="eastAsia" w:ascii="仿宋_GB2312" w:hAnsiTheme="minorEastAsia"/>
                <w:sz w:val="20"/>
                <w:szCs w:val="20"/>
              </w:rPr>
              <w:t>13.1.12.026</w:t>
            </w:r>
          </w:p>
        </w:tc>
        <w:tc>
          <w:tcPr>
            <w:tcW w:w="388"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hAnsi="等线" w:eastAsia="仿宋_GB2312"/>
                <w:sz w:val="20"/>
                <w:szCs w:val="20"/>
                <w:lang w:eastAsia="zh-TW"/>
              </w:rPr>
            </w:pPr>
            <w:r>
              <w:rPr>
                <w:rFonts w:hint="eastAsia" w:ascii="仿宋_GB2312" w:hAnsi="等线" w:eastAsia="仿宋_GB2312"/>
                <w:sz w:val="20"/>
                <w:szCs w:val="20"/>
              </w:rPr>
              <w:t>基础资料类</w:t>
            </w:r>
          </w:p>
        </w:tc>
        <w:tc>
          <w:tcPr>
            <w:tcW w:w="376"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hAnsi="等线" w:eastAsia="仿宋_GB2312"/>
                <w:sz w:val="20"/>
                <w:szCs w:val="20"/>
                <w:lang w:eastAsia="zh-TW"/>
              </w:rPr>
            </w:pPr>
            <w:r>
              <w:rPr>
                <w:rFonts w:hint="eastAsia" w:ascii="仿宋_GB2312" w:hAnsi="等线" w:eastAsia="仿宋_GB2312"/>
                <w:sz w:val="20"/>
                <w:szCs w:val="20"/>
              </w:rPr>
              <w:t>相关方管理</w:t>
            </w:r>
          </w:p>
        </w:tc>
        <w:tc>
          <w:tcPr>
            <w:tcW w:w="1025" w:type="pct"/>
            <w:tcBorders>
              <w:tl2br w:val="nil"/>
              <w:tr2bl w:val="nil"/>
            </w:tcBorders>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生产经营项目、场所发包或者出租给其他单位的，生产经营单位未与承包单位、承租单位签订专门的安全生产管理协议，或者在承包合同、租赁合同中约定各自的安全生产管理职责；生产经营单位未对承包单位、承租单位的安全生产工作统一协调、管理，未定期进行安全检查，发现安全问题的，未及时督促整改。</w:t>
            </w:r>
          </w:p>
        </w:tc>
        <w:tc>
          <w:tcPr>
            <w:tcW w:w="1394" w:type="pct"/>
            <w:tcBorders>
              <w:tl2br w:val="nil"/>
              <w:tr2bl w:val="nil"/>
            </w:tcBorders>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tc>
        <w:tc>
          <w:tcPr>
            <w:tcW w:w="1282" w:type="pct"/>
            <w:tcBorders>
              <w:tl2br w:val="nil"/>
              <w:tr2bl w:val="nil"/>
            </w:tcBorders>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《中华人民共和国安全生产法》第四十八条</w:t>
            </w:r>
          </w:p>
        </w:tc>
        <w:tc>
          <w:tcPr>
            <w:tcW w:w="209" w:type="pct"/>
            <w:tcBorders>
              <w:tl2br w:val="nil"/>
              <w:tr2bl w:val="nil"/>
            </w:tcBorders>
            <w:shd w:val="clear" w:color="auto" w:fill="FFFFFF"/>
            <w:vAlign w:val="center"/>
          </w:tcPr>
          <w:p>
            <w:pPr>
              <w:adjustRightInd w:val="0"/>
              <w:snapToGrid w:val="0"/>
              <w:spacing w:after="0" w:line="240" w:lineRule="auto"/>
              <w:jc w:val="center"/>
              <w:rPr>
                <w:rFonts w:hint="eastAsia" w:ascii="仿宋_GB2312" w:hAnsiTheme="minorEastAsia"/>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hAnsiTheme="minorEastAsia"/>
                <w:sz w:val="20"/>
                <w:szCs w:val="20"/>
              </w:rPr>
            </w:pPr>
            <w:r>
              <w:rPr>
                <w:rFonts w:hint="eastAsia" w:ascii="仿宋_GB2312" w:hAnsiTheme="minorEastAsia"/>
                <w:sz w:val="20"/>
                <w:szCs w:val="20"/>
              </w:rPr>
              <w:t>13.1.13.027</w:t>
            </w:r>
          </w:p>
        </w:tc>
        <w:tc>
          <w:tcPr>
            <w:tcW w:w="388"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hAnsi="等线" w:eastAsia="仿宋_GB2312"/>
                <w:sz w:val="20"/>
                <w:szCs w:val="20"/>
                <w:lang w:eastAsia="zh-TW"/>
              </w:rPr>
            </w:pPr>
            <w:r>
              <w:rPr>
                <w:rFonts w:hint="eastAsia" w:ascii="仿宋_GB2312" w:hAnsi="等线" w:eastAsia="仿宋_GB2312"/>
                <w:sz w:val="20"/>
                <w:szCs w:val="20"/>
              </w:rPr>
              <w:t>基础资料类</w:t>
            </w:r>
          </w:p>
        </w:tc>
        <w:tc>
          <w:tcPr>
            <w:tcW w:w="376"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hAnsi="等线" w:eastAsia="仿宋_GB2312"/>
                <w:sz w:val="20"/>
                <w:szCs w:val="20"/>
                <w:lang w:eastAsia="zh-TW"/>
              </w:rPr>
            </w:pPr>
            <w:r>
              <w:rPr>
                <w:rFonts w:hint="eastAsia" w:ascii="仿宋_GB2312" w:hAnsi="等线" w:eastAsia="仿宋_GB2312"/>
                <w:sz w:val="20"/>
                <w:szCs w:val="20"/>
              </w:rPr>
              <w:t>安全生产投入类</w:t>
            </w:r>
          </w:p>
        </w:tc>
        <w:tc>
          <w:tcPr>
            <w:tcW w:w="1025"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hAnsi="等线" w:eastAsia="仿宋_GB2312"/>
                <w:sz w:val="20"/>
                <w:szCs w:val="20"/>
              </w:rPr>
            </w:pPr>
            <w:r>
              <w:rPr>
                <w:rFonts w:hint="eastAsia" w:ascii="仿宋_GB2312" w:hAnsi="等线" w:eastAsia="仿宋_GB2312"/>
                <w:sz w:val="20"/>
                <w:szCs w:val="20"/>
              </w:rPr>
              <w:t>生产经营单位的决策机构、主要负责人或者个人经营的投资人未保证安全生产所必需的资金投入。</w:t>
            </w:r>
          </w:p>
        </w:tc>
        <w:tc>
          <w:tcPr>
            <w:tcW w:w="1394" w:type="pct"/>
            <w:tcBorders>
              <w:tl2br w:val="nil"/>
              <w:tr2bl w:val="nil"/>
            </w:tcBorders>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生产经营单位的决策机构、主要负责人或者个人经营的投资人应当保证安全生产所必需的资金投入。</w:t>
            </w:r>
          </w:p>
        </w:tc>
        <w:tc>
          <w:tcPr>
            <w:tcW w:w="1282"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《北京市安全生产条例》第十八条；</w:t>
            </w:r>
          </w:p>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《北京市生产经营单位安全生产主体责任规定》第九条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hAnsiTheme="minorEastAsia"/>
                <w:sz w:val="20"/>
                <w:szCs w:val="20"/>
              </w:rPr>
            </w:pPr>
            <w:r>
              <w:rPr>
                <w:rFonts w:hint="eastAsia" w:ascii="仿宋_GB2312" w:hAnsiTheme="minorEastAsia"/>
                <w:sz w:val="20"/>
                <w:szCs w:val="20"/>
              </w:rPr>
              <w:t>13.1.14.028</w:t>
            </w:r>
          </w:p>
        </w:tc>
        <w:tc>
          <w:tcPr>
            <w:tcW w:w="388"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hAnsi="等线" w:eastAsia="仿宋_GB2312"/>
                <w:sz w:val="20"/>
                <w:szCs w:val="20"/>
                <w:lang w:eastAsia="zh-TW"/>
              </w:rPr>
            </w:pPr>
            <w:r>
              <w:rPr>
                <w:rFonts w:hint="eastAsia" w:ascii="仿宋_GB2312" w:hAnsi="等线" w:eastAsia="仿宋_GB2312"/>
                <w:sz w:val="20"/>
                <w:szCs w:val="20"/>
              </w:rPr>
              <w:t>基础资料类</w:t>
            </w:r>
          </w:p>
        </w:tc>
        <w:tc>
          <w:tcPr>
            <w:tcW w:w="376"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hAnsi="等线" w:eastAsia="仿宋_GB2312"/>
                <w:sz w:val="20"/>
                <w:szCs w:val="20"/>
                <w:lang w:eastAsia="zh-TW"/>
              </w:rPr>
            </w:pPr>
            <w:r>
              <w:rPr>
                <w:rFonts w:hint="eastAsia" w:ascii="仿宋_GB2312" w:hAnsi="等线" w:eastAsia="仿宋_GB2312"/>
                <w:sz w:val="20"/>
                <w:szCs w:val="20"/>
              </w:rPr>
              <w:t>劳动防护用品类</w:t>
            </w:r>
          </w:p>
        </w:tc>
        <w:tc>
          <w:tcPr>
            <w:tcW w:w="1025"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hAnsi="等线" w:eastAsia="仿宋_GB2312"/>
                <w:sz w:val="20"/>
                <w:szCs w:val="20"/>
              </w:rPr>
            </w:pPr>
            <w:r>
              <w:rPr>
                <w:rFonts w:hint="eastAsia" w:ascii="仿宋_GB2312" w:hAnsi="等线" w:eastAsia="仿宋_GB2312"/>
                <w:sz w:val="20"/>
                <w:szCs w:val="20"/>
              </w:rPr>
              <w:t>未为从业人员提供符合国家标准或者行业标准的劳动防护用品。未监督、教育从业人员按照使用规则佩戴、使用。从业人员未正确佩戴和使用劳动防护用品。</w:t>
            </w:r>
          </w:p>
        </w:tc>
        <w:tc>
          <w:tcPr>
            <w:tcW w:w="1394" w:type="pct"/>
            <w:tcBorders>
              <w:tl2br w:val="nil"/>
              <w:tr2bl w:val="nil"/>
            </w:tcBorders>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生产经营单位必须为从业人员提供符合国家标准或者行业标准的劳动防护用品，并监督、教育从业人员按照使用规则佩戴、使用。</w:t>
            </w:r>
          </w:p>
        </w:tc>
        <w:tc>
          <w:tcPr>
            <w:tcW w:w="1282"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《中华人民共和国安全生产法》第四十五条、第五十七条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hAnsiTheme="minorEastAsia"/>
                <w:sz w:val="20"/>
                <w:szCs w:val="20"/>
              </w:rPr>
            </w:pPr>
            <w:r>
              <w:rPr>
                <w:rFonts w:hint="eastAsia" w:ascii="仿宋_GB2312" w:hAnsiTheme="minorEastAsia"/>
                <w:sz w:val="20"/>
                <w:szCs w:val="20"/>
              </w:rPr>
              <w:t>13.1.14.029</w:t>
            </w:r>
          </w:p>
        </w:tc>
        <w:tc>
          <w:tcPr>
            <w:tcW w:w="388"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基础资料类</w:t>
            </w:r>
          </w:p>
        </w:tc>
        <w:tc>
          <w:tcPr>
            <w:tcW w:w="376"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hAnsi="等线" w:eastAsia="仿宋_GB2312"/>
                <w:sz w:val="20"/>
                <w:szCs w:val="20"/>
                <w:lang w:eastAsia="zh-TW"/>
              </w:rPr>
            </w:pPr>
            <w:r>
              <w:rPr>
                <w:rFonts w:hint="eastAsia" w:ascii="仿宋_GB2312" w:hAnsi="等线" w:eastAsia="仿宋_GB2312"/>
                <w:sz w:val="20"/>
                <w:szCs w:val="20"/>
              </w:rPr>
              <w:t>其它类</w:t>
            </w:r>
          </w:p>
        </w:tc>
        <w:tc>
          <w:tcPr>
            <w:tcW w:w="1025"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hAnsi="等线" w:eastAsia="仿宋_GB2312"/>
                <w:sz w:val="20"/>
                <w:szCs w:val="20"/>
              </w:rPr>
            </w:pPr>
            <w:r>
              <w:rPr>
                <w:rFonts w:hint="eastAsia" w:ascii="仿宋_GB2312" w:hAnsi="等线" w:eastAsia="仿宋_GB2312"/>
                <w:sz w:val="20"/>
                <w:szCs w:val="20"/>
              </w:rPr>
              <w:t>危险化学品使用单位未组织开展新、改、扩建储存设施的安全预评价或安全条件论证、安全设施设计、安全验收评价工作。</w:t>
            </w:r>
          </w:p>
        </w:tc>
        <w:tc>
          <w:tcPr>
            <w:tcW w:w="1394" w:type="pct"/>
            <w:tcBorders>
              <w:tl2br w:val="nil"/>
              <w:tr2bl w:val="nil"/>
            </w:tcBorders>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危险化学品使用单位应组织开展新、改、扩建储存设施的安全预评价或安全条件论证、安全设施设计、安全验收评价工作。</w:t>
            </w:r>
          </w:p>
        </w:tc>
        <w:tc>
          <w:tcPr>
            <w:tcW w:w="1282" w:type="pct"/>
            <w:tcBorders>
              <w:tl2br w:val="nil"/>
              <w:tr2bl w:val="nil"/>
            </w:tcBorders>
            <w:shd w:val="clear" w:color="auto" w:fill="FFFFFF"/>
            <w:vAlign w:val="center"/>
          </w:tcPr>
          <w:p>
            <w:pPr>
              <w:pStyle w:val="10"/>
              <w:widowControl w:val="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《北京市危险化学品使用单位储存设施安全评价工作指引（试行）》</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hAnsiTheme="minorEastAsia"/>
                <w:sz w:val="20"/>
                <w:szCs w:val="20"/>
              </w:rPr>
            </w:pPr>
            <w:r>
              <w:rPr>
                <w:rFonts w:hint="eastAsia" w:ascii="仿宋_GB2312" w:hAnsiTheme="minorEastAsia"/>
                <w:sz w:val="20"/>
                <w:szCs w:val="20"/>
              </w:rPr>
              <w:t>13.1.14.030</w:t>
            </w:r>
          </w:p>
        </w:tc>
        <w:tc>
          <w:tcPr>
            <w:tcW w:w="388"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基础资料类</w:t>
            </w:r>
          </w:p>
        </w:tc>
        <w:tc>
          <w:tcPr>
            <w:tcW w:w="376" w:type="pct"/>
            <w:tcBorders>
              <w:tl2br w:val="nil"/>
              <w:tr2bl w:val="nil"/>
            </w:tcBorders>
            <w:shd w:val="clear" w:color="auto" w:fill="FFFFFF"/>
            <w:vAlign w:val="center"/>
          </w:tcPr>
          <w:p>
            <w:pPr>
              <w:adjustRightInd w:val="0"/>
              <w:snapToGrid w:val="0"/>
              <w:spacing w:after="0" w:line="240" w:lineRule="auto"/>
              <w:jc w:val="center"/>
              <w:rPr>
                <w:rFonts w:hint="eastAsia" w:ascii="仿宋_GB2312" w:hAnsi="等线"/>
                <w:sz w:val="20"/>
                <w:szCs w:val="20"/>
              </w:rPr>
            </w:pPr>
            <w:r>
              <w:rPr>
                <w:rFonts w:hint="eastAsia" w:ascii="仿宋_GB2312" w:hAnsi="等线"/>
                <w:sz w:val="20"/>
                <w:szCs w:val="20"/>
              </w:rPr>
              <w:t>其它类</w:t>
            </w:r>
          </w:p>
        </w:tc>
        <w:tc>
          <w:tcPr>
            <w:tcW w:w="1025"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hAnsi="等线" w:eastAsia="仿宋_GB2312"/>
                <w:sz w:val="20"/>
                <w:szCs w:val="20"/>
              </w:rPr>
            </w:pPr>
            <w:r>
              <w:rPr>
                <w:rFonts w:hint="eastAsia" w:ascii="仿宋_GB2312" w:hAnsi="等线" w:eastAsia="仿宋_GB2312"/>
                <w:sz w:val="20"/>
                <w:szCs w:val="20"/>
                <w:lang w:eastAsia="zh-CN"/>
              </w:rPr>
              <w:t>化学反应生产原料药（</w:t>
            </w:r>
            <w:r>
              <w:rPr>
                <w:rFonts w:hint="eastAsia" w:ascii="仿宋_GB2312" w:hAnsi="等线" w:eastAsia="仿宋_GB2312"/>
                <w:sz w:val="20"/>
                <w:szCs w:val="20"/>
                <w:lang w:val="en-US" w:eastAsia="zh-CN"/>
              </w:rPr>
              <w:t>2710</w:t>
            </w:r>
            <w:r>
              <w:rPr>
                <w:rFonts w:hint="eastAsia" w:ascii="仿宋_GB2312" w:hAnsi="等线" w:eastAsia="仿宋_GB2312"/>
                <w:sz w:val="20"/>
                <w:szCs w:val="20"/>
                <w:lang w:eastAsia="zh-CN"/>
              </w:rPr>
              <w:t>）、制剂（</w:t>
            </w:r>
            <w:r>
              <w:rPr>
                <w:rFonts w:hint="eastAsia" w:ascii="仿宋_GB2312" w:hAnsi="等线" w:eastAsia="仿宋_GB2312"/>
                <w:sz w:val="20"/>
                <w:szCs w:val="20"/>
                <w:lang w:val="en-US" w:eastAsia="zh-CN"/>
              </w:rPr>
              <w:t>2720</w:t>
            </w:r>
            <w:r>
              <w:rPr>
                <w:rFonts w:hint="eastAsia" w:ascii="仿宋_GB2312" w:hAnsi="等线" w:eastAsia="仿宋_GB2312"/>
                <w:sz w:val="20"/>
                <w:szCs w:val="20"/>
                <w:lang w:eastAsia="zh-CN"/>
              </w:rPr>
              <w:t>）以及相关医药中间体的化学制药企业</w:t>
            </w:r>
            <w:r>
              <w:rPr>
                <w:rFonts w:hint="eastAsia" w:ascii="仿宋_GB2312" w:hAnsi="等线" w:eastAsia="仿宋_GB2312"/>
                <w:sz w:val="20"/>
                <w:szCs w:val="20"/>
              </w:rPr>
              <w:t>涉及可能具有爆炸危险性的化学品的，</w:t>
            </w:r>
            <w:r>
              <w:rPr>
                <w:rFonts w:hint="eastAsia" w:ascii="仿宋_GB2312" w:hAnsi="等线" w:eastAsia="仿宋_GB2312"/>
                <w:sz w:val="20"/>
                <w:szCs w:val="20"/>
                <w:lang w:eastAsia="zh-CN"/>
              </w:rPr>
              <w:t>未</w:t>
            </w:r>
            <w:r>
              <w:rPr>
                <w:rFonts w:hint="eastAsia" w:ascii="仿宋_GB2312" w:hAnsi="等线" w:eastAsia="仿宋_GB2312"/>
                <w:sz w:val="20"/>
                <w:szCs w:val="20"/>
              </w:rPr>
              <w:t>按照《精细化工企业安全管理规范》(AQ3062)要求，对相关的生产工艺开展全流程反应安全风险评估，</w:t>
            </w:r>
            <w:r>
              <w:rPr>
                <w:rFonts w:hint="eastAsia" w:ascii="仿宋_GB2312" w:hAnsi="等线" w:eastAsia="仿宋_GB2312"/>
                <w:sz w:val="20"/>
                <w:szCs w:val="20"/>
                <w:lang w:eastAsia="zh-CN"/>
              </w:rPr>
              <w:t>未</w:t>
            </w:r>
            <w:r>
              <w:rPr>
                <w:rFonts w:hint="eastAsia" w:ascii="仿宋_GB2312" w:hAnsi="等线" w:eastAsia="仿宋_GB2312"/>
                <w:sz w:val="20"/>
                <w:szCs w:val="20"/>
              </w:rPr>
              <w:t>根据评估结果采取代替减量，抗爆隔离，紧急切断，联锁停车等有效的安全风险防控措施。</w:t>
            </w:r>
            <w:r>
              <w:rPr>
                <w:rFonts w:hint="eastAsia" w:ascii="仿宋_GB2312" w:hAnsi="等线" w:eastAsia="仿宋_GB2312"/>
                <w:sz w:val="20"/>
                <w:szCs w:val="20"/>
                <w:lang w:eastAsia="zh-CN"/>
              </w:rPr>
              <w:t>未</w:t>
            </w:r>
            <w:r>
              <w:rPr>
                <w:rFonts w:hint="eastAsia" w:ascii="仿宋_GB2312" w:hAnsi="等线" w:eastAsia="仿宋_GB2312"/>
                <w:sz w:val="20"/>
                <w:szCs w:val="20"/>
              </w:rPr>
              <w:t>经过鉴定属于危险化学品的，应按要求进行登记。</w:t>
            </w:r>
          </w:p>
        </w:tc>
        <w:tc>
          <w:tcPr>
            <w:tcW w:w="1394"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hAnsi="等线" w:eastAsia="仿宋_GB2312"/>
                <w:sz w:val="20"/>
                <w:szCs w:val="20"/>
              </w:rPr>
            </w:pPr>
            <w:r>
              <w:rPr>
                <w:rFonts w:hint="eastAsia" w:ascii="仿宋_GB2312" w:hAnsi="等线" w:eastAsia="仿宋_GB2312"/>
                <w:sz w:val="20"/>
                <w:szCs w:val="20"/>
                <w:lang w:eastAsia="zh-CN"/>
              </w:rPr>
              <w:t>化学反应生产原料药（</w:t>
            </w:r>
            <w:r>
              <w:rPr>
                <w:rFonts w:hint="eastAsia" w:ascii="仿宋_GB2312" w:hAnsi="等线" w:eastAsia="仿宋_GB2312"/>
                <w:sz w:val="20"/>
                <w:szCs w:val="20"/>
                <w:lang w:val="en-US" w:eastAsia="zh-CN"/>
              </w:rPr>
              <w:t>2710</w:t>
            </w:r>
            <w:r>
              <w:rPr>
                <w:rFonts w:hint="eastAsia" w:ascii="仿宋_GB2312" w:hAnsi="等线" w:eastAsia="仿宋_GB2312"/>
                <w:sz w:val="20"/>
                <w:szCs w:val="20"/>
                <w:lang w:eastAsia="zh-CN"/>
              </w:rPr>
              <w:t>）、制剂（</w:t>
            </w:r>
            <w:r>
              <w:rPr>
                <w:rFonts w:hint="eastAsia" w:ascii="仿宋_GB2312" w:hAnsi="等线" w:eastAsia="仿宋_GB2312"/>
                <w:sz w:val="20"/>
                <w:szCs w:val="20"/>
                <w:lang w:val="en-US" w:eastAsia="zh-CN"/>
              </w:rPr>
              <w:t>2720</w:t>
            </w:r>
            <w:r>
              <w:rPr>
                <w:rFonts w:hint="eastAsia" w:ascii="仿宋_GB2312" w:hAnsi="等线" w:eastAsia="仿宋_GB2312"/>
                <w:sz w:val="20"/>
                <w:szCs w:val="20"/>
                <w:lang w:eastAsia="zh-CN"/>
              </w:rPr>
              <w:t>）以及相关医药中间体的化学制药企业</w:t>
            </w:r>
            <w:r>
              <w:rPr>
                <w:rFonts w:hint="eastAsia" w:ascii="仿宋_GB2312" w:hAnsi="等线" w:eastAsia="仿宋_GB2312"/>
                <w:sz w:val="20"/>
                <w:szCs w:val="20"/>
              </w:rPr>
              <w:t>涉及可能具有爆炸危险性的化学品的，应按照《精细化工企业安全管理规范》(AQ3062)要求，对相关的生产工艺开展全流程反应安全风险评估，根据评估结果采取代替减量，抗爆隔离，紧急切断，联锁停车等有效的安全风险防控措施。经过鉴定属于危险化学品的，应按要求进行登记。</w:t>
            </w:r>
          </w:p>
        </w:tc>
        <w:tc>
          <w:tcPr>
            <w:tcW w:w="1282"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《2026年化学制药企业安全风险防控专项工作方案》</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eastAsia="仿宋_GB2312" w:hAnsiTheme="minorEastAsia" w:cstheme="minorBidi"/>
                <w:kern w:val="2"/>
                <w:sz w:val="20"/>
                <w:szCs w:val="20"/>
                <w:lang w:val="en-US" w:eastAsia="zh-CN" w:bidi="ar-SA"/>
              </w:rPr>
            </w:pPr>
            <w:r>
              <w:rPr>
                <w:rFonts w:hint="eastAsia" w:ascii="仿宋_GB2312" w:hAnsiTheme="minorEastAsia"/>
                <w:sz w:val="20"/>
                <w:szCs w:val="20"/>
              </w:rPr>
              <w:t>13.1.14.031</w:t>
            </w:r>
          </w:p>
        </w:tc>
        <w:tc>
          <w:tcPr>
            <w:tcW w:w="388"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cs="宋体" w:hAnsiTheme="minorEastAsia"/>
                <w:kern w:val="0"/>
                <w:sz w:val="20"/>
                <w:szCs w:val="20"/>
                <w:lang w:val="en-US" w:eastAsia="zh-TW" w:bidi="ar"/>
              </w:rPr>
            </w:pPr>
            <w:r>
              <w:rPr>
                <w:rFonts w:hint="eastAsia" w:ascii="仿宋_GB2312" w:eastAsia="仿宋_GB2312" w:hAnsiTheme="minorEastAsia"/>
                <w:sz w:val="20"/>
                <w:szCs w:val="20"/>
                <w:lang w:eastAsia="zh-TW" w:bidi="ar"/>
              </w:rPr>
              <w:t>基础资料类</w:t>
            </w:r>
          </w:p>
        </w:tc>
        <w:tc>
          <w:tcPr>
            <w:tcW w:w="376" w:type="pct"/>
            <w:tcBorders>
              <w:tl2br w:val="nil"/>
              <w:tr2bl w:val="nil"/>
            </w:tcBorders>
            <w:shd w:val="clear" w:color="auto" w:fill="FFFFFF"/>
            <w:vAlign w:val="center"/>
          </w:tcPr>
          <w:p>
            <w:pPr>
              <w:adjustRightInd w:val="0"/>
              <w:snapToGrid w:val="0"/>
              <w:spacing w:after="0" w:line="240" w:lineRule="auto"/>
              <w:jc w:val="center"/>
              <w:rPr>
                <w:rFonts w:hint="eastAsia" w:ascii="仿宋_GB2312" w:hAnsi="等线" w:eastAsia="仿宋_GB2312" w:cstheme="minorBidi"/>
                <w:kern w:val="2"/>
                <w:sz w:val="20"/>
                <w:szCs w:val="20"/>
                <w:lang w:val="en-US" w:eastAsia="zh-TW" w:bidi="ar-SA"/>
              </w:rPr>
            </w:pPr>
            <w:r>
              <w:rPr>
                <w:rFonts w:hint="eastAsia" w:ascii="仿宋_GB2312" w:hAnsi="等线"/>
                <w:sz w:val="20"/>
                <w:szCs w:val="20"/>
              </w:rPr>
              <w:t>其它类</w:t>
            </w:r>
          </w:p>
        </w:tc>
        <w:tc>
          <w:tcPr>
            <w:tcW w:w="1025"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hAnsi="等线" w:eastAsia="仿宋_GB2312"/>
                <w:sz w:val="20"/>
                <w:szCs w:val="20"/>
                <w:lang w:eastAsia="zh-CN"/>
              </w:rPr>
            </w:pPr>
            <w:r>
              <w:rPr>
                <w:rFonts w:hint="eastAsia" w:ascii="仿宋_GB2312" w:hAnsi="等线" w:eastAsia="仿宋_GB2312"/>
                <w:sz w:val="20"/>
                <w:szCs w:val="20"/>
                <w:lang w:eastAsia="zh-CN"/>
              </w:rPr>
              <w:t>化学反应生产原料药（</w:t>
            </w:r>
            <w:r>
              <w:rPr>
                <w:rFonts w:hint="eastAsia" w:ascii="仿宋_GB2312" w:hAnsi="等线" w:eastAsia="仿宋_GB2312"/>
                <w:sz w:val="20"/>
                <w:szCs w:val="20"/>
                <w:lang w:val="en-US" w:eastAsia="zh-CN"/>
              </w:rPr>
              <w:t>2710</w:t>
            </w:r>
            <w:r>
              <w:rPr>
                <w:rFonts w:hint="eastAsia" w:ascii="仿宋_GB2312" w:hAnsi="等线" w:eastAsia="仿宋_GB2312"/>
                <w:sz w:val="20"/>
                <w:szCs w:val="20"/>
                <w:lang w:eastAsia="zh-CN"/>
              </w:rPr>
              <w:t>）、制剂（</w:t>
            </w:r>
            <w:r>
              <w:rPr>
                <w:rFonts w:hint="eastAsia" w:ascii="仿宋_GB2312" w:hAnsi="等线" w:eastAsia="仿宋_GB2312"/>
                <w:sz w:val="20"/>
                <w:szCs w:val="20"/>
                <w:lang w:val="en-US" w:eastAsia="zh-CN"/>
              </w:rPr>
              <w:t>2720</w:t>
            </w:r>
            <w:r>
              <w:rPr>
                <w:rFonts w:hint="eastAsia" w:ascii="仿宋_GB2312" w:hAnsi="等线" w:eastAsia="仿宋_GB2312"/>
                <w:sz w:val="20"/>
                <w:szCs w:val="20"/>
                <w:lang w:eastAsia="zh-CN"/>
              </w:rPr>
              <w:t>）以及相关医药中间体的化学制药企业</w:t>
            </w:r>
            <w:r>
              <w:rPr>
                <w:rFonts w:hint="eastAsia" w:ascii="仿宋_GB2312" w:hAnsi="等线" w:eastAsia="仿宋_GB2312"/>
                <w:sz w:val="20"/>
                <w:szCs w:val="20"/>
              </w:rPr>
              <w:t>涉及重点监管危险化工工艺的，未经正规设计或安全设计诊断(包括发生重大变更未重新设计)的，</w:t>
            </w:r>
            <w:r>
              <w:rPr>
                <w:rFonts w:hint="eastAsia" w:ascii="仿宋_GB2312" w:hAnsi="等线" w:eastAsia="仿宋_GB2312"/>
                <w:sz w:val="20"/>
                <w:szCs w:val="20"/>
                <w:lang w:eastAsia="zh-CN"/>
              </w:rPr>
              <w:t>未</w:t>
            </w:r>
            <w:r>
              <w:rPr>
                <w:rFonts w:hint="eastAsia" w:ascii="仿宋_GB2312" w:hAnsi="等线" w:eastAsia="仿宋_GB2312"/>
                <w:sz w:val="20"/>
                <w:szCs w:val="20"/>
              </w:rPr>
              <w:t>委托具备工程设计综合资质或化工石化医药行业，专业甲级资质设计单位开展全厂安全设计诊断</w:t>
            </w:r>
            <w:r>
              <w:rPr>
                <w:rFonts w:hint="eastAsia" w:ascii="仿宋_GB2312" w:hAnsi="等线" w:eastAsia="仿宋_GB2312"/>
                <w:sz w:val="20"/>
                <w:szCs w:val="20"/>
                <w:lang w:eastAsia="zh-CN"/>
              </w:rPr>
              <w:t>。</w:t>
            </w:r>
          </w:p>
          <w:p>
            <w:pPr>
              <w:pStyle w:val="10"/>
              <w:widowControl w:val="0"/>
              <w:adjustRightInd w:val="0"/>
              <w:snapToGrid w:val="0"/>
              <w:spacing w:before="0" w:beforeAutospacing="0" w:after="0" w:afterAutospacing="0"/>
              <w:jc w:val="both"/>
              <w:rPr>
                <w:rFonts w:hint="eastAsia" w:ascii="仿宋_GB2312" w:hAnsi="等线" w:eastAsia="仿宋_GB2312"/>
                <w:sz w:val="20"/>
                <w:szCs w:val="20"/>
              </w:rPr>
            </w:pPr>
            <w:r>
              <w:rPr>
                <w:rFonts w:hint="eastAsia" w:ascii="仿宋_GB2312" w:hAnsi="等线" w:eastAsia="仿宋_GB2312"/>
                <w:sz w:val="20"/>
                <w:szCs w:val="20"/>
              </w:rPr>
              <w:t>3年内未开展过安全现状评价的。涉及硝化，氯化，氟化，过氧化，重氮化等高危工艺及金属有机物合成反应(如格氏反应)的企业，</w:t>
            </w:r>
            <w:r>
              <w:rPr>
                <w:rFonts w:hint="eastAsia" w:ascii="仿宋_GB2312" w:hAnsi="等线" w:eastAsia="仿宋_GB2312"/>
                <w:sz w:val="20"/>
                <w:szCs w:val="20"/>
                <w:lang w:eastAsia="zh-CN"/>
              </w:rPr>
              <w:t>未</w:t>
            </w:r>
            <w:r>
              <w:rPr>
                <w:rFonts w:hint="eastAsia" w:ascii="仿宋_GB2312" w:hAnsi="等线" w:eastAsia="仿宋_GB2312"/>
                <w:sz w:val="20"/>
                <w:szCs w:val="20"/>
              </w:rPr>
              <w:t>按《精细化工企业安全管理规范》(AQ3062)等要求，开展反应单元的自动化改造。</w:t>
            </w:r>
          </w:p>
        </w:tc>
        <w:tc>
          <w:tcPr>
            <w:tcW w:w="1394"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hAnsi="等线" w:eastAsia="仿宋_GB2312"/>
                <w:sz w:val="20"/>
                <w:szCs w:val="20"/>
                <w:lang w:eastAsia="zh-CN"/>
              </w:rPr>
            </w:pPr>
            <w:r>
              <w:rPr>
                <w:rFonts w:hint="eastAsia" w:ascii="仿宋_GB2312" w:hAnsi="等线" w:eastAsia="仿宋_GB2312"/>
                <w:sz w:val="20"/>
                <w:szCs w:val="20"/>
                <w:lang w:eastAsia="zh-CN"/>
              </w:rPr>
              <w:t>化学反应生产原料药（</w:t>
            </w:r>
            <w:r>
              <w:rPr>
                <w:rFonts w:hint="eastAsia" w:ascii="仿宋_GB2312" w:hAnsi="等线" w:eastAsia="仿宋_GB2312"/>
                <w:sz w:val="20"/>
                <w:szCs w:val="20"/>
                <w:lang w:val="en-US" w:eastAsia="zh-CN"/>
              </w:rPr>
              <w:t>2710</w:t>
            </w:r>
            <w:r>
              <w:rPr>
                <w:rFonts w:hint="eastAsia" w:ascii="仿宋_GB2312" w:hAnsi="等线" w:eastAsia="仿宋_GB2312"/>
                <w:sz w:val="20"/>
                <w:szCs w:val="20"/>
                <w:lang w:eastAsia="zh-CN"/>
              </w:rPr>
              <w:t>）、制剂（</w:t>
            </w:r>
            <w:r>
              <w:rPr>
                <w:rFonts w:hint="eastAsia" w:ascii="仿宋_GB2312" w:hAnsi="等线" w:eastAsia="仿宋_GB2312"/>
                <w:sz w:val="20"/>
                <w:szCs w:val="20"/>
                <w:lang w:val="en-US" w:eastAsia="zh-CN"/>
              </w:rPr>
              <w:t>2720</w:t>
            </w:r>
            <w:r>
              <w:rPr>
                <w:rFonts w:hint="eastAsia" w:ascii="仿宋_GB2312" w:hAnsi="等线" w:eastAsia="仿宋_GB2312"/>
                <w:sz w:val="20"/>
                <w:szCs w:val="20"/>
                <w:lang w:eastAsia="zh-CN"/>
              </w:rPr>
              <w:t>）以及相关医药中间体的化学制药企业</w:t>
            </w:r>
            <w:r>
              <w:rPr>
                <w:rFonts w:hint="eastAsia" w:ascii="仿宋_GB2312" w:hAnsi="等线" w:eastAsia="仿宋_GB2312"/>
                <w:sz w:val="20"/>
                <w:szCs w:val="20"/>
              </w:rPr>
              <w:t>涉及重点监管危险化工工艺的，未经正规设计或安全设计诊断(包括发生重大变更未重新设计)的，应委托具备工程设计综合资质或化工石化医药行业，专业甲级资质设计单位开展全厂安全设计诊断</w:t>
            </w:r>
            <w:r>
              <w:rPr>
                <w:rFonts w:hint="eastAsia" w:ascii="仿宋_GB2312" w:hAnsi="等线" w:eastAsia="仿宋_GB2312"/>
                <w:sz w:val="20"/>
                <w:szCs w:val="20"/>
                <w:lang w:eastAsia="zh-CN"/>
              </w:rPr>
              <w:t>。</w:t>
            </w:r>
          </w:p>
          <w:p>
            <w:pPr>
              <w:pStyle w:val="10"/>
              <w:widowControl w:val="0"/>
              <w:adjustRightInd w:val="0"/>
              <w:snapToGrid w:val="0"/>
              <w:spacing w:before="0" w:beforeAutospacing="0" w:after="0" w:afterAutospacing="0"/>
              <w:jc w:val="both"/>
              <w:rPr>
                <w:rFonts w:hint="eastAsia" w:ascii="仿宋_GB2312" w:hAnsi="等线" w:eastAsia="仿宋_GB2312"/>
                <w:sz w:val="20"/>
                <w:szCs w:val="20"/>
              </w:rPr>
            </w:pPr>
            <w:r>
              <w:rPr>
                <w:rFonts w:hint="eastAsia" w:ascii="仿宋_GB2312" w:hAnsi="等线" w:eastAsia="仿宋_GB2312"/>
                <w:sz w:val="20"/>
                <w:szCs w:val="20"/>
              </w:rPr>
              <w:t>3年内未开展过安全现状评价的企业应立即开展一次全厂安全现状评价。</w:t>
            </w:r>
          </w:p>
          <w:p>
            <w:pPr>
              <w:pStyle w:val="10"/>
              <w:widowControl w:val="0"/>
              <w:adjustRightInd w:val="0"/>
              <w:snapToGrid w:val="0"/>
              <w:spacing w:before="0" w:beforeAutospacing="0" w:after="0" w:afterAutospacing="0"/>
              <w:jc w:val="both"/>
              <w:rPr>
                <w:rFonts w:hint="eastAsia" w:ascii="仿宋_GB2312" w:hAnsi="等线" w:eastAsia="仿宋_GB2312"/>
                <w:sz w:val="20"/>
                <w:szCs w:val="20"/>
              </w:rPr>
            </w:pPr>
            <w:r>
              <w:rPr>
                <w:rFonts w:hint="eastAsia" w:ascii="仿宋_GB2312" w:hAnsi="等线" w:eastAsia="仿宋_GB2312"/>
                <w:sz w:val="20"/>
                <w:szCs w:val="20"/>
              </w:rPr>
              <w:t>涉及硝化，氯化，氟化，过氧化，重氮化等高危工艺及金属有机物合成反应(如格氏反应)的企业，应按《精细化工企业安全管理规范》(AQ3062)等要求，开展反应单元的自动化改造，不断减少物料在线量和高危岗位作业人员数量，原则上应于2027年6月底前完成。</w:t>
            </w:r>
          </w:p>
        </w:tc>
        <w:tc>
          <w:tcPr>
            <w:tcW w:w="1282"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《2026年化学制药企业安全风险防控专项工作方案》</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eastAsia="仿宋_GB2312" w:hAnsiTheme="minorEastAsia" w:cstheme="minorBidi"/>
                <w:kern w:val="2"/>
                <w:sz w:val="20"/>
                <w:szCs w:val="20"/>
                <w:lang w:val="en-US" w:eastAsia="zh-CN" w:bidi="ar-SA"/>
              </w:rPr>
            </w:pPr>
            <w:r>
              <w:rPr>
                <w:rFonts w:hint="eastAsia" w:ascii="仿宋_GB2312" w:hAnsiTheme="minorEastAsia"/>
                <w:sz w:val="20"/>
                <w:szCs w:val="20"/>
              </w:rPr>
              <w:t>13.1.14.03</w:t>
            </w:r>
            <w:r>
              <w:rPr>
                <w:rFonts w:hint="eastAsia" w:ascii="仿宋_GB2312" w:hAnsiTheme="minorEastAsia"/>
                <w:sz w:val="20"/>
                <w:szCs w:val="20"/>
                <w:lang w:val="en-US" w:eastAsia="zh-CN"/>
              </w:rPr>
              <w:t>2</w:t>
            </w:r>
          </w:p>
        </w:tc>
        <w:tc>
          <w:tcPr>
            <w:tcW w:w="388"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cs="宋体" w:hAnsiTheme="minorEastAsia"/>
                <w:kern w:val="0"/>
                <w:sz w:val="20"/>
                <w:szCs w:val="20"/>
                <w:lang w:val="en-US" w:eastAsia="zh-TW" w:bidi="ar"/>
              </w:rPr>
            </w:pPr>
            <w:r>
              <w:rPr>
                <w:rFonts w:hint="eastAsia" w:ascii="仿宋_GB2312" w:eastAsia="仿宋_GB2312" w:hAnsiTheme="minorEastAsia"/>
                <w:sz w:val="20"/>
                <w:szCs w:val="20"/>
                <w:lang w:eastAsia="zh-TW" w:bidi="ar"/>
              </w:rPr>
              <w:t>基础资料类</w:t>
            </w:r>
          </w:p>
        </w:tc>
        <w:tc>
          <w:tcPr>
            <w:tcW w:w="376" w:type="pct"/>
            <w:tcBorders>
              <w:tl2br w:val="nil"/>
              <w:tr2bl w:val="nil"/>
            </w:tcBorders>
            <w:shd w:val="clear" w:color="auto" w:fill="FFFFFF"/>
            <w:vAlign w:val="center"/>
          </w:tcPr>
          <w:p>
            <w:pPr>
              <w:adjustRightInd w:val="0"/>
              <w:snapToGrid w:val="0"/>
              <w:spacing w:after="0" w:line="240" w:lineRule="auto"/>
              <w:jc w:val="center"/>
              <w:rPr>
                <w:rFonts w:hint="eastAsia" w:ascii="仿宋_GB2312" w:hAnsi="等线" w:eastAsia="仿宋_GB2312" w:cstheme="minorBidi"/>
                <w:kern w:val="2"/>
                <w:sz w:val="20"/>
                <w:szCs w:val="20"/>
                <w:lang w:val="en-US" w:eastAsia="zh-TW" w:bidi="ar-SA"/>
              </w:rPr>
            </w:pPr>
            <w:r>
              <w:rPr>
                <w:rFonts w:hint="eastAsia" w:ascii="仿宋_GB2312" w:hAnsi="等线"/>
                <w:sz w:val="20"/>
                <w:szCs w:val="20"/>
              </w:rPr>
              <w:t>其它类</w:t>
            </w:r>
          </w:p>
        </w:tc>
        <w:tc>
          <w:tcPr>
            <w:tcW w:w="1025"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hAnsi="等线" w:eastAsia="仿宋_GB2312"/>
                <w:sz w:val="20"/>
                <w:szCs w:val="20"/>
              </w:rPr>
            </w:pPr>
            <w:r>
              <w:rPr>
                <w:rFonts w:hint="eastAsia" w:ascii="仿宋_GB2312" w:hAnsi="等线" w:eastAsia="仿宋_GB2312"/>
                <w:sz w:val="20"/>
                <w:szCs w:val="20"/>
                <w:lang w:eastAsia="zh-CN"/>
              </w:rPr>
              <w:t>化学反应生产原料药（</w:t>
            </w:r>
            <w:r>
              <w:rPr>
                <w:rFonts w:hint="eastAsia" w:ascii="仿宋_GB2312" w:hAnsi="等线" w:eastAsia="仿宋_GB2312"/>
                <w:sz w:val="20"/>
                <w:szCs w:val="20"/>
                <w:lang w:val="en-US" w:eastAsia="zh-CN"/>
              </w:rPr>
              <w:t>2710</w:t>
            </w:r>
            <w:r>
              <w:rPr>
                <w:rFonts w:hint="eastAsia" w:ascii="仿宋_GB2312" w:hAnsi="等线" w:eastAsia="仿宋_GB2312"/>
                <w:sz w:val="20"/>
                <w:szCs w:val="20"/>
                <w:lang w:eastAsia="zh-CN"/>
              </w:rPr>
              <w:t>）、制剂（</w:t>
            </w:r>
            <w:r>
              <w:rPr>
                <w:rFonts w:hint="eastAsia" w:ascii="仿宋_GB2312" w:hAnsi="等线" w:eastAsia="仿宋_GB2312"/>
                <w:sz w:val="20"/>
                <w:szCs w:val="20"/>
                <w:lang w:val="en-US" w:eastAsia="zh-CN"/>
              </w:rPr>
              <w:t>2720</w:t>
            </w:r>
            <w:r>
              <w:rPr>
                <w:rFonts w:hint="eastAsia" w:ascii="仿宋_GB2312" w:hAnsi="等线" w:eastAsia="仿宋_GB2312"/>
                <w:sz w:val="20"/>
                <w:szCs w:val="20"/>
                <w:lang w:eastAsia="zh-CN"/>
              </w:rPr>
              <w:t>）以及相关医药中间体的化学制药企业</w:t>
            </w:r>
            <w:r>
              <w:rPr>
                <w:rFonts w:hint="eastAsia" w:ascii="仿宋_GB2312" w:hAnsi="等线" w:eastAsia="仿宋_GB2312"/>
                <w:sz w:val="20"/>
                <w:szCs w:val="20"/>
              </w:rPr>
              <w:t>涉及甲乙类车间，仓库和罐区，及粉尘爆炸危险场所的</w:t>
            </w:r>
            <w:r>
              <w:rPr>
                <w:rFonts w:hint="eastAsia" w:ascii="仿宋_GB2312" w:hAnsi="等线" w:eastAsia="仿宋_GB2312"/>
                <w:sz w:val="20"/>
                <w:szCs w:val="20"/>
                <w:lang w:eastAsia="zh-CN"/>
              </w:rPr>
              <w:t>（</w:t>
            </w:r>
            <w:r>
              <w:rPr>
                <w:rFonts w:hint="eastAsia" w:ascii="仿宋_GB2312" w:hAnsi="等线" w:eastAsia="仿宋_GB2312"/>
                <w:sz w:val="20"/>
                <w:szCs w:val="20"/>
              </w:rPr>
              <w:t>未经正规设计或安全设计诊断的</w:t>
            </w:r>
            <w:r>
              <w:rPr>
                <w:rFonts w:hint="eastAsia" w:ascii="仿宋_GB2312" w:hAnsi="等线" w:eastAsia="仿宋_GB2312"/>
                <w:sz w:val="20"/>
                <w:szCs w:val="20"/>
                <w:lang w:eastAsia="zh-CN"/>
              </w:rPr>
              <w:t>）</w:t>
            </w:r>
            <w:r>
              <w:rPr>
                <w:rFonts w:hint="eastAsia" w:ascii="仿宋_GB2312" w:hAnsi="等线" w:eastAsia="仿宋_GB2312"/>
                <w:sz w:val="20"/>
                <w:szCs w:val="20"/>
              </w:rPr>
              <w:t>，</w:t>
            </w:r>
            <w:r>
              <w:rPr>
                <w:rFonts w:hint="eastAsia" w:ascii="仿宋_GB2312" w:hAnsi="等线" w:eastAsia="仿宋_GB2312"/>
                <w:sz w:val="20"/>
                <w:szCs w:val="20"/>
                <w:lang w:eastAsia="zh-CN"/>
              </w:rPr>
              <w:t>未</w:t>
            </w:r>
            <w:r>
              <w:rPr>
                <w:rFonts w:hint="eastAsia" w:ascii="仿宋_GB2312" w:hAnsi="等线" w:eastAsia="仿宋_GB2312"/>
                <w:sz w:val="20"/>
                <w:szCs w:val="20"/>
              </w:rPr>
              <w:t>委托具备工程设计综合资质或化工石化医药行业，专业资质的设计单位对有关危险场所开展安全设计诊断，</w:t>
            </w:r>
            <w:r>
              <w:rPr>
                <w:rFonts w:hint="eastAsia" w:ascii="仿宋_GB2312" w:hAnsi="等线" w:eastAsia="仿宋_GB2312"/>
                <w:sz w:val="20"/>
                <w:szCs w:val="20"/>
                <w:lang w:eastAsia="zh-CN"/>
              </w:rPr>
              <w:t>未</w:t>
            </w:r>
            <w:r>
              <w:rPr>
                <w:rFonts w:hint="eastAsia" w:ascii="仿宋_GB2312" w:hAnsi="等线" w:eastAsia="仿宋_GB2312"/>
                <w:sz w:val="20"/>
                <w:szCs w:val="20"/>
              </w:rPr>
              <w:t>出具总平面布置图，爆炸危险区域划分图，带控制点的管道及仪表流程图等。3年内未开展过安全现状评价的。</w:t>
            </w:r>
          </w:p>
        </w:tc>
        <w:tc>
          <w:tcPr>
            <w:tcW w:w="1394"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hAnsi="等线" w:eastAsia="仿宋_GB2312"/>
                <w:sz w:val="20"/>
                <w:szCs w:val="20"/>
              </w:rPr>
            </w:pPr>
            <w:r>
              <w:rPr>
                <w:rFonts w:hint="eastAsia" w:ascii="仿宋_GB2312" w:hAnsi="等线" w:eastAsia="仿宋_GB2312"/>
                <w:sz w:val="20"/>
                <w:szCs w:val="20"/>
                <w:lang w:eastAsia="zh-CN"/>
              </w:rPr>
              <w:t>化学反应生产原料药（</w:t>
            </w:r>
            <w:r>
              <w:rPr>
                <w:rFonts w:hint="eastAsia" w:ascii="仿宋_GB2312" w:hAnsi="等线" w:eastAsia="仿宋_GB2312"/>
                <w:sz w:val="20"/>
                <w:szCs w:val="20"/>
                <w:lang w:val="en-US" w:eastAsia="zh-CN"/>
              </w:rPr>
              <w:t>2710</w:t>
            </w:r>
            <w:r>
              <w:rPr>
                <w:rFonts w:hint="eastAsia" w:ascii="仿宋_GB2312" w:hAnsi="等线" w:eastAsia="仿宋_GB2312"/>
                <w:sz w:val="20"/>
                <w:szCs w:val="20"/>
                <w:lang w:eastAsia="zh-CN"/>
              </w:rPr>
              <w:t>）、制剂（</w:t>
            </w:r>
            <w:r>
              <w:rPr>
                <w:rFonts w:hint="eastAsia" w:ascii="仿宋_GB2312" w:hAnsi="等线" w:eastAsia="仿宋_GB2312"/>
                <w:sz w:val="20"/>
                <w:szCs w:val="20"/>
                <w:lang w:val="en-US" w:eastAsia="zh-CN"/>
              </w:rPr>
              <w:t>2720</w:t>
            </w:r>
            <w:r>
              <w:rPr>
                <w:rFonts w:hint="eastAsia" w:ascii="仿宋_GB2312" w:hAnsi="等线" w:eastAsia="仿宋_GB2312"/>
                <w:sz w:val="20"/>
                <w:szCs w:val="20"/>
                <w:lang w:eastAsia="zh-CN"/>
              </w:rPr>
              <w:t>）以及相关医药中间体的化学制药企业</w:t>
            </w:r>
            <w:r>
              <w:rPr>
                <w:rFonts w:hint="eastAsia" w:ascii="仿宋_GB2312" w:hAnsi="等线" w:eastAsia="仿宋_GB2312"/>
                <w:sz w:val="20"/>
                <w:szCs w:val="20"/>
              </w:rPr>
              <w:t>涉及甲乙类车间，仓库和罐区，及粉尘爆炸危险场所的，未经正规设计或安全设计诊断的，应委托具备工程设计综合资质或化工石化医药行业，专业资质的设计单位对有关危险场所开展安全设计诊断，出具总平面布置图，爆炸危险区域划分图，带控制点的管道及仪表流程图等。3年内未开展过安全现状评价的应立即开展一次全厂安全现状评价。</w:t>
            </w:r>
          </w:p>
        </w:tc>
        <w:tc>
          <w:tcPr>
            <w:tcW w:w="1282"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《2026年化学制药企业安全风险防控专项工作方案》</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eastAsia="仿宋_GB2312" w:hAnsiTheme="minorEastAsia"/>
                <w:sz w:val="20"/>
                <w:szCs w:val="20"/>
                <w:lang w:eastAsia="zh-CN"/>
              </w:rPr>
            </w:pPr>
            <w:r>
              <w:rPr>
                <w:rFonts w:hint="eastAsia" w:ascii="仿宋_GB2312" w:hAnsiTheme="minorEastAsia"/>
                <w:sz w:val="20"/>
                <w:szCs w:val="20"/>
              </w:rPr>
              <w:t>13.2.01.03</w:t>
            </w:r>
            <w:r>
              <w:rPr>
                <w:rFonts w:hint="eastAsia" w:ascii="仿宋_GB2312" w:hAnsiTheme="minorEastAsia"/>
                <w:sz w:val="20"/>
                <w:szCs w:val="20"/>
                <w:lang w:val="en-US" w:eastAsia="zh-CN"/>
              </w:rPr>
              <w:t>3</w:t>
            </w:r>
          </w:p>
        </w:tc>
        <w:tc>
          <w:tcPr>
            <w:tcW w:w="388" w:type="pct"/>
            <w:tcBorders>
              <w:tl2br w:val="nil"/>
              <w:tr2bl w:val="nil"/>
            </w:tcBorders>
            <w:shd w:val="clear" w:color="auto" w:fill="FFFFFF"/>
            <w:vAlign w:val="center"/>
          </w:tcPr>
          <w:p>
            <w:pPr>
              <w:adjustRightInd w:val="0"/>
              <w:snapToGrid w:val="0"/>
              <w:spacing w:after="0" w:line="240" w:lineRule="auto"/>
              <w:jc w:val="center"/>
              <w:rPr>
                <w:rFonts w:hint="eastAsia" w:ascii="仿宋_GB2312" w:hAnsiTheme="minorEastAsia"/>
                <w:sz w:val="20"/>
                <w:szCs w:val="20"/>
                <w:lang w:eastAsia="zh-TW" w:bidi="ar"/>
              </w:rPr>
            </w:pPr>
            <w:r>
              <w:rPr>
                <w:rFonts w:hint="eastAsia" w:ascii="仿宋_GB2312" w:hAnsiTheme="minorEastAsia"/>
                <w:sz w:val="20"/>
                <w:szCs w:val="20"/>
                <w:lang w:eastAsia="zh-TW" w:bidi="ar"/>
              </w:rPr>
              <w:t>设备设施及物料类</w:t>
            </w:r>
          </w:p>
        </w:tc>
        <w:tc>
          <w:tcPr>
            <w:tcW w:w="376"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hAnsi="等线" w:eastAsia="仿宋_GB2312"/>
                <w:sz w:val="20"/>
                <w:szCs w:val="20"/>
              </w:rPr>
            </w:pPr>
            <w:r>
              <w:rPr>
                <w:rFonts w:hint="eastAsia" w:ascii="仿宋_GB2312" w:hAnsi="等线" w:eastAsia="仿宋_GB2312"/>
                <w:sz w:val="20"/>
                <w:szCs w:val="20"/>
              </w:rPr>
              <w:t>物料类</w:t>
            </w:r>
          </w:p>
        </w:tc>
        <w:tc>
          <w:tcPr>
            <w:tcW w:w="1025"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hAnsi="等线" w:eastAsia="仿宋_GB2312"/>
                <w:sz w:val="20"/>
                <w:szCs w:val="20"/>
              </w:rPr>
            </w:pPr>
            <w:r>
              <w:rPr>
                <w:rFonts w:hint="eastAsia" w:ascii="仿宋_GB2312" w:eastAsia="仿宋_GB2312" w:hAnsiTheme="minorEastAsia"/>
                <w:sz w:val="20"/>
                <w:szCs w:val="20"/>
                <w:lang w:bidi="ar"/>
              </w:rPr>
              <w:t>企业未根据生产物料及产品的性质采取相应的防火、防爆、防毒、防腐等安全技术措施</w:t>
            </w:r>
            <w:r>
              <w:rPr>
                <w:rFonts w:hint="eastAsia" w:ascii="仿宋_GB2312" w:hAnsiTheme="minorEastAsia"/>
                <w:sz w:val="20"/>
                <w:szCs w:val="20"/>
                <w:lang w:bidi="ar"/>
              </w:rPr>
              <w:t>。</w:t>
            </w:r>
          </w:p>
        </w:tc>
        <w:tc>
          <w:tcPr>
            <w:tcW w:w="1394" w:type="pct"/>
            <w:tcBorders>
              <w:tl2br w:val="nil"/>
              <w:tr2bl w:val="nil"/>
            </w:tcBorders>
            <w:vAlign w:val="center"/>
          </w:tcPr>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应根据生产物料及产品的性质采取相应的防火、防爆、防毒、防腐等安全技术措施。</w:t>
            </w:r>
          </w:p>
        </w:tc>
        <w:tc>
          <w:tcPr>
            <w:tcW w:w="1282" w:type="pct"/>
            <w:tcBorders>
              <w:tl2br w:val="nil"/>
              <w:tr2bl w:val="nil"/>
            </w:tcBorders>
            <w:shd w:val="clear" w:color="auto" w:fill="FFFFFF"/>
            <w:vAlign w:val="center"/>
          </w:tcPr>
          <w:p>
            <w:pPr>
              <w:pStyle w:val="10"/>
              <w:widowControl w:val="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《生产过程安全基本要求》</w:t>
            </w:r>
            <w:r>
              <w:rPr>
                <w:rFonts w:hint="eastAsia" w:ascii="仿宋_GB2312" w:eastAsia="仿宋_GB2312" w:hAnsiTheme="minorEastAsia"/>
                <w:sz w:val="20"/>
                <w:szCs w:val="20"/>
                <w:lang w:eastAsia="zh-CN" w:bidi="ar"/>
              </w:rPr>
              <w:t>（GB 12801-2025）</w:t>
            </w:r>
            <w:r>
              <w:rPr>
                <w:rFonts w:hint="eastAsia" w:ascii="仿宋_GB2312" w:eastAsia="仿宋_GB2312" w:hAnsiTheme="minorEastAsia"/>
                <w:sz w:val="20"/>
                <w:szCs w:val="20"/>
                <w:lang w:bidi="ar"/>
              </w:rPr>
              <w:t>第4.5.1条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eastAsia="仿宋_GB2312" w:hAnsiTheme="minorEastAsia"/>
                <w:sz w:val="20"/>
                <w:szCs w:val="20"/>
                <w:lang w:eastAsia="zh-CN"/>
              </w:rPr>
            </w:pPr>
            <w:r>
              <w:rPr>
                <w:rFonts w:hint="eastAsia" w:ascii="仿宋_GB2312" w:hAnsiTheme="minorEastAsia"/>
                <w:sz w:val="20"/>
                <w:szCs w:val="20"/>
              </w:rPr>
              <w:t>13.2.01.03</w:t>
            </w:r>
            <w:r>
              <w:rPr>
                <w:rFonts w:hint="eastAsia" w:ascii="仿宋_GB2312" w:hAnsiTheme="minorEastAsia"/>
                <w:sz w:val="20"/>
                <w:szCs w:val="20"/>
                <w:lang w:val="en-US" w:eastAsia="zh-CN"/>
              </w:rPr>
              <w:t>4</w:t>
            </w:r>
          </w:p>
        </w:tc>
        <w:tc>
          <w:tcPr>
            <w:tcW w:w="388" w:type="pct"/>
            <w:tcBorders>
              <w:tl2br w:val="nil"/>
              <w:tr2bl w:val="nil"/>
            </w:tcBorders>
            <w:shd w:val="clear" w:color="auto" w:fill="FFFFFF"/>
            <w:vAlign w:val="center"/>
          </w:tcPr>
          <w:p>
            <w:pPr>
              <w:adjustRightInd w:val="0"/>
              <w:snapToGrid w:val="0"/>
              <w:spacing w:after="0" w:line="240" w:lineRule="auto"/>
              <w:jc w:val="center"/>
              <w:rPr>
                <w:rFonts w:hint="eastAsia" w:ascii="仿宋_GB2312" w:hAnsiTheme="minorEastAsia"/>
                <w:sz w:val="20"/>
                <w:szCs w:val="20"/>
                <w:lang w:eastAsia="zh-TW" w:bidi="ar"/>
              </w:rPr>
            </w:pPr>
            <w:r>
              <w:rPr>
                <w:rFonts w:hint="eastAsia" w:ascii="仿宋_GB2312" w:hAnsiTheme="minorEastAsia"/>
                <w:sz w:val="20"/>
                <w:szCs w:val="20"/>
                <w:lang w:eastAsia="zh-TW" w:bidi="ar"/>
              </w:rPr>
              <w:t>设备设施及物料类</w:t>
            </w:r>
          </w:p>
        </w:tc>
        <w:tc>
          <w:tcPr>
            <w:tcW w:w="376"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hAnsi="等线" w:eastAsia="仿宋_GB2312"/>
                <w:sz w:val="20"/>
                <w:szCs w:val="20"/>
              </w:rPr>
            </w:pPr>
            <w:r>
              <w:rPr>
                <w:rFonts w:hint="eastAsia" w:ascii="仿宋_GB2312" w:hAnsi="等线" w:eastAsia="仿宋_GB2312"/>
                <w:sz w:val="20"/>
                <w:szCs w:val="20"/>
              </w:rPr>
              <w:t>物料类</w:t>
            </w:r>
          </w:p>
        </w:tc>
        <w:tc>
          <w:tcPr>
            <w:tcW w:w="1025"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hAnsi="等线" w:eastAsia="仿宋_GB2312"/>
                <w:sz w:val="20"/>
                <w:szCs w:val="20"/>
              </w:rPr>
            </w:pPr>
            <w:r>
              <w:rPr>
                <w:rFonts w:hint="eastAsia" w:ascii="仿宋_GB2312" w:eastAsia="仿宋_GB2312" w:hAnsiTheme="minorEastAsia"/>
                <w:sz w:val="20"/>
                <w:szCs w:val="20"/>
                <w:lang w:bidi="ar"/>
              </w:rPr>
              <w:t>企业各类</w:t>
            </w:r>
            <w:r>
              <w:rPr>
                <w:rFonts w:ascii="仿宋_GB2312" w:hAnsi="等线" w:eastAsia="仿宋_GB2312"/>
                <w:sz w:val="20"/>
                <w:szCs w:val="20"/>
              </w:rPr>
              <w:t>物料的储存</w:t>
            </w:r>
            <w:r>
              <w:rPr>
                <w:rFonts w:hint="eastAsia" w:ascii="仿宋_GB2312" w:hAnsi="等线" w:eastAsia="仿宋_GB2312"/>
                <w:sz w:val="20"/>
                <w:szCs w:val="20"/>
              </w:rPr>
              <w:t>不</w:t>
            </w:r>
            <w:r>
              <w:rPr>
                <w:rFonts w:ascii="仿宋_GB2312" w:hAnsi="等线" w:eastAsia="仿宋_GB2312"/>
                <w:sz w:val="20"/>
                <w:szCs w:val="20"/>
              </w:rPr>
              <w:t>符合</w:t>
            </w:r>
            <w:r>
              <w:rPr>
                <w:rFonts w:hint="eastAsia" w:ascii="仿宋_GB2312" w:hAnsi="等线" w:eastAsia="仿宋_GB2312"/>
                <w:sz w:val="20"/>
                <w:szCs w:val="20"/>
              </w:rPr>
              <w:t>规范要求</w:t>
            </w:r>
            <w:r>
              <w:rPr>
                <w:rFonts w:ascii="仿宋_GB2312" w:hAnsi="等线" w:eastAsia="仿宋_GB2312"/>
                <w:sz w:val="20"/>
                <w:szCs w:val="20"/>
              </w:rPr>
              <w:t>。</w:t>
            </w:r>
          </w:p>
        </w:tc>
        <w:tc>
          <w:tcPr>
            <w:tcW w:w="1394" w:type="pct"/>
            <w:tcBorders>
              <w:tl2br w:val="nil"/>
              <w:tr2bl w:val="nil"/>
            </w:tcBorders>
            <w:vAlign w:val="center"/>
          </w:tcPr>
          <w:p>
            <w:pPr>
              <w:pStyle w:val="10"/>
              <w:widowControl w:val="0"/>
              <w:adjustRightInd w:val="0"/>
              <w:snapToGrid w:val="0"/>
              <w:spacing w:before="0" w:beforeAutospacing="0" w:after="0" w:afterAutospacing="0"/>
              <w:jc w:val="both"/>
              <w:rPr>
                <w:rFonts w:hint="eastAsia" w:ascii="仿宋_GB2312" w:hAnsi="等线" w:eastAsia="仿宋_GB2312"/>
                <w:sz w:val="20"/>
                <w:szCs w:val="20"/>
              </w:rPr>
            </w:pPr>
            <w:r>
              <w:rPr>
                <w:rFonts w:ascii="仿宋_GB2312" w:hAnsi="等线" w:eastAsia="仿宋_GB2312"/>
                <w:sz w:val="20"/>
                <w:szCs w:val="20"/>
              </w:rPr>
              <w:t>各类物料的储存符合以下要求:</w:t>
            </w:r>
          </w:p>
          <w:p>
            <w:pPr>
              <w:pStyle w:val="10"/>
              <w:widowControl w:val="0"/>
              <w:adjustRightInd w:val="0"/>
              <w:snapToGrid w:val="0"/>
              <w:spacing w:before="0" w:beforeAutospacing="0" w:after="0" w:afterAutospacing="0"/>
              <w:jc w:val="both"/>
              <w:rPr>
                <w:rFonts w:hint="eastAsia" w:ascii="仿宋_GB2312" w:hAnsi="等线" w:eastAsia="仿宋_GB2312"/>
                <w:sz w:val="20"/>
                <w:szCs w:val="20"/>
              </w:rPr>
            </w:pPr>
            <w:r>
              <w:rPr>
                <w:rFonts w:ascii="仿宋_GB2312" w:hAnsi="等线" w:eastAsia="仿宋_GB2312"/>
                <w:sz w:val="20"/>
                <w:szCs w:val="20"/>
              </w:rPr>
              <w:t>生产物料和产品应按照隔离、隔开、分离的原则分区分类储存,存储条件应防止温度、湿度等因素产生的安全影响;相互禁忌或消防要求不同时不应混放混存;</w:t>
            </w:r>
          </w:p>
          <w:p>
            <w:pPr>
              <w:pStyle w:val="10"/>
              <w:widowControl w:val="0"/>
              <w:adjustRightInd w:val="0"/>
              <w:snapToGrid w:val="0"/>
              <w:spacing w:before="0" w:beforeAutospacing="0" w:after="0" w:afterAutospacing="0"/>
              <w:jc w:val="both"/>
              <w:rPr>
                <w:rFonts w:hint="eastAsia" w:ascii="仿宋_GB2312" w:hAnsi="等线" w:eastAsia="仿宋_GB2312"/>
                <w:sz w:val="20"/>
                <w:szCs w:val="20"/>
              </w:rPr>
            </w:pPr>
            <w:r>
              <w:rPr>
                <w:rFonts w:ascii="仿宋_GB2312" w:hAnsi="等线" w:eastAsia="仿宋_GB2312"/>
                <w:sz w:val="20"/>
                <w:szCs w:val="20"/>
              </w:rPr>
              <w:t>成垛堆放的生产物料和产品,其垛高、垛距和垛基础等应符合安全要求;堆码不应遮挡消防设施、安全疏散通道和出口;</w:t>
            </w:r>
          </w:p>
          <w:p>
            <w:pPr>
              <w:pStyle w:val="10"/>
              <w:widowControl w:val="0"/>
              <w:adjustRightInd w:val="0"/>
              <w:snapToGrid w:val="0"/>
              <w:spacing w:before="0" w:beforeAutospacing="0" w:after="0" w:afterAutospacing="0"/>
              <w:jc w:val="both"/>
              <w:rPr>
                <w:rFonts w:hint="eastAsia" w:ascii="仿宋_GB2312" w:hAnsi="等线" w:eastAsia="仿宋_GB2312"/>
                <w:sz w:val="20"/>
                <w:szCs w:val="20"/>
              </w:rPr>
            </w:pPr>
            <w:r>
              <w:rPr>
                <w:rFonts w:ascii="仿宋_GB2312" w:hAnsi="等线" w:eastAsia="仿宋_GB2312"/>
                <w:sz w:val="20"/>
                <w:szCs w:val="20"/>
              </w:rPr>
              <w:t>存放物料的货架、容器等应具有相应的强度、刚度、耐腐蚀性能;</w:t>
            </w:r>
          </w:p>
          <w:p>
            <w:pPr>
              <w:pStyle w:val="10"/>
              <w:widowControl w:val="0"/>
              <w:adjustRightInd w:val="0"/>
              <w:snapToGrid w:val="0"/>
              <w:spacing w:before="0" w:beforeAutospacing="0" w:after="0" w:afterAutospacing="0"/>
              <w:jc w:val="both"/>
              <w:rPr>
                <w:rFonts w:hint="eastAsia" w:ascii="仿宋_GB2312" w:hAnsi="等线" w:eastAsia="仿宋_GB2312"/>
                <w:sz w:val="20"/>
                <w:szCs w:val="20"/>
              </w:rPr>
            </w:pPr>
            <w:r>
              <w:rPr>
                <w:rFonts w:ascii="仿宋_GB2312" w:hAnsi="等线" w:eastAsia="仿宋_GB2312"/>
                <w:sz w:val="20"/>
                <w:szCs w:val="20"/>
              </w:rPr>
              <w:t>储存场所及设施应标明储存物料的名称、规格和其他安全注意事项;</w:t>
            </w:r>
          </w:p>
          <w:p>
            <w:pPr>
              <w:pStyle w:val="10"/>
              <w:widowControl w:val="0"/>
              <w:adjustRightInd w:val="0"/>
              <w:snapToGrid w:val="0"/>
              <w:spacing w:before="0" w:beforeAutospacing="0" w:after="0" w:afterAutospacing="0"/>
              <w:jc w:val="both"/>
              <w:rPr>
                <w:rFonts w:hint="eastAsia" w:ascii="仿宋_GB2312" w:hAnsi="等线" w:eastAsia="仿宋_GB2312"/>
                <w:sz w:val="20"/>
                <w:szCs w:val="20"/>
              </w:rPr>
            </w:pPr>
            <w:r>
              <w:rPr>
                <w:rFonts w:ascii="仿宋_GB2312" w:hAnsi="等线" w:eastAsia="仿宋_GB2312"/>
                <w:sz w:val="20"/>
                <w:szCs w:val="20"/>
              </w:rPr>
              <w:t>危险化学品应储存在危险化学品仓库或化学品柜中,其包装应符合安全要求,并应附有中文危险化学品安全技术说明书和安全标签;危险化学品仓库内不应进行分装、改装、开桶等作业,仓库的设计应符合 GB15603的规定;</w:t>
            </w:r>
          </w:p>
          <w:p>
            <w:pPr>
              <w:pStyle w:val="10"/>
              <w:widowControl w:val="0"/>
              <w:adjustRightInd w:val="0"/>
              <w:snapToGrid w:val="0"/>
              <w:spacing w:before="0" w:beforeAutospacing="0" w:after="0" w:afterAutospacing="0"/>
              <w:jc w:val="both"/>
              <w:rPr>
                <w:rFonts w:hint="eastAsia" w:ascii="仿宋_GB2312" w:hAnsi="等线" w:eastAsia="仿宋_GB2312"/>
                <w:sz w:val="20"/>
                <w:szCs w:val="20"/>
              </w:rPr>
            </w:pPr>
            <w:r>
              <w:rPr>
                <w:rFonts w:ascii="仿宋_GB2312" w:hAnsi="等线" w:eastAsia="仿宋_GB2312"/>
                <w:sz w:val="20"/>
                <w:szCs w:val="20"/>
              </w:rPr>
              <w:t>储罐应根据物料性质、储存条件设置压力仪表、液位仪表及超限报警等安全防护装置。</w:t>
            </w:r>
          </w:p>
        </w:tc>
        <w:tc>
          <w:tcPr>
            <w:tcW w:w="1282"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《生产过程安全基本要求》</w:t>
            </w:r>
          </w:p>
          <w:p>
            <w:pPr>
              <w:pStyle w:val="10"/>
              <w:widowControl w:val="0"/>
              <w:adjustRightInd w:val="0"/>
              <w:snapToGrid w:val="0"/>
              <w:spacing w:before="0" w:beforeAutospacing="0" w:after="0" w:afterAutospacing="0"/>
              <w:jc w:val="both"/>
              <w:rPr>
                <w:rFonts w:hint="eastAsia" w:ascii="仿宋_GB2312" w:hAnsi="等线" w:eastAsia="仿宋_GB2312"/>
                <w:sz w:val="20"/>
                <w:szCs w:val="20"/>
              </w:rPr>
            </w:pPr>
            <w:r>
              <w:rPr>
                <w:rFonts w:hint="eastAsia" w:ascii="仿宋_GB2312" w:eastAsia="仿宋_GB2312" w:hAnsiTheme="minorEastAsia"/>
                <w:sz w:val="20"/>
                <w:szCs w:val="20"/>
                <w:lang w:eastAsia="zh-CN" w:bidi="ar"/>
              </w:rPr>
              <w:t>（GB 12801-2025）</w:t>
            </w:r>
            <w:r>
              <w:rPr>
                <w:rFonts w:hint="eastAsia" w:ascii="仿宋_GB2312" w:eastAsia="仿宋_GB2312" w:hAnsiTheme="minorEastAsia"/>
                <w:sz w:val="20"/>
                <w:szCs w:val="20"/>
                <w:lang w:bidi="ar"/>
              </w:rPr>
              <w:t>第4.5.5条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eastAsia="仿宋_GB2312" w:hAnsiTheme="minorEastAsia"/>
                <w:sz w:val="20"/>
                <w:szCs w:val="20"/>
                <w:lang w:eastAsia="zh-CN"/>
              </w:rPr>
            </w:pPr>
            <w:r>
              <w:rPr>
                <w:rFonts w:hint="eastAsia" w:ascii="仿宋_GB2312" w:hAnsiTheme="minorEastAsia"/>
                <w:sz w:val="20"/>
                <w:szCs w:val="20"/>
              </w:rPr>
              <w:t>13.2.02.03</w:t>
            </w:r>
            <w:r>
              <w:rPr>
                <w:rFonts w:hint="eastAsia" w:ascii="仿宋_GB2312" w:hAnsiTheme="minorEastAsia"/>
                <w:sz w:val="20"/>
                <w:szCs w:val="20"/>
                <w:lang w:val="en-US" w:eastAsia="zh-CN"/>
              </w:rPr>
              <w:t>5</w:t>
            </w:r>
          </w:p>
        </w:tc>
        <w:tc>
          <w:tcPr>
            <w:tcW w:w="388" w:type="pct"/>
            <w:tcBorders>
              <w:tl2br w:val="nil"/>
              <w:tr2bl w:val="nil"/>
            </w:tcBorders>
            <w:shd w:val="clear" w:color="auto" w:fill="FFFFFF"/>
            <w:vAlign w:val="center"/>
          </w:tcPr>
          <w:p>
            <w:pPr>
              <w:adjustRightInd w:val="0"/>
              <w:snapToGrid w:val="0"/>
              <w:spacing w:after="0" w:line="240" w:lineRule="auto"/>
              <w:jc w:val="center"/>
              <w:rPr>
                <w:rFonts w:hint="eastAsia" w:ascii="仿宋_GB2312" w:hAnsiTheme="minorEastAsia"/>
                <w:sz w:val="20"/>
                <w:szCs w:val="20"/>
                <w:lang w:eastAsia="zh-TW" w:bidi="ar"/>
              </w:rPr>
            </w:pPr>
            <w:r>
              <w:rPr>
                <w:rFonts w:hint="eastAsia" w:ascii="仿宋_GB2312" w:hAnsiTheme="minorEastAsia"/>
                <w:sz w:val="20"/>
                <w:szCs w:val="20"/>
                <w:lang w:eastAsia="zh-TW" w:bidi="ar"/>
              </w:rPr>
              <w:t>设备设施及物料类</w:t>
            </w:r>
          </w:p>
        </w:tc>
        <w:tc>
          <w:tcPr>
            <w:tcW w:w="376"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hAnsi="等线" w:eastAsia="仿宋_GB2312"/>
                <w:sz w:val="20"/>
                <w:szCs w:val="20"/>
              </w:rPr>
            </w:pPr>
            <w:r>
              <w:rPr>
                <w:rFonts w:hint="eastAsia" w:ascii="仿宋_GB2312" w:hAnsi="等线" w:eastAsia="仿宋_GB2312"/>
                <w:sz w:val="20"/>
                <w:szCs w:val="20"/>
              </w:rPr>
              <w:t>工艺及生产设备设施类</w:t>
            </w:r>
          </w:p>
        </w:tc>
        <w:tc>
          <w:tcPr>
            <w:tcW w:w="1025" w:type="pct"/>
            <w:tcBorders>
              <w:tl2br w:val="nil"/>
              <w:tr2bl w:val="nil"/>
            </w:tcBorders>
            <w:shd w:val="clear" w:color="auto" w:fill="FFFFFF"/>
            <w:vAlign w:val="center"/>
          </w:tcPr>
          <w:p>
            <w:pPr>
              <w:widowControl/>
              <w:adjustRightInd w:val="0"/>
              <w:snapToGrid w:val="0"/>
              <w:spacing w:after="0" w:line="240" w:lineRule="auto"/>
              <w:jc w:val="left"/>
              <w:rPr>
                <w:rFonts w:hint="eastAsia" w:ascii="仿宋_GB2312" w:hAnsi="等线"/>
                <w:sz w:val="20"/>
                <w:szCs w:val="20"/>
              </w:rPr>
            </w:pPr>
            <w:r>
              <w:rPr>
                <w:rFonts w:hint="eastAsia" w:ascii="仿宋_GB2312" w:hAnsi="宋体" w:cs="宋体"/>
                <w:kern w:val="0"/>
                <w:sz w:val="20"/>
                <w:szCs w:val="20"/>
              </w:rPr>
              <w:t>使用淘汰落后危险化学品安全生产工艺技术设备目录中的工艺、技术、设备。</w:t>
            </w:r>
          </w:p>
        </w:tc>
        <w:tc>
          <w:tcPr>
            <w:tcW w:w="1394" w:type="pct"/>
            <w:tcBorders>
              <w:tl2br w:val="nil"/>
              <w:tr2bl w:val="nil"/>
            </w:tcBorders>
            <w:vAlign w:val="center"/>
          </w:tcPr>
          <w:p>
            <w:pPr>
              <w:widowControl/>
              <w:adjustRightInd w:val="0"/>
              <w:snapToGrid w:val="0"/>
              <w:spacing w:after="0" w:line="240" w:lineRule="auto"/>
              <w:rPr>
                <w:rFonts w:hint="eastAsia" w:ascii="仿宋_GB2312" w:hAnsi="等线"/>
                <w:sz w:val="20"/>
                <w:szCs w:val="20"/>
              </w:rPr>
            </w:pPr>
            <w:r>
              <w:rPr>
                <w:rFonts w:hint="eastAsia" w:ascii="仿宋_GB2312" w:hAnsi="宋体" w:cs="宋体"/>
                <w:kern w:val="0"/>
                <w:sz w:val="20"/>
                <w:szCs w:val="20"/>
              </w:rPr>
              <w:t>生产经营单位不得使用应当淘汰的危及生产安全的工艺、设备。</w:t>
            </w:r>
          </w:p>
        </w:tc>
        <w:tc>
          <w:tcPr>
            <w:tcW w:w="1282" w:type="pct"/>
            <w:tcBorders>
              <w:tl2br w:val="nil"/>
              <w:tr2bl w:val="nil"/>
            </w:tcBorders>
            <w:shd w:val="clear" w:color="auto" w:fill="FFFFFF"/>
            <w:vAlign w:val="center"/>
          </w:tcPr>
          <w:p>
            <w:pPr>
              <w:widowControl/>
              <w:adjustRightInd w:val="0"/>
              <w:snapToGrid w:val="0"/>
              <w:spacing w:after="0" w:line="240" w:lineRule="auto"/>
              <w:rPr>
                <w:rFonts w:hint="eastAsia" w:ascii="仿宋_GB2312" w:hAnsi="宋体" w:cs="宋体"/>
                <w:kern w:val="0"/>
                <w:sz w:val="20"/>
                <w:szCs w:val="20"/>
              </w:rPr>
            </w:pPr>
            <w:r>
              <w:rPr>
                <w:rFonts w:hint="eastAsia" w:ascii="仿宋_GB2312" w:hAnsi="宋体" w:cs="宋体"/>
                <w:kern w:val="0"/>
                <w:sz w:val="20"/>
                <w:szCs w:val="20"/>
              </w:rPr>
              <w:t>《中华人民共和国安全生产法》第三十八条；</w:t>
            </w:r>
          </w:p>
          <w:p>
            <w:pPr>
              <w:widowControl/>
              <w:adjustRightInd w:val="0"/>
              <w:snapToGrid w:val="0"/>
              <w:spacing w:after="0" w:line="240" w:lineRule="auto"/>
              <w:rPr>
                <w:rFonts w:hint="eastAsia" w:ascii="仿宋_GB2312" w:hAnsi="宋体" w:cs="宋体"/>
                <w:kern w:val="0"/>
                <w:sz w:val="20"/>
                <w:szCs w:val="20"/>
              </w:rPr>
            </w:pPr>
            <w:r>
              <w:rPr>
                <w:rFonts w:hint="eastAsia" w:ascii="仿宋_GB2312" w:hAnsi="宋体" w:cs="宋体"/>
                <w:kern w:val="0"/>
                <w:sz w:val="20"/>
                <w:szCs w:val="20"/>
              </w:rPr>
              <w:t>《北京市安全生产条例》第二十六条；</w:t>
            </w:r>
          </w:p>
          <w:p>
            <w:pPr>
              <w:widowControl/>
              <w:adjustRightInd w:val="0"/>
              <w:snapToGrid w:val="0"/>
              <w:spacing w:after="0" w:line="240" w:lineRule="auto"/>
              <w:rPr>
                <w:rFonts w:hint="eastAsia" w:ascii="仿宋_GB2312" w:hAnsi="等线"/>
                <w:sz w:val="20"/>
                <w:szCs w:val="20"/>
              </w:rPr>
            </w:pPr>
            <w:r>
              <w:rPr>
                <w:rFonts w:hint="eastAsia" w:ascii="仿宋_GB2312" w:hAnsi="宋体" w:cs="宋体"/>
                <w:kern w:val="0"/>
                <w:sz w:val="20"/>
                <w:szCs w:val="20"/>
                <w:lang w:eastAsia="zh-CN"/>
              </w:rPr>
              <w:t>《化工和危险化学品生产经营企业重大生产安全事故隐患判定准则》（AQ 3067-2026）</w:t>
            </w:r>
            <w:r>
              <w:rPr>
                <w:rFonts w:hint="eastAsia" w:ascii="仿宋_GB2312" w:hAnsi="宋体" w:cs="宋体"/>
                <w:kern w:val="0"/>
                <w:sz w:val="20"/>
                <w:szCs w:val="20"/>
              </w:rPr>
              <w:t>第5.3.1条</w:t>
            </w:r>
          </w:p>
        </w:tc>
        <w:tc>
          <w:tcPr>
            <w:tcW w:w="209" w:type="pct"/>
            <w:tcBorders>
              <w:tl2br w:val="nil"/>
              <w:tr2bl w:val="nil"/>
            </w:tcBorders>
            <w:shd w:val="clear" w:color="auto" w:fill="FFFFFF"/>
            <w:vAlign w:val="center"/>
          </w:tcPr>
          <w:p>
            <w:pPr>
              <w:widowControl/>
              <w:adjustRightInd w:val="0"/>
              <w:snapToGrid w:val="0"/>
              <w:spacing w:after="0" w:line="240" w:lineRule="auto"/>
              <w:jc w:val="center"/>
              <w:rPr>
                <w:rFonts w:hint="eastAsia" w:ascii="仿宋_GB2312" w:hAnsiTheme="minorEastAsia"/>
                <w:sz w:val="20"/>
                <w:szCs w:val="20"/>
                <w:lang w:eastAsia="zh-TW"/>
              </w:rPr>
            </w:pPr>
            <w:r>
              <w:rPr>
                <w:rFonts w:hint="eastAsia" w:ascii="仿宋_GB2312"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adjustRightInd w:val="0"/>
              <w:snapToGrid w:val="0"/>
              <w:spacing w:after="0" w:line="240" w:lineRule="auto"/>
              <w:jc w:val="center"/>
              <w:rPr>
                <w:rFonts w:hint="eastAsia" w:ascii="仿宋_GB2312" w:eastAsia="仿宋_GB2312" w:hAnsiTheme="minorEastAsia"/>
                <w:sz w:val="20"/>
                <w:szCs w:val="20"/>
                <w:lang w:eastAsia="zh-CN"/>
              </w:rPr>
            </w:pPr>
            <w:r>
              <w:rPr>
                <w:rFonts w:hint="eastAsia" w:ascii="仿宋_GB2312" w:hAnsiTheme="minorEastAsia"/>
                <w:sz w:val="20"/>
                <w:szCs w:val="20"/>
              </w:rPr>
              <w:t>13.2.02.03</w:t>
            </w:r>
            <w:r>
              <w:rPr>
                <w:rFonts w:hint="eastAsia" w:ascii="仿宋_GB2312" w:hAnsiTheme="minorEastAsia"/>
                <w:sz w:val="20"/>
                <w:szCs w:val="20"/>
                <w:lang w:val="en-US" w:eastAsia="zh-CN"/>
              </w:rPr>
              <w:t>6</w:t>
            </w:r>
          </w:p>
        </w:tc>
        <w:tc>
          <w:tcPr>
            <w:tcW w:w="388" w:type="pct"/>
            <w:tcBorders>
              <w:tl2br w:val="nil"/>
              <w:tr2bl w:val="nil"/>
            </w:tcBorders>
            <w:shd w:val="clear" w:color="auto" w:fill="FFFFFF"/>
            <w:vAlign w:val="center"/>
          </w:tcPr>
          <w:p>
            <w:pPr>
              <w:adjustRightInd w:val="0"/>
              <w:snapToGrid w:val="0"/>
              <w:spacing w:after="0" w:line="240" w:lineRule="auto"/>
              <w:jc w:val="center"/>
              <w:rPr>
                <w:rFonts w:hint="eastAsia" w:ascii="仿宋_GB2312" w:hAnsiTheme="minorEastAsia"/>
                <w:sz w:val="20"/>
                <w:szCs w:val="20"/>
                <w:lang w:eastAsia="zh-TW" w:bidi="ar"/>
              </w:rPr>
            </w:pPr>
            <w:r>
              <w:rPr>
                <w:rFonts w:hint="eastAsia" w:ascii="仿宋_GB2312" w:hAnsiTheme="minorEastAsia"/>
                <w:sz w:val="20"/>
                <w:szCs w:val="20"/>
                <w:lang w:eastAsia="zh-TW" w:bidi="ar"/>
              </w:rPr>
              <w:t>设备设施及物料类</w:t>
            </w:r>
          </w:p>
        </w:tc>
        <w:tc>
          <w:tcPr>
            <w:tcW w:w="376"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hAnsi="等线" w:eastAsia="仿宋_GB2312"/>
                <w:sz w:val="20"/>
                <w:szCs w:val="20"/>
              </w:rPr>
            </w:pPr>
            <w:r>
              <w:rPr>
                <w:rFonts w:hint="eastAsia" w:ascii="仿宋_GB2312" w:hAnsi="等线" w:eastAsia="仿宋_GB2312"/>
                <w:sz w:val="20"/>
                <w:szCs w:val="20"/>
              </w:rPr>
              <w:t>工艺及生产设备设施类</w:t>
            </w:r>
          </w:p>
        </w:tc>
        <w:tc>
          <w:tcPr>
            <w:tcW w:w="1025"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制药机械（设备）缺少过载保护、联锁控制、故障报警等机械防护结构和电气控制装置。产生粉尘的制药机械（设备）缺少粉尘捕集装置。</w:t>
            </w:r>
          </w:p>
        </w:tc>
        <w:tc>
          <w:tcPr>
            <w:tcW w:w="1394" w:type="pct"/>
            <w:tcBorders>
              <w:tl2br w:val="nil"/>
              <w:tr2bl w:val="nil"/>
            </w:tcBorders>
            <w:vAlign w:val="center"/>
          </w:tcPr>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制药机械（设备）应有过载保护、联锁控制、故障报警等机械防护结构和电气控制装置。产生粉尘的制药机械（设备）应有粉尘捕集装置，粉尘有爆炸危险性的还应有粉尘防爆装置和导除静电装置。</w:t>
            </w:r>
          </w:p>
        </w:tc>
        <w:tc>
          <w:tcPr>
            <w:tcW w:w="1282" w:type="pct"/>
            <w:tcBorders>
              <w:tl2br w:val="nil"/>
              <w:tr2bl w:val="nil"/>
            </w:tcBorders>
            <w:shd w:val="clear" w:color="auto" w:fill="FFFFFF"/>
            <w:vAlign w:val="center"/>
          </w:tcPr>
          <w:p>
            <w:pPr>
              <w:pStyle w:val="10"/>
              <w:widowControl w:val="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《制药机械（设备）实施药品生产质量管理规范的通则》（GB 28670-2012）第4.5.4.16条；第4.5.4.9条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adjustRightInd w:val="0"/>
              <w:snapToGrid w:val="0"/>
              <w:spacing w:after="0" w:line="240" w:lineRule="auto"/>
              <w:jc w:val="center"/>
              <w:rPr>
                <w:rFonts w:hint="eastAsia" w:ascii="仿宋_GB2312" w:eastAsia="仿宋_GB2312" w:hAnsiTheme="minorEastAsia"/>
                <w:sz w:val="20"/>
                <w:szCs w:val="20"/>
                <w:lang w:eastAsia="zh-CN"/>
              </w:rPr>
            </w:pPr>
            <w:r>
              <w:rPr>
                <w:rFonts w:hint="eastAsia" w:ascii="仿宋_GB2312" w:hAnsiTheme="minorEastAsia"/>
                <w:sz w:val="20"/>
                <w:szCs w:val="20"/>
              </w:rPr>
              <w:t>13.2.02.03</w:t>
            </w:r>
            <w:r>
              <w:rPr>
                <w:rFonts w:hint="eastAsia" w:ascii="仿宋_GB2312" w:hAnsiTheme="minorEastAsia"/>
                <w:sz w:val="20"/>
                <w:szCs w:val="20"/>
                <w:lang w:val="en-US" w:eastAsia="zh-CN"/>
              </w:rPr>
              <w:t>7</w:t>
            </w:r>
          </w:p>
        </w:tc>
        <w:tc>
          <w:tcPr>
            <w:tcW w:w="388" w:type="pct"/>
            <w:tcBorders>
              <w:tl2br w:val="nil"/>
              <w:tr2bl w:val="nil"/>
            </w:tcBorders>
            <w:shd w:val="clear" w:color="auto" w:fill="FFFFFF"/>
            <w:vAlign w:val="center"/>
          </w:tcPr>
          <w:p>
            <w:pPr>
              <w:adjustRightInd w:val="0"/>
              <w:snapToGrid w:val="0"/>
              <w:spacing w:after="0" w:line="240" w:lineRule="auto"/>
              <w:jc w:val="center"/>
              <w:rPr>
                <w:rFonts w:hint="eastAsia" w:ascii="仿宋_GB2312" w:hAnsiTheme="minorEastAsia"/>
                <w:sz w:val="20"/>
                <w:szCs w:val="20"/>
                <w:lang w:eastAsia="zh-TW" w:bidi="ar"/>
              </w:rPr>
            </w:pPr>
            <w:r>
              <w:rPr>
                <w:rFonts w:hint="eastAsia" w:ascii="仿宋_GB2312" w:hAnsiTheme="minorEastAsia"/>
                <w:sz w:val="20"/>
                <w:szCs w:val="20"/>
                <w:lang w:eastAsia="zh-TW" w:bidi="ar"/>
              </w:rPr>
              <w:t>设备设施及物料类</w:t>
            </w:r>
          </w:p>
        </w:tc>
        <w:tc>
          <w:tcPr>
            <w:tcW w:w="376"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hAnsi="等线" w:eastAsia="仿宋_GB2312"/>
                <w:sz w:val="20"/>
                <w:szCs w:val="20"/>
              </w:rPr>
            </w:pPr>
            <w:r>
              <w:rPr>
                <w:rFonts w:hint="eastAsia" w:ascii="仿宋_GB2312" w:hAnsi="等线" w:eastAsia="仿宋_GB2312"/>
                <w:sz w:val="20"/>
                <w:szCs w:val="20"/>
              </w:rPr>
              <w:t>工艺及生产设备设施类</w:t>
            </w:r>
          </w:p>
        </w:tc>
        <w:tc>
          <w:tcPr>
            <w:tcW w:w="1025"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制剂机械的联动机组（生产线）工位间缺少连锁控制、紧急停车装置。</w:t>
            </w:r>
          </w:p>
        </w:tc>
        <w:tc>
          <w:tcPr>
            <w:tcW w:w="1394" w:type="pct"/>
            <w:tcBorders>
              <w:tl2br w:val="nil"/>
              <w:tr2bl w:val="nil"/>
            </w:tcBorders>
            <w:vAlign w:val="center"/>
          </w:tcPr>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制剂机械的联动机组（生产线）的控制应匹配、可靠，工位间应有连锁控制、紧急停车装置。应能自动调整，有效控制局部紧急故障。</w:t>
            </w:r>
          </w:p>
        </w:tc>
        <w:tc>
          <w:tcPr>
            <w:tcW w:w="1282" w:type="pct"/>
            <w:tcBorders>
              <w:tl2br w:val="nil"/>
              <w:tr2bl w:val="nil"/>
            </w:tcBorders>
            <w:shd w:val="clear" w:color="auto" w:fill="FFFFFF"/>
            <w:vAlign w:val="center"/>
          </w:tcPr>
          <w:p>
            <w:pPr>
              <w:pStyle w:val="10"/>
              <w:widowControl w:val="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《制药机械（设备）实施药品生产质量管理规范的通则》（GB 28670—2012）第5.2.10条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adjustRightInd w:val="0"/>
              <w:snapToGrid w:val="0"/>
              <w:spacing w:after="0" w:line="240" w:lineRule="auto"/>
              <w:jc w:val="center"/>
              <w:rPr>
                <w:rFonts w:hint="eastAsia" w:ascii="仿宋_GB2312" w:eastAsia="仿宋_GB2312" w:hAnsiTheme="minorEastAsia"/>
                <w:sz w:val="20"/>
                <w:szCs w:val="20"/>
                <w:lang w:eastAsia="zh-CN"/>
              </w:rPr>
            </w:pPr>
            <w:r>
              <w:rPr>
                <w:rFonts w:hint="eastAsia" w:ascii="仿宋_GB2312" w:hAnsiTheme="minorEastAsia"/>
                <w:sz w:val="20"/>
                <w:szCs w:val="20"/>
              </w:rPr>
              <w:t>13.2.02.03</w:t>
            </w:r>
            <w:r>
              <w:rPr>
                <w:rFonts w:hint="eastAsia" w:ascii="仿宋_GB2312" w:hAnsiTheme="minorEastAsia"/>
                <w:sz w:val="20"/>
                <w:szCs w:val="20"/>
                <w:lang w:val="en-US" w:eastAsia="zh-CN"/>
              </w:rPr>
              <w:t>8</w:t>
            </w:r>
          </w:p>
        </w:tc>
        <w:tc>
          <w:tcPr>
            <w:tcW w:w="388" w:type="pct"/>
            <w:tcBorders>
              <w:tl2br w:val="nil"/>
              <w:tr2bl w:val="nil"/>
            </w:tcBorders>
            <w:shd w:val="clear" w:color="auto" w:fill="FFFFFF"/>
            <w:vAlign w:val="center"/>
          </w:tcPr>
          <w:p>
            <w:pPr>
              <w:adjustRightInd w:val="0"/>
              <w:snapToGrid w:val="0"/>
              <w:spacing w:after="0" w:line="240" w:lineRule="auto"/>
              <w:jc w:val="center"/>
              <w:rPr>
                <w:rFonts w:hint="eastAsia" w:ascii="仿宋_GB2312" w:hAnsiTheme="minorEastAsia"/>
                <w:sz w:val="20"/>
                <w:szCs w:val="20"/>
                <w:lang w:eastAsia="zh-TW" w:bidi="ar"/>
              </w:rPr>
            </w:pPr>
            <w:r>
              <w:rPr>
                <w:rFonts w:hint="eastAsia" w:ascii="仿宋_GB2312" w:hAnsiTheme="minorEastAsia"/>
                <w:sz w:val="20"/>
                <w:szCs w:val="20"/>
                <w:lang w:eastAsia="zh-TW" w:bidi="ar"/>
              </w:rPr>
              <w:t>设备设施及物料类</w:t>
            </w:r>
          </w:p>
        </w:tc>
        <w:tc>
          <w:tcPr>
            <w:tcW w:w="376"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hAnsi="等线" w:eastAsia="仿宋_GB2312"/>
                <w:sz w:val="20"/>
                <w:szCs w:val="20"/>
              </w:rPr>
            </w:pPr>
            <w:r>
              <w:rPr>
                <w:rFonts w:hint="eastAsia" w:ascii="仿宋_GB2312" w:hAnsi="等线" w:eastAsia="仿宋_GB2312"/>
                <w:sz w:val="20"/>
                <w:szCs w:val="20"/>
              </w:rPr>
              <w:t>工艺及生产设备设施类</w:t>
            </w:r>
          </w:p>
        </w:tc>
        <w:tc>
          <w:tcPr>
            <w:tcW w:w="1025"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产生有爆炸危险性粉尘的粉碎机械缺少粉尘防爆装置和导除静电接地体。</w:t>
            </w:r>
          </w:p>
        </w:tc>
        <w:tc>
          <w:tcPr>
            <w:tcW w:w="1394" w:type="pct"/>
            <w:tcBorders>
              <w:tl2br w:val="nil"/>
              <w:tr2bl w:val="nil"/>
            </w:tcBorders>
            <w:vAlign w:val="center"/>
          </w:tcPr>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产生有爆炸危险性粉尘的粉碎机械应有粉尘防爆装置和导除静电接地体。</w:t>
            </w:r>
          </w:p>
        </w:tc>
        <w:tc>
          <w:tcPr>
            <w:tcW w:w="1282" w:type="pct"/>
            <w:tcBorders>
              <w:tl2br w:val="nil"/>
              <w:tr2bl w:val="nil"/>
            </w:tcBorders>
            <w:shd w:val="clear" w:color="auto" w:fill="FFFFFF"/>
            <w:vAlign w:val="center"/>
          </w:tcPr>
          <w:p>
            <w:pPr>
              <w:pStyle w:val="10"/>
              <w:widowControl w:val="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《制药机械（设备）实施药品生产质量管理规范的通则》（GB 28670—2012）第5.3.3条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eastAsia="仿宋_GB2312" w:hAnsiTheme="minorEastAsia"/>
                <w:sz w:val="20"/>
                <w:szCs w:val="20"/>
                <w:lang w:eastAsia="zh-CN"/>
              </w:rPr>
            </w:pPr>
            <w:r>
              <w:rPr>
                <w:rFonts w:hint="eastAsia" w:ascii="仿宋_GB2312" w:hAnsiTheme="minorEastAsia"/>
                <w:sz w:val="20"/>
                <w:szCs w:val="20"/>
              </w:rPr>
              <w:t>13.2.03.03</w:t>
            </w:r>
            <w:r>
              <w:rPr>
                <w:rFonts w:hint="eastAsia" w:ascii="仿宋_GB2312" w:hAnsiTheme="minorEastAsia"/>
                <w:sz w:val="20"/>
                <w:szCs w:val="20"/>
                <w:lang w:val="en-US" w:eastAsia="zh-CN"/>
              </w:rPr>
              <w:t>9</w:t>
            </w:r>
          </w:p>
        </w:tc>
        <w:tc>
          <w:tcPr>
            <w:tcW w:w="388" w:type="pct"/>
            <w:tcBorders>
              <w:tl2br w:val="nil"/>
              <w:tr2bl w:val="nil"/>
            </w:tcBorders>
            <w:shd w:val="clear" w:color="auto" w:fill="FFFFFF"/>
            <w:vAlign w:val="center"/>
          </w:tcPr>
          <w:p>
            <w:pPr>
              <w:adjustRightInd w:val="0"/>
              <w:snapToGrid w:val="0"/>
              <w:spacing w:after="0" w:line="240" w:lineRule="auto"/>
              <w:jc w:val="center"/>
              <w:rPr>
                <w:rFonts w:hint="eastAsia" w:ascii="仿宋_GB2312" w:hAnsiTheme="minorEastAsia"/>
                <w:sz w:val="20"/>
                <w:szCs w:val="20"/>
                <w:lang w:eastAsia="zh-TW" w:bidi="ar"/>
              </w:rPr>
            </w:pPr>
            <w:r>
              <w:rPr>
                <w:rFonts w:hint="eastAsia" w:ascii="仿宋_GB2312" w:hAnsiTheme="minorEastAsia"/>
                <w:sz w:val="20"/>
                <w:szCs w:val="20"/>
                <w:lang w:eastAsia="zh-TW" w:bidi="ar"/>
              </w:rPr>
              <w:t>设备设施及物料类</w:t>
            </w:r>
          </w:p>
        </w:tc>
        <w:tc>
          <w:tcPr>
            <w:tcW w:w="376"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hAnsi="等线" w:eastAsia="仿宋_GB2312"/>
                <w:sz w:val="20"/>
                <w:szCs w:val="20"/>
              </w:rPr>
            </w:pPr>
            <w:r>
              <w:rPr>
                <w:rFonts w:hint="eastAsia" w:ascii="仿宋_GB2312" w:hAnsi="等线" w:eastAsia="仿宋_GB2312"/>
                <w:sz w:val="20"/>
                <w:szCs w:val="20"/>
              </w:rPr>
              <w:t>辅助系统设备设施类</w:t>
            </w:r>
          </w:p>
        </w:tc>
        <w:tc>
          <w:tcPr>
            <w:tcW w:w="1025"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hAnsi="等线" w:eastAsia="仿宋_GB2312"/>
                <w:sz w:val="20"/>
                <w:szCs w:val="20"/>
              </w:rPr>
            </w:pPr>
            <w:r>
              <w:rPr>
                <w:rFonts w:hint="eastAsia" w:ascii="仿宋_GB2312" w:eastAsia="仿宋_GB2312" w:hAnsiTheme="minorEastAsia"/>
                <w:sz w:val="20"/>
                <w:szCs w:val="20"/>
                <w:lang w:bidi="ar"/>
              </w:rPr>
              <w:t>对可能突然放散大量有毒气体、有爆炸危险气体或粉尘的场所，未设置事故通风系统。</w:t>
            </w:r>
          </w:p>
        </w:tc>
        <w:tc>
          <w:tcPr>
            <w:tcW w:w="1394" w:type="pct"/>
            <w:tcBorders>
              <w:tl2br w:val="nil"/>
              <w:tr2bl w:val="nil"/>
            </w:tcBorders>
            <w:vAlign w:val="center"/>
          </w:tcPr>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对可能突然放散大量有毒气体、有爆炸危险气体或粉尘的场所，应根据工艺设计要求设置事故通风系统。</w:t>
            </w:r>
          </w:p>
        </w:tc>
        <w:tc>
          <w:tcPr>
            <w:tcW w:w="1282" w:type="pct"/>
            <w:tcBorders>
              <w:tl2br w:val="nil"/>
              <w:tr2bl w:val="nil"/>
            </w:tcBorders>
            <w:shd w:val="clear" w:color="auto" w:fill="FFFFFF"/>
            <w:vAlign w:val="center"/>
          </w:tcPr>
          <w:p>
            <w:pPr>
              <w:pStyle w:val="10"/>
              <w:widowControl w:val="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《工业建筑供暖通风与空气调节设计规范》（GB 50019-2015）第6.4.1条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eastAsia="仿宋_GB2312" w:hAnsiTheme="minorEastAsia"/>
                <w:sz w:val="20"/>
                <w:szCs w:val="20"/>
                <w:lang w:eastAsia="zh-CN"/>
              </w:rPr>
            </w:pPr>
            <w:r>
              <w:rPr>
                <w:rFonts w:hint="eastAsia" w:ascii="仿宋_GB2312" w:hAnsiTheme="minorEastAsia"/>
                <w:sz w:val="20"/>
                <w:szCs w:val="20"/>
              </w:rPr>
              <w:t>13.2.06.04</w:t>
            </w:r>
            <w:r>
              <w:rPr>
                <w:rFonts w:hint="eastAsia" w:ascii="仿宋_GB2312" w:hAnsiTheme="minorEastAsia"/>
                <w:sz w:val="20"/>
                <w:szCs w:val="20"/>
                <w:lang w:val="en-US" w:eastAsia="zh-CN"/>
              </w:rPr>
              <w:t>0</w:t>
            </w:r>
          </w:p>
        </w:tc>
        <w:tc>
          <w:tcPr>
            <w:tcW w:w="388" w:type="pct"/>
            <w:tcBorders>
              <w:tl2br w:val="nil"/>
              <w:tr2bl w:val="nil"/>
            </w:tcBorders>
            <w:shd w:val="clear" w:color="auto" w:fill="FFFFFF"/>
            <w:vAlign w:val="center"/>
          </w:tcPr>
          <w:p>
            <w:pPr>
              <w:adjustRightInd w:val="0"/>
              <w:snapToGrid w:val="0"/>
              <w:spacing w:after="0" w:line="240" w:lineRule="auto"/>
              <w:jc w:val="center"/>
              <w:rPr>
                <w:rFonts w:hint="eastAsia" w:ascii="仿宋_GB2312" w:hAnsiTheme="minorEastAsia"/>
                <w:sz w:val="20"/>
                <w:szCs w:val="20"/>
                <w:lang w:eastAsia="zh-TW" w:bidi="ar"/>
              </w:rPr>
            </w:pPr>
            <w:r>
              <w:rPr>
                <w:rFonts w:hint="eastAsia" w:ascii="仿宋_GB2312" w:hAnsiTheme="minorEastAsia"/>
                <w:sz w:val="20"/>
                <w:szCs w:val="20"/>
                <w:lang w:eastAsia="zh-TW" w:bidi="ar"/>
              </w:rPr>
              <w:t>设备设施及物料类</w:t>
            </w:r>
          </w:p>
        </w:tc>
        <w:tc>
          <w:tcPr>
            <w:tcW w:w="376"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hAnsi="等线" w:eastAsia="仿宋_GB2312"/>
                <w:sz w:val="20"/>
                <w:szCs w:val="20"/>
              </w:rPr>
            </w:pPr>
            <w:r>
              <w:rPr>
                <w:rFonts w:hint="eastAsia" w:ascii="仿宋_GB2312" w:hAnsi="等线" w:eastAsia="仿宋_GB2312"/>
                <w:sz w:val="20"/>
                <w:szCs w:val="20"/>
              </w:rPr>
              <w:t>特种设备类</w:t>
            </w:r>
          </w:p>
        </w:tc>
        <w:tc>
          <w:tcPr>
            <w:tcW w:w="1025"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hAnsi="等线" w:eastAsia="仿宋_GB2312"/>
                <w:sz w:val="20"/>
                <w:szCs w:val="20"/>
              </w:rPr>
            </w:pPr>
            <w:r>
              <w:rPr>
                <w:rFonts w:hint="eastAsia" w:ascii="仿宋_GB2312" w:hAnsi="等线" w:eastAsia="仿宋_GB2312"/>
                <w:sz w:val="20"/>
                <w:szCs w:val="20"/>
              </w:rPr>
              <w:t>特种设备的显著位置未张贴</w:t>
            </w:r>
            <w:r>
              <w:rPr>
                <w:rFonts w:hint="eastAsia" w:ascii="仿宋_GB2312" w:eastAsia="仿宋_GB2312" w:hAnsiTheme="minorEastAsia"/>
                <w:sz w:val="20"/>
                <w:szCs w:val="20"/>
                <w:lang w:bidi="ar"/>
              </w:rPr>
              <w:t>登记标志。</w:t>
            </w:r>
          </w:p>
        </w:tc>
        <w:tc>
          <w:tcPr>
            <w:tcW w:w="1394" w:type="pct"/>
            <w:tcBorders>
              <w:tl2br w:val="nil"/>
              <w:tr2bl w:val="nil"/>
            </w:tcBorders>
            <w:vAlign w:val="center"/>
          </w:tcPr>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特种设备使用单位应当在特种设备投入使用前或者投入使用后三十日内，向负责特种设备安全监督管理的部门办理使用登记，取得使用登记证书。登记标志应当置于该特种设备的显著位置。 </w:t>
            </w:r>
          </w:p>
        </w:tc>
        <w:tc>
          <w:tcPr>
            <w:tcW w:w="1282" w:type="pct"/>
            <w:tcBorders>
              <w:tl2br w:val="nil"/>
              <w:tr2bl w:val="nil"/>
            </w:tcBorders>
            <w:shd w:val="clear" w:color="auto" w:fill="FFFFFF"/>
            <w:vAlign w:val="center"/>
          </w:tcPr>
          <w:p>
            <w:pPr>
              <w:pStyle w:val="10"/>
              <w:widowControl w:val="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《中华人民共和国特种设备安全法》第三十三条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eastAsia="仿宋_GB2312" w:hAnsiTheme="minorEastAsia"/>
                <w:sz w:val="20"/>
                <w:szCs w:val="20"/>
                <w:lang w:eastAsia="zh-CN"/>
              </w:rPr>
            </w:pPr>
            <w:r>
              <w:rPr>
                <w:rFonts w:hint="eastAsia" w:ascii="仿宋_GB2312" w:hAnsiTheme="minorEastAsia"/>
                <w:sz w:val="20"/>
                <w:szCs w:val="20"/>
              </w:rPr>
              <w:t>13.2.06.04</w:t>
            </w:r>
            <w:r>
              <w:rPr>
                <w:rFonts w:hint="eastAsia" w:ascii="仿宋_GB2312" w:hAnsiTheme="minorEastAsia"/>
                <w:sz w:val="20"/>
                <w:szCs w:val="20"/>
                <w:lang w:val="en-US" w:eastAsia="zh-CN"/>
              </w:rPr>
              <w:t>1</w:t>
            </w:r>
          </w:p>
        </w:tc>
        <w:tc>
          <w:tcPr>
            <w:tcW w:w="388" w:type="pct"/>
            <w:tcBorders>
              <w:tl2br w:val="nil"/>
              <w:tr2bl w:val="nil"/>
            </w:tcBorders>
            <w:shd w:val="clear" w:color="auto" w:fill="FFFFFF"/>
            <w:vAlign w:val="center"/>
          </w:tcPr>
          <w:p>
            <w:pPr>
              <w:adjustRightInd w:val="0"/>
              <w:snapToGrid w:val="0"/>
              <w:spacing w:after="0" w:line="240" w:lineRule="auto"/>
              <w:jc w:val="center"/>
              <w:rPr>
                <w:rFonts w:hint="eastAsia" w:ascii="仿宋_GB2312" w:hAnsiTheme="minorEastAsia"/>
                <w:sz w:val="20"/>
                <w:szCs w:val="20"/>
                <w:lang w:eastAsia="zh-TW" w:bidi="ar"/>
              </w:rPr>
            </w:pPr>
            <w:r>
              <w:rPr>
                <w:rFonts w:hint="eastAsia" w:ascii="仿宋_GB2312" w:hAnsiTheme="minorEastAsia"/>
                <w:sz w:val="20"/>
                <w:szCs w:val="20"/>
                <w:lang w:eastAsia="zh-TW" w:bidi="ar"/>
              </w:rPr>
              <w:t>设备设施及物料类</w:t>
            </w:r>
          </w:p>
        </w:tc>
        <w:tc>
          <w:tcPr>
            <w:tcW w:w="376"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hAnsi="等线" w:eastAsia="仿宋_GB2312"/>
                <w:sz w:val="20"/>
                <w:szCs w:val="20"/>
              </w:rPr>
            </w:pPr>
            <w:r>
              <w:rPr>
                <w:rFonts w:hint="eastAsia" w:ascii="仿宋_GB2312" w:hAnsi="等线" w:eastAsia="仿宋_GB2312"/>
                <w:sz w:val="20"/>
                <w:szCs w:val="20"/>
              </w:rPr>
              <w:t>特种设备类</w:t>
            </w:r>
          </w:p>
        </w:tc>
        <w:tc>
          <w:tcPr>
            <w:tcW w:w="1025"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特种设备使用单位特种设备安全技术档案欠缺。</w:t>
            </w:r>
          </w:p>
        </w:tc>
        <w:tc>
          <w:tcPr>
            <w:tcW w:w="1394" w:type="pct"/>
            <w:tcBorders>
              <w:tl2br w:val="nil"/>
              <w:tr2bl w:val="nil"/>
            </w:tcBorders>
            <w:vAlign w:val="center"/>
          </w:tcPr>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特种设备使用单位应当建立特种设备安全技术档案。安全技术档案应当包括以下内容： </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（一）特种设备的设计文件、产品质量合格证明、安装及使用维护保养说明、监督检验证明等相关技术资料和文件； </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（二）特种设备的定期检验和定期自行检查记录； </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（三）特种设备的日常使用状况记录； </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（四）特种设备及其附属仪器仪表的维护保养记录； </w:t>
            </w:r>
          </w:p>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（五）特种设备的运行故障和事故记录。 </w:t>
            </w:r>
          </w:p>
        </w:tc>
        <w:tc>
          <w:tcPr>
            <w:tcW w:w="1282" w:type="pct"/>
            <w:tcBorders>
              <w:tl2br w:val="nil"/>
              <w:tr2bl w:val="nil"/>
            </w:tcBorders>
            <w:shd w:val="clear" w:color="auto" w:fill="FFFFFF"/>
            <w:vAlign w:val="center"/>
          </w:tcPr>
          <w:p>
            <w:pPr>
              <w:pStyle w:val="10"/>
              <w:widowControl w:val="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《中华人民共和国特种设备安全法》第三十五条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eastAsia="仿宋_GB2312" w:hAnsiTheme="minorEastAsia"/>
                <w:sz w:val="20"/>
                <w:szCs w:val="20"/>
                <w:lang w:eastAsia="zh-CN"/>
              </w:rPr>
            </w:pPr>
            <w:r>
              <w:rPr>
                <w:rFonts w:hint="eastAsia" w:ascii="仿宋_GB2312" w:hAnsiTheme="minorEastAsia"/>
                <w:sz w:val="20"/>
                <w:szCs w:val="20"/>
              </w:rPr>
              <w:t>13.2.06.04</w:t>
            </w:r>
            <w:r>
              <w:rPr>
                <w:rFonts w:hint="eastAsia" w:ascii="仿宋_GB2312" w:hAnsiTheme="minorEastAsia"/>
                <w:sz w:val="20"/>
                <w:szCs w:val="20"/>
                <w:lang w:val="en-US" w:eastAsia="zh-CN"/>
              </w:rPr>
              <w:t>2</w:t>
            </w:r>
          </w:p>
        </w:tc>
        <w:tc>
          <w:tcPr>
            <w:tcW w:w="388" w:type="pct"/>
            <w:tcBorders>
              <w:tl2br w:val="nil"/>
              <w:tr2bl w:val="nil"/>
            </w:tcBorders>
            <w:shd w:val="clear" w:color="auto" w:fill="FFFFFF"/>
            <w:vAlign w:val="center"/>
          </w:tcPr>
          <w:p>
            <w:pPr>
              <w:adjustRightInd w:val="0"/>
              <w:snapToGrid w:val="0"/>
              <w:spacing w:after="0" w:line="240" w:lineRule="auto"/>
              <w:jc w:val="center"/>
              <w:rPr>
                <w:rFonts w:hint="eastAsia" w:ascii="仿宋_GB2312" w:hAnsiTheme="minorEastAsia"/>
                <w:sz w:val="20"/>
                <w:szCs w:val="20"/>
                <w:lang w:eastAsia="zh-TW" w:bidi="ar"/>
              </w:rPr>
            </w:pPr>
            <w:r>
              <w:rPr>
                <w:rFonts w:hint="eastAsia" w:ascii="仿宋_GB2312" w:hAnsiTheme="minorEastAsia"/>
                <w:sz w:val="20"/>
                <w:szCs w:val="20"/>
                <w:lang w:eastAsia="zh-TW" w:bidi="ar"/>
              </w:rPr>
              <w:t>设备设施及物料类</w:t>
            </w:r>
          </w:p>
        </w:tc>
        <w:tc>
          <w:tcPr>
            <w:tcW w:w="376"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hAnsi="等线" w:eastAsia="仿宋_GB2312"/>
                <w:sz w:val="20"/>
                <w:szCs w:val="20"/>
              </w:rPr>
            </w:pPr>
            <w:r>
              <w:rPr>
                <w:rFonts w:hint="eastAsia" w:ascii="仿宋_GB2312" w:hAnsi="等线" w:eastAsia="仿宋_GB2312"/>
                <w:sz w:val="20"/>
                <w:szCs w:val="20"/>
              </w:rPr>
              <w:t>特种设备类</w:t>
            </w:r>
          </w:p>
        </w:tc>
        <w:tc>
          <w:tcPr>
            <w:tcW w:w="1025" w:type="pct"/>
            <w:tcBorders>
              <w:tl2br w:val="nil"/>
              <w:tr2bl w:val="nil"/>
            </w:tcBorders>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安全阀、爆破片等安全附件未正常投用。</w:t>
            </w:r>
          </w:p>
        </w:tc>
        <w:tc>
          <w:tcPr>
            <w:tcW w:w="1394" w:type="pct"/>
            <w:tcBorders>
              <w:tl2br w:val="nil"/>
              <w:tr2bl w:val="nil"/>
            </w:tcBorders>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安全阀、爆破片应按设计要求设置并正常投用。</w:t>
            </w:r>
          </w:p>
        </w:tc>
        <w:tc>
          <w:tcPr>
            <w:tcW w:w="1282" w:type="pct"/>
            <w:tcBorders>
              <w:tl2br w:val="nil"/>
              <w:tr2bl w:val="nil"/>
            </w:tcBorders>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lang w:eastAsia="zh-CN"/>
              </w:rPr>
              <w:t>《化工和危险化学品生产经营企业重大生产安全事故隐患判定准则》（AQ 3067-2026）</w:t>
            </w:r>
            <w:r>
              <w:rPr>
                <w:rFonts w:hint="eastAsia" w:ascii="仿宋_GB2312" w:hAnsi="宋体" w:cs="宋体"/>
                <w:kern w:val="0"/>
                <w:sz w:val="20"/>
                <w:szCs w:val="20"/>
              </w:rPr>
              <w:t>第5.4.6条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r>
              <w:rPr>
                <w:rFonts w:hint="eastAsia" w:ascii="仿宋_GB2312"/>
                <w:sz w:val="20"/>
                <w:szCs w:val="2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eastAsia="仿宋_GB2312" w:hAnsiTheme="minorEastAsia"/>
                <w:sz w:val="20"/>
                <w:szCs w:val="20"/>
                <w:lang w:eastAsia="zh-CN"/>
              </w:rPr>
            </w:pPr>
            <w:r>
              <w:rPr>
                <w:rFonts w:hint="eastAsia" w:ascii="仿宋_GB2312" w:hAnsiTheme="minorEastAsia"/>
                <w:sz w:val="20"/>
                <w:szCs w:val="20"/>
              </w:rPr>
              <w:t>13.2.06.04</w:t>
            </w:r>
            <w:r>
              <w:rPr>
                <w:rFonts w:hint="eastAsia" w:ascii="仿宋_GB2312" w:hAnsiTheme="minorEastAsia"/>
                <w:sz w:val="20"/>
                <w:szCs w:val="20"/>
                <w:lang w:val="en-US" w:eastAsia="zh-CN"/>
              </w:rPr>
              <w:t>3</w:t>
            </w:r>
          </w:p>
        </w:tc>
        <w:tc>
          <w:tcPr>
            <w:tcW w:w="388" w:type="pct"/>
            <w:tcBorders>
              <w:tl2br w:val="nil"/>
              <w:tr2bl w:val="nil"/>
            </w:tcBorders>
            <w:shd w:val="clear" w:color="auto" w:fill="FFFFFF"/>
            <w:vAlign w:val="center"/>
          </w:tcPr>
          <w:p>
            <w:pPr>
              <w:adjustRightInd w:val="0"/>
              <w:snapToGrid w:val="0"/>
              <w:spacing w:after="0" w:line="240" w:lineRule="auto"/>
              <w:jc w:val="center"/>
              <w:rPr>
                <w:rFonts w:hint="eastAsia" w:ascii="仿宋_GB2312" w:hAnsiTheme="minorEastAsia"/>
                <w:sz w:val="20"/>
                <w:szCs w:val="20"/>
                <w:lang w:eastAsia="zh-TW" w:bidi="ar"/>
              </w:rPr>
            </w:pPr>
            <w:r>
              <w:rPr>
                <w:rFonts w:hint="eastAsia" w:ascii="仿宋_GB2312" w:hAnsiTheme="minorEastAsia"/>
                <w:sz w:val="20"/>
                <w:szCs w:val="20"/>
                <w:lang w:eastAsia="zh-TW" w:bidi="ar"/>
              </w:rPr>
              <w:t>设备设施及物料类</w:t>
            </w:r>
          </w:p>
        </w:tc>
        <w:tc>
          <w:tcPr>
            <w:tcW w:w="376"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hAnsi="等线" w:eastAsia="仿宋_GB2312"/>
                <w:sz w:val="20"/>
                <w:szCs w:val="20"/>
              </w:rPr>
            </w:pPr>
            <w:r>
              <w:rPr>
                <w:rFonts w:hint="eastAsia" w:ascii="仿宋_GB2312" w:hAnsi="等线" w:eastAsia="仿宋_GB2312"/>
                <w:sz w:val="20"/>
                <w:szCs w:val="20"/>
              </w:rPr>
              <w:t>特种设备类</w:t>
            </w:r>
          </w:p>
        </w:tc>
        <w:tc>
          <w:tcPr>
            <w:tcW w:w="1025"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ascii="仿宋_GB2312" w:eastAsia="仿宋_GB2312" w:hAnsiTheme="minorEastAsia"/>
                <w:sz w:val="20"/>
                <w:szCs w:val="20"/>
                <w:lang w:bidi="ar"/>
              </w:rPr>
              <w:t>压力表的选型</w:t>
            </w:r>
            <w:r>
              <w:rPr>
                <w:rFonts w:hint="eastAsia" w:ascii="仿宋_GB2312" w:eastAsia="仿宋_GB2312" w:hAnsiTheme="minorEastAsia"/>
                <w:sz w:val="20"/>
                <w:szCs w:val="20"/>
                <w:lang w:bidi="ar"/>
              </w:rPr>
              <w:t>不</w:t>
            </w:r>
            <w:r>
              <w:rPr>
                <w:rFonts w:ascii="仿宋_GB2312" w:eastAsia="仿宋_GB2312" w:hAnsiTheme="minorEastAsia"/>
                <w:sz w:val="20"/>
                <w:szCs w:val="20"/>
                <w:lang w:bidi="ar"/>
              </w:rPr>
              <w:t>符合相关要求，</w:t>
            </w:r>
            <w:r>
              <w:rPr>
                <w:rFonts w:hint="eastAsia" w:ascii="仿宋_GB2312" w:eastAsia="仿宋_GB2312" w:hAnsiTheme="minorEastAsia"/>
                <w:sz w:val="20"/>
                <w:szCs w:val="20"/>
                <w:lang w:bidi="ar"/>
              </w:rPr>
              <w:t>缺少</w:t>
            </w:r>
            <w:r>
              <w:rPr>
                <w:rFonts w:ascii="仿宋_GB2312" w:eastAsia="仿宋_GB2312" w:hAnsiTheme="minorEastAsia"/>
                <w:sz w:val="20"/>
                <w:szCs w:val="20"/>
                <w:lang w:bidi="ar"/>
              </w:rPr>
              <w:t>压力范围及检定标记</w:t>
            </w:r>
            <w:r>
              <w:rPr>
                <w:rFonts w:hint="eastAsia" w:ascii="仿宋_GB2312" w:eastAsia="仿宋_GB2312" w:hAnsiTheme="minorEastAsia"/>
                <w:sz w:val="20"/>
                <w:szCs w:val="20"/>
                <w:lang w:bidi="ar"/>
              </w:rPr>
              <w:t>标识</w:t>
            </w:r>
            <w:r>
              <w:rPr>
                <w:rFonts w:ascii="仿宋_GB2312" w:eastAsia="仿宋_GB2312" w:hAnsiTheme="minorEastAsia"/>
                <w:sz w:val="20"/>
                <w:szCs w:val="20"/>
                <w:lang w:bidi="ar"/>
              </w:rPr>
              <w:t>。</w:t>
            </w:r>
          </w:p>
        </w:tc>
        <w:tc>
          <w:tcPr>
            <w:tcW w:w="1394" w:type="pct"/>
            <w:tcBorders>
              <w:tl2br w:val="nil"/>
              <w:tr2bl w:val="nil"/>
            </w:tcBorders>
            <w:vAlign w:val="center"/>
          </w:tcPr>
          <w:p>
            <w:pPr>
              <w:adjustRightInd w:val="0"/>
              <w:snapToGrid w:val="0"/>
              <w:spacing w:after="0" w:line="240" w:lineRule="auto"/>
              <w:jc w:val="left"/>
              <w:rPr>
                <w:rFonts w:hint="eastAsia" w:ascii="仿宋_GB2312" w:cs="宋体" w:hAnsiTheme="minorEastAsia"/>
                <w:kern w:val="0"/>
                <w:sz w:val="20"/>
                <w:szCs w:val="20"/>
                <w:lang w:bidi="ar"/>
              </w:rPr>
            </w:pPr>
            <w:r>
              <w:rPr>
                <w:rFonts w:ascii="仿宋_GB2312" w:cs="宋体" w:hAnsiTheme="minorEastAsia"/>
                <w:kern w:val="0"/>
                <w:sz w:val="20"/>
                <w:szCs w:val="20"/>
                <w:lang w:bidi="ar"/>
              </w:rPr>
              <w:t>压力表的选型应符合相关要求，压力范围及检定标记明显。</w:t>
            </w:r>
          </w:p>
        </w:tc>
        <w:tc>
          <w:tcPr>
            <w:tcW w:w="1282" w:type="pct"/>
            <w:tcBorders>
              <w:tl2br w:val="nil"/>
              <w:tr2bl w:val="nil"/>
            </w:tcBorders>
            <w:shd w:val="clear" w:color="auto" w:fill="FFFFFF"/>
            <w:vAlign w:val="center"/>
          </w:tcPr>
          <w:p>
            <w:pPr>
              <w:adjustRightInd w:val="0"/>
              <w:snapToGrid w:val="0"/>
              <w:spacing w:after="0" w:line="240" w:lineRule="auto"/>
              <w:jc w:val="left"/>
              <w:rPr>
                <w:rFonts w:hint="eastAsia" w:ascii="仿宋_GB2312" w:cs="宋体" w:hAnsiTheme="minorEastAsia"/>
                <w:kern w:val="0"/>
                <w:sz w:val="20"/>
                <w:szCs w:val="20"/>
                <w:lang w:bidi="ar"/>
              </w:rPr>
            </w:pPr>
            <w:r>
              <w:rPr>
                <w:rFonts w:ascii="仿宋_GB2312" w:cs="宋体" w:hAnsiTheme="minorEastAsia"/>
                <w:kern w:val="0"/>
                <w:sz w:val="20"/>
                <w:szCs w:val="20"/>
                <w:lang w:bidi="ar"/>
              </w:rPr>
              <w:t>《固定式压力容器安全技术监察规程》(TSG 21-2016)第9.2.1条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eastAsia="仿宋_GB2312" w:hAnsiTheme="minorEastAsia"/>
                <w:sz w:val="20"/>
                <w:szCs w:val="20"/>
                <w:lang w:eastAsia="zh-CN"/>
              </w:rPr>
            </w:pPr>
            <w:r>
              <w:rPr>
                <w:rFonts w:hint="eastAsia" w:ascii="仿宋_GB2312" w:hAnsiTheme="minorEastAsia"/>
                <w:sz w:val="20"/>
                <w:szCs w:val="20"/>
              </w:rPr>
              <w:t>13.2.07.04</w:t>
            </w:r>
            <w:r>
              <w:rPr>
                <w:rFonts w:hint="eastAsia" w:ascii="仿宋_GB2312" w:hAnsiTheme="minorEastAsia"/>
                <w:sz w:val="20"/>
                <w:szCs w:val="20"/>
                <w:lang w:val="en-US" w:eastAsia="zh-CN"/>
              </w:rPr>
              <w:t>4</w:t>
            </w:r>
          </w:p>
        </w:tc>
        <w:tc>
          <w:tcPr>
            <w:tcW w:w="388" w:type="pct"/>
            <w:tcBorders>
              <w:tl2br w:val="nil"/>
              <w:tr2bl w:val="nil"/>
            </w:tcBorders>
            <w:shd w:val="clear" w:color="auto" w:fill="FFFFFF"/>
            <w:vAlign w:val="center"/>
          </w:tcPr>
          <w:p>
            <w:pPr>
              <w:adjustRightInd w:val="0"/>
              <w:snapToGrid w:val="0"/>
              <w:spacing w:after="0" w:line="240" w:lineRule="auto"/>
              <w:jc w:val="center"/>
              <w:rPr>
                <w:rFonts w:hint="eastAsia" w:ascii="仿宋_GB2312" w:hAnsiTheme="minorEastAsia"/>
                <w:sz w:val="20"/>
                <w:szCs w:val="20"/>
                <w:lang w:eastAsia="zh-TW" w:bidi="ar"/>
              </w:rPr>
            </w:pPr>
            <w:r>
              <w:rPr>
                <w:rFonts w:hint="eastAsia" w:ascii="仿宋_GB2312" w:hAnsiTheme="minorEastAsia"/>
                <w:sz w:val="20"/>
                <w:szCs w:val="20"/>
                <w:lang w:eastAsia="zh-TW" w:bidi="ar"/>
              </w:rPr>
              <w:t>设备设施及物料类</w:t>
            </w:r>
          </w:p>
        </w:tc>
        <w:tc>
          <w:tcPr>
            <w:tcW w:w="376"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hAnsi="等线" w:eastAsia="仿宋_GB2312"/>
                <w:sz w:val="20"/>
                <w:szCs w:val="20"/>
              </w:rPr>
            </w:pPr>
            <w:r>
              <w:rPr>
                <w:rFonts w:hint="eastAsia" w:ascii="仿宋_GB2312" w:hAnsi="等线" w:eastAsia="仿宋_GB2312"/>
                <w:sz w:val="20"/>
                <w:szCs w:val="20"/>
              </w:rPr>
              <w:t>通用设备类</w:t>
            </w:r>
          </w:p>
        </w:tc>
        <w:tc>
          <w:tcPr>
            <w:tcW w:w="1025"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hAnsi="等线" w:eastAsia="仿宋_GB2312"/>
                <w:sz w:val="20"/>
                <w:szCs w:val="20"/>
              </w:rPr>
            </w:pPr>
            <w:r>
              <w:rPr>
                <w:rFonts w:hint="eastAsia" w:ascii="仿宋_GB2312" w:eastAsia="仿宋_GB2312" w:hAnsiTheme="minorEastAsia"/>
                <w:sz w:val="20"/>
                <w:szCs w:val="20"/>
                <w:lang w:bidi="ar"/>
              </w:rPr>
              <w:t>生产设备转动、传动部位等缺少设置防护罩、防护网或防护栏杆等安全防护装置。</w:t>
            </w:r>
          </w:p>
        </w:tc>
        <w:tc>
          <w:tcPr>
            <w:tcW w:w="1394" w:type="pct"/>
            <w:tcBorders>
              <w:tl2br w:val="nil"/>
              <w:tr2bl w:val="nil"/>
            </w:tcBorders>
            <w:vAlign w:val="center"/>
          </w:tcPr>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生产设备转动、传动部位等应设置防护罩、防护网或防护栏杆等安全防护装置。</w:t>
            </w:r>
          </w:p>
        </w:tc>
        <w:tc>
          <w:tcPr>
            <w:tcW w:w="1282" w:type="pct"/>
            <w:tcBorders>
              <w:tl2br w:val="nil"/>
              <w:tr2bl w:val="nil"/>
            </w:tcBorders>
            <w:shd w:val="clear" w:color="auto" w:fill="FFFFFF"/>
            <w:vAlign w:val="center"/>
          </w:tcPr>
          <w:p>
            <w:pPr>
              <w:pStyle w:val="10"/>
              <w:widowControl w:val="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《生产过程安全基本要求》</w:t>
            </w:r>
            <w:r>
              <w:rPr>
                <w:rFonts w:hint="eastAsia" w:ascii="仿宋_GB2312" w:eastAsia="仿宋_GB2312" w:hAnsiTheme="minorEastAsia"/>
                <w:sz w:val="20"/>
                <w:szCs w:val="20"/>
                <w:lang w:eastAsia="zh-CN" w:bidi="ar"/>
              </w:rPr>
              <w:t>（GB 12801-2025）</w:t>
            </w:r>
            <w:r>
              <w:rPr>
                <w:rFonts w:hint="eastAsia" w:ascii="仿宋_GB2312" w:eastAsia="仿宋_GB2312" w:hAnsiTheme="minorEastAsia"/>
                <w:sz w:val="20"/>
                <w:szCs w:val="20"/>
                <w:lang w:bidi="ar"/>
              </w:rPr>
              <w:t>第5.4.1条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eastAsia="仿宋_GB2312" w:hAnsiTheme="minorEastAsia"/>
                <w:sz w:val="20"/>
                <w:szCs w:val="20"/>
                <w:lang w:eastAsia="zh-CN"/>
              </w:rPr>
            </w:pPr>
            <w:r>
              <w:rPr>
                <w:rFonts w:hint="eastAsia" w:ascii="仿宋_GB2312" w:hAnsiTheme="minorEastAsia"/>
                <w:sz w:val="20"/>
                <w:szCs w:val="20"/>
              </w:rPr>
              <w:t>13.2.07.04</w:t>
            </w:r>
            <w:r>
              <w:rPr>
                <w:rFonts w:hint="eastAsia" w:ascii="仿宋_GB2312" w:hAnsiTheme="minorEastAsia"/>
                <w:sz w:val="20"/>
                <w:szCs w:val="20"/>
                <w:lang w:val="en-US" w:eastAsia="zh-CN"/>
              </w:rPr>
              <w:t>5</w:t>
            </w:r>
          </w:p>
        </w:tc>
        <w:tc>
          <w:tcPr>
            <w:tcW w:w="388" w:type="pct"/>
            <w:tcBorders>
              <w:tl2br w:val="nil"/>
              <w:tr2bl w:val="nil"/>
            </w:tcBorders>
            <w:shd w:val="clear" w:color="auto" w:fill="FFFFFF"/>
            <w:vAlign w:val="center"/>
          </w:tcPr>
          <w:p>
            <w:pPr>
              <w:adjustRightInd w:val="0"/>
              <w:snapToGrid w:val="0"/>
              <w:spacing w:after="0" w:line="240" w:lineRule="auto"/>
              <w:jc w:val="center"/>
              <w:rPr>
                <w:rFonts w:hint="eastAsia" w:ascii="仿宋_GB2312" w:hAnsiTheme="minorEastAsia"/>
                <w:sz w:val="20"/>
                <w:szCs w:val="20"/>
                <w:lang w:eastAsia="zh-TW" w:bidi="ar"/>
              </w:rPr>
            </w:pPr>
            <w:r>
              <w:rPr>
                <w:rFonts w:hint="eastAsia" w:ascii="仿宋_GB2312" w:hAnsiTheme="minorEastAsia"/>
                <w:sz w:val="20"/>
                <w:szCs w:val="20"/>
                <w:lang w:eastAsia="zh-TW" w:bidi="ar"/>
              </w:rPr>
              <w:t>设备设施及物料类</w:t>
            </w:r>
          </w:p>
        </w:tc>
        <w:tc>
          <w:tcPr>
            <w:tcW w:w="376"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hAnsi="等线" w:eastAsia="仿宋_GB2312"/>
                <w:sz w:val="20"/>
                <w:szCs w:val="20"/>
              </w:rPr>
            </w:pPr>
            <w:r>
              <w:rPr>
                <w:rFonts w:hint="eastAsia" w:ascii="仿宋_GB2312" w:hAnsi="等线" w:eastAsia="仿宋_GB2312"/>
                <w:sz w:val="20"/>
                <w:szCs w:val="20"/>
              </w:rPr>
              <w:t>通用设备类</w:t>
            </w:r>
          </w:p>
        </w:tc>
        <w:tc>
          <w:tcPr>
            <w:tcW w:w="1025"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hAnsi="等线" w:eastAsia="仿宋_GB2312"/>
                <w:sz w:val="20"/>
                <w:szCs w:val="20"/>
              </w:rPr>
            </w:pPr>
            <w:r>
              <w:rPr>
                <w:rFonts w:hint="eastAsia" w:ascii="仿宋_GB2312" w:eastAsia="仿宋_GB2312" w:hAnsiTheme="minorEastAsia"/>
                <w:sz w:val="20"/>
                <w:szCs w:val="20"/>
                <w:lang w:bidi="ar"/>
              </w:rPr>
              <w:t>有可能对作业人员造成挤压或压制的生产设备缺少紧急停车开关和机械闭锁装置。</w:t>
            </w:r>
          </w:p>
        </w:tc>
        <w:tc>
          <w:tcPr>
            <w:tcW w:w="1394" w:type="pct"/>
            <w:tcBorders>
              <w:tl2br w:val="nil"/>
              <w:tr2bl w:val="nil"/>
            </w:tcBorders>
            <w:vAlign w:val="center"/>
          </w:tcPr>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有可能对作业人员造成挤压或压制的生产设备应设置紧急停车开关和机械闭锁装置。</w:t>
            </w:r>
          </w:p>
        </w:tc>
        <w:tc>
          <w:tcPr>
            <w:tcW w:w="1282" w:type="pct"/>
            <w:tcBorders>
              <w:tl2br w:val="nil"/>
              <w:tr2bl w:val="nil"/>
            </w:tcBorders>
            <w:shd w:val="clear" w:color="auto" w:fill="FFFFFF"/>
            <w:vAlign w:val="center"/>
          </w:tcPr>
          <w:p>
            <w:pPr>
              <w:pStyle w:val="10"/>
              <w:widowControl w:val="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《生产过程安全基本要求》</w:t>
            </w:r>
            <w:r>
              <w:rPr>
                <w:rFonts w:hint="eastAsia" w:ascii="仿宋_GB2312" w:eastAsia="仿宋_GB2312" w:hAnsiTheme="minorEastAsia"/>
                <w:sz w:val="20"/>
                <w:szCs w:val="20"/>
                <w:lang w:eastAsia="zh-CN" w:bidi="ar"/>
              </w:rPr>
              <w:t>（GB 12801-2025）</w:t>
            </w:r>
            <w:r>
              <w:rPr>
                <w:rFonts w:hint="eastAsia" w:ascii="仿宋_GB2312" w:eastAsia="仿宋_GB2312" w:hAnsiTheme="minorEastAsia"/>
                <w:sz w:val="20"/>
                <w:szCs w:val="20"/>
                <w:lang w:bidi="ar"/>
              </w:rPr>
              <w:t>第5.4.3条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eastAsia="仿宋_GB2312" w:hAnsiTheme="minorEastAsia"/>
                <w:sz w:val="20"/>
                <w:szCs w:val="20"/>
                <w:lang w:eastAsia="zh-CN"/>
              </w:rPr>
            </w:pPr>
            <w:r>
              <w:rPr>
                <w:rFonts w:hint="eastAsia" w:ascii="仿宋_GB2312" w:hAnsiTheme="minorEastAsia"/>
                <w:sz w:val="20"/>
                <w:szCs w:val="20"/>
              </w:rPr>
              <w:t>13.2.08.04</w:t>
            </w:r>
            <w:r>
              <w:rPr>
                <w:rFonts w:hint="eastAsia" w:ascii="仿宋_GB2312" w:hAnsiTheme="minorEastAsia"/>
                <w:sz w:val="20"/>
                <w:szCs w:val="20"/>
                <w:lang w:val="en-US" w:eastAsia="zh-CN"/>
              </w:rPr>
              <w:t>6</w:t>
            </w:r>
          </w:p>
        </w:tc>
        <w:tc>
          <w:tcPr>
            <w:tcW w:w="388" w:type="pct"/>
            <w:tcBorders>
              <w:tl2br w:val="nil"/>
              <w:tr2bl w:val="nil"/>
            </w:tcBorders>
            <w:shd w:val="clear" w:color="auto" w:fill="FFFFFF"/>
            <w:vAlign w:val="center"/>
          </w:tcPr>
          <w:p>
            <w:pPr>
              <w:adjustRightInd w:val="0"/>
              <w:snapToGrid w:val="0"/>
              <w:spacing w:after="0" w:line="240" w:lineRule="auto"/>
              <w:jc w:val="center"/>
              <w:rPr>
                <w:rFonts w:hint="eastAsia" w:ascii="仿宋_GB2312" w:hAnsiTheme="minorEastAsia"/>
                <w:sz w:val="20"/>
                <w:szCs w:val="20"/>
                <w:lang w:eastAsia="zh-TW" w:bidi="ar"/>
              </w:rPr>
            </w:pPr>
            <w:r>
              <w:rPr>
                <w:rFonts w:hint="eastAsia" w:ascii="仿宋_GB2312" w:hAnsiTheme="minorEastAsia"/>
                <w:sz w:val="20"/>
                <w:szCs w:val="20"/>
                <w:lang w:eastAsia="zh-TW" w:bidi="ar"/>
              </w:rPr>
              <w:t>设备设施及物料类</w:t>
            </w:r>
          </w:p>
        </w:tc>
        <w:tc>
          <w:tcPr>
            <w:tcW w:w="376"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hAnsi="等线" w:eastAsia="仿宋_GB2312"/>
                <w:sz w:val="20"/>
                <w:szCs w:val="20"/>
              </w:rPr>
            </w:pPr>
            <w:r>
              <w:rPr>
                <w:rFonts w:hint="eastAsia" w:ascii="仿宋_GB2312" w:hAnsi="等线" w:eastAsia="仿宋_GB2312"/>
                <w:sz w:val="20"/>
                <w:szCs w:val="20"/>
              </w:rPr>
              <w:t>天然气设备设施类</w:t>
            </w:r>
          </w:p>
        </w:tc>
        <w:tc>
          <w:tcPr>
            <w:tcW w:w="1025"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hAnsi="等线" w:eastAsia="仿宋_GB2312"/>
                <w:sz w:val="20"/>
                <w:szCs w:val="20"/>
              </w:rPr>
            </w:pPr>
            <w:r>
              <w:rPr>
                <w:rFonts w:hint="eastAsia" w:ascii="仿宋_GB2312" w:eastAsia="仿宋_GB2312" w:hAnsiTheme="minorEastAsia"/>
                <w:sz w:val="20"/>
                <w:szCs w:val="20"/>
                <w:lang w:bidi="ar"/>
              </w:rPr>
              <w:t>燃油、燃气锅炉房锅炉间与相邻的辅助间之间防火措施不足。</w:t>
            </w:r>
          </w:p>
        </w:tc>
        <w:tc>
          <w:tcPr>
            <w:tcW w:w="1394" w:type="pct"/>
            <w:tcBorders>
              <w:tl2br w:val="nil"/>
              <w:tr2bl w:val="nil"/>
            </w:tcBorders>
            <w:vAlign w:val="center"/>
          </w:tcPr>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燃油、燃气锅炉房锅炉间与相邻的辅助间之间应设置防火隔墙。</w:t>
            </w:r>
          </w:p>
        </w:tc>
        <w:tc>
          <w:tcPr>
            <w:tcW w:w="1282" w:type="pct"/>
            <w:tcBorders>
              <w:tl2br w:val="nil"/>
              <w:tr2bl w:val="nil"/>
            </w:tcBorders>
            <w:shd w:val="clear" w:color="auto" w:fill="FFFFFF"/>
            <w:vAlign w:val="center"/>
          </w:tcPr>
          <w:p>
            <w:pPr>
              <w:pStyle w:val="10"/>
              <w:widowControl w:val="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《锅炉房设计标准》（GB50041-2020）第15.1.3条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eastAsia="仿宋_GB2312" w:hAnsiTheme="minorEastAsia"/>
                <w:sz w:val="20"/>
                <w:szCs w:val="20"/>
                <w:lang w:eastAsia="zh-CN"/>
              </w:rPr>
            </w:pPr>
            <w:r>
              <w:rPr>
                <w:rFonts w:hint="eastAsia" w:ascii="仿宋_GB2312" w:hAnsiTheme="minorEastAsia"/>
                <w:sz w:val="20"/>
                <w:szCs w:val="20"/>
              </w:rPr>
              <w:t>13.2.09.04</w:t>
            </w:r>
            <w:r>
              <w:rPr>
                <w:rFonts w:hint="eastAsia" w:ascii="仿宋_GB2312" w:hAnsiTheme="minorEastAsia"/>
                <w:sz w:val="20"/>
                <w:szCs w:val="20"/>
                <w:lang w:val="en-US" w:eastAsia="zh-CN"/>
              </w:rPr>
              <w:t>7</w:t>
            </w:r>
          </w:p>
        </w:tc>
        <w:tc>
          <w:tcPr>
            <w:tcW w:w="388"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设备设施及物料类</w:t>
            </w:r>
          </w:p>
        </w:tc>
        <w:tc>
          <w:tcPr>
            <w:tcW w:w="376"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hAnsi="等线" w:eastAsia="仿宋_GB2312"/>
                <w:sz w:val="20"/>
                <w:szCs w:val="20"/>
              </w:rPr>
            </w:pPr>
            <w:r>
              <w:rPr>
                <w:rFonts w:hint="eastAsia" w:ascii="仿宋_GB2312" w:hAnsi="等线" w:eastAsia="仿宋_GB2312"/>
                <w:sz w:val="20"/>
                <w:szCs w:val="20"/>
              </w:rPr>
              <w:t>监控系统类</w:t>
            </w:r>
          </w:p>
        </w:tc>
        <w:tc>
          <w:tcPr>
            <w:tcW w:w="1025" w:type="pct"/>
            <w:tcBorders>
              <w:tl2br w:val="nil"/>
              <w:tr2bl w:val="nil"/>
            </w:tcBorders>
            <w:shd w:val="clear" w:color="auto" w:fill="FFFFFF"/>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存在可燃或有毒气体泄漏风险的场所未按设计要求设置气体探测器或气体探测器功能失效；GDS未投入使用。</w:t>
            </w:r>
          </w:p>
        </w:tc>
        <w:tc>
          <w:tcPr>
            <w:tcW w:w="1394" w:type="pct"/>
            <w:tcBorders>
              <w:tl2br w:val="nil"/>
              <w:tr2bl w:val="nil"/>
            </w:tcBorders>
            <w:shd w:val="clear" w:color="auto" w:fill="FFFFFF"/>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存在可燃或有毒气体泄漏风险的场所应按设计要求设置气体探测器；GDS应</w:t>
            </w:r>
            <w:r>
              <w:rPr>
                <w:rFonts w:hint="eastAsia" w:ascii="仿宋_GB2312" w:cs="宋体" w:hAnsiTheme="minorEastAsia"/>
                <w:kern w:val="0"/>
                <w:sz w:val="20"/>
                <w:szCs w:val="20"/>
                <w:lang w:val="en-US" w:eastAsia="zh-CN" w:bidi="ar"/>
              </w:rPr>
              <w:t>正常</w:t>
            </w:r>
            <w:r>
              <w:rPr>
                <w:rFonts w:hint="eastAsia" w:ascii="仿宋_GB2312" w:cs="宋体" w:hAnsiTheme="minorEastAsia"/>
                <w:kern w:val="0"/>
                <w:sz w:val="20"/>
                <w:szCs w:val="20"/>
                <w:lang w:bidi="ar"/>
              </w:rPr>
              <w:t>投入使用；在密闭或通风不良场所存在氮气等窒息性气体泄漏风险，应按设计要求设置氧气分析报警仪。医药工业洁净厂房中可燃、助燃气体和可燃液体的储存、使用场所、管道入口室及管道阀门等易泄漏的地方，应设置可燃气体探测器。有毒气体的储存和使用场所应设置气体检测器。</w:t>
            </w:r>
          </w:p>
        </w:tc>
        <w:tc>
          <w:tcPr>
            <w:tcW w:w="1282" w:type="pct"/>
            <w:tcBorders>
              <w:tl2br w:val="nil"/>
              <w:tr2bl w:val="nil"/>
            </w:tcBorders>
            <w:shd w:val="clear" w:color="auto" w:fill="FFFFFF"/>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《中华人民共和国安全生产法》第三十六条；</w:t>
            </w:r>
          </w:p>
          <w:p>
            <w:pPr>
              <w:widowControl/>
              <w:adjustRightInd w:val="0"/>
              <w:snapToGrid w:val="0"/>
              <w:spacing w:after="0" w:line="240" w:lineRule="auto"/>
              <w:ind w:left="0" w:hanging="200" w:hangingChars="100"/>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《建筑设计防火规范（2018年版）》（GB 50016-2014）第8.4.3条；</w:t>
            </w:r>
          </w:p>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《医药工业洁净厂房设计标准》（GB 50457-2019）第11.3.7条；</w:t>
            </w:r>
          </w:p>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eastAsia="zh-CN" w:bidi="ar"/>
              </w:rPr>
              <w:t>《化工和危险化学品生产经营企业重大生产安全事故隐患判定准则》（AQ 3067-2026）</w:t>
            </w:r>
            <w:r>
              <w:rPr>
                <w:rFonts w:hint="eastAsia" w:ascii="仿宋_GB2312" w:cs="宋体" w:hAnsiTheme="minorEastAsia"/>
                <w:kern w:val="0"/>
                <w:sz w:val="20"/>
                <w:szCs w:val="20"/>
                <w:lang w:bidi="ar"/>
              </w:rPr>
              <w:t>第5.4.2条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sz w:val="20"/>
                <w:szCs w:val="2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default" w:ascii="仿宋_GB2312" w:eastAsia="仿宋_GB2312" w:hAnsiTheme="minorEastAsia"/>
                <w:sz w:val="20"/>
                <w:szCs w:val="20"/>
                <w:lang w:val="en-US" w:eastAsia="zh-CN"/>
              </w:rPr>
            </w:pPr>
            <w:r>
              <w:rPr>
                <w:rFonts w:hint="eastAsia" w:ascii="仿宋_GB2312" w:hAnsiTheme="minorEastAsia"/>
                <w:sz w:val="20"/>
                <w:szCs w:val="20"/>
              </w:rPr>
              <w:t>13.2.09.0</w:t>
            </w:r>
            <w:r>
              <w:rPr>
                <w:rFonts w:hint="eastAsia" w:ascii="仿宋_GB2312" w:hAnsiTheme="minorEastAsia"/>
                <w:sz w:val="20"/>
                <w:szCs w:val="20"/>
                <w:lang w:val="en-US" w:eastAsia="zh-CN"/>
              </w:rPr>
              <w:t>48</w:t>
            </w:r>
          </w:p>
        </w:tc>
        <w:tc>
          <w:tcPr>
            <w:tcW w:w="388"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设备设施及物料类</w:t>
            </w:r>
          </w:p>
        </w:tc>
        <w:tc>
          <w:tcPr>
            <w:tcW w:w="376"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hAnsi="等线" w:eastAsia="仿宋_GB2312"/>
                <w:sz w:val="20"/>
                <w:szCs w:val="20"/>
                <w:lang w:eastAsia="zh-TW"/>
              </w:rPr>
            </w:pPr>
            <w:r>
              <w:rPr>
                <w:rFonts w:hint="eastAsia" w:ascii="仿宋_GB2312" w:hAnsi="等线" w:eastAsia="仿宋_GB2312"/>
                <w:sz w:val="20"/>
                <w:szCs w:val="20"/>
              </w:rPr>
              <w:t>监控系统类</w:t>
            </w:r>
          </w:p>
        </w:tc>
        <w:tc>
          <w:tcPr>
            <w:tcW w:w="1025"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hAnsi="等线" w:eastAsia="仿宋_GB2312"/>
                <w:sz w:val="20"/>
                <w:szCs w:val="20"/>
              </w:rPr>
            </w:pPr>
            <w:r>
              <w:rPr>
                <w:rFonts w:hint="eastAsia" w:ascii="仿宋_GB2312" w:eastAsia="仿宋_GB2312" w:hAnsiTheme="minorEastAsia"/>
                <w:sz w:val="20"/>
                <w:szCs w:val="20"/>
                <w:lang w:bidi="ar"/>
              </w:rPr>
              <w:t>下列部位</w:t>
            </w:r>
            <w:r>
              <w:rPr>
                <w:rFonts w:hint="eastAsia" w:ascii="仿宋_GB2312" w:eastAsia="仿宋_GB2312" w:hAnsiTheme="minorEastAsia"/>
                <w:sz w:val="20"/>
                <w:szCs w:val="20"/>
                <w:lang w:eastAsia="zh-CN" w:bidi="ar"/>
              </w:rPr>
              <w:t>未</w:t>
            </w:r>
            <w:r>
              <w:rPr>
                <w:rFonts w:hint="eastAsia" w:ascii="仿宋_GB2312" w:eastAsia="仿宋_GB2312" w:hAnsiTheme="minorEastAsia"/>
                <w:sz w:val="20"/>
                <w:szCs w:val="20"/>
                <w:lang w:bidi="ar"/>
              </w:rPr>
              <w:t>设置可燃、易爆介质报警装置和事故排风装置，报警装置</w:t>
            </w:r>
            <w:r>
              <w:rPr>
                <w:rFonts w:hint="eastAsia" w:ascii="仿宋_GB2312" w:eastAsia="仿宋_GB2312" w:hAnsiTheme="minorEastAsia"/>
                <w:sz w:val="20"/>
                <w:szCs w:val="20"/>
                <w:lang w:eastAsia="zh-CN" w:bidi="ar"/>
              </w:rPr>
              <w:t>未</w:t>
            </w:r>
            <w:r>
              <w:rPr>
                <w:rFonts w:hint="eastAsia" w:ascii="仿宋_GB2312" w:eastAsia="仿宋_GB2312" w:hAnsiTheme="minorEastAsia"/>
                <w:sz w:val="20"/>
                <w:szCs w:val="20"/>
                <w:lang w:bidi="ar"/>
              </w:rPr>
              <w:t>与相应的事故排风装置连锁：甲类、乙类介质的入口室；管廊、技术夹层或技术夹道内有甲类、乙类介质的易积聚处；医药工业洁净厂房内使用甲类、乙类介质的场所。</w:t>
            </w:r>
          </w:p>
        </w:tc>
        <w:tc>
          <w:tcPr>
            <w:tcW w:w="1394" w:type="pct"/>
            <w:tcBorders>
              <w:tl2br w:val="nil"/>
              <w:tr2bl w:val="nil"/>
            </w:tcBorders>
            <w:vAlign w:val="center"/>
          </w:tcPr>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下列部位应设置可燃、易爆介质报警装置和事故排风装置，报警装置应与相应的事故排风装置连锁：甲类、乙类介质的入口室；管廊、技术夹层或技术夹道内有甲类、乙类介质的易积聚处；医药工业洁净厂房内使用甲类、乙类介质的场所。</w:t>
            </w:r>
          </w:p>
        </w:tc>
        <w:tc>
          <w:tcPr>
            <w:tcW w:w="1282" w:type="pct"/>
            <w:tcBorders>
              <w:tl2br w:val="nil"/>
              <w:tr2bl w:val="nil"/>
            </w:tcBorders>
            <w:shd w:val="clear" w:color="auto" w:fill="FFFFFF"/>
            <w:vAlign w:val="center"/>
          </w:tcPr>
          <w:p>
            <w:pPr>
              <w:pStyle w:val="10"/>
              <w:widowControl w:val="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《医药工业洁净厂房设计标准》（GB</w:t>
            </w:r>
            <w:r>
              <w:rPr>
                <w:rFonts w:hint="eastAsia" w:ascii="仿宋_GB2312" w:eastAsia="仿宋_GB2312" w:hAnsiTheme="minorEastAsia"/>
                <w:sz w:val="20"/>
                <w:szCs w:val="20"/>
                <w:lang w:val="en-US" w:eastAsia="zh-CN" w:bidi="ar"/>
              </w:rPr>
              <w:t xml:space="preserve"> </w:t>
            </w:r>
            <w:r>
              <w:rPr>
                <w:rFonts w:hint="eastAsia" w:ascii="仿宋_GB2312" w:eastAsia="仿宋_GB2312" w:hAnsiTheme="minorEastAsia"/>
                <w:sz w:val="20"/>
                <w:szCs w:val="20"/>
                <w:lang w:bidi="ar"/>
              </w:rPr>
              <w:t>50457-2019）第6.4.4条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default" w:ascii="仿宋_GB2312" w:eastAsia="仿宋_GB2312" w:hAnsiTheme="minorEastAsia"/>
                <w:sz w:val="20"/>
                <w:szCs w:val="20"/>
                <w:lang w:val="en-US" w:eastAsia="zh-CN"/>
              </w:rPr>
            </w:pPr>
            <w:r>
              <w:rPr>
                <w:rFonts w:hint="eastAsia" w:ascii="仿宋_GB2312" w:hAnsiTheme="minorEastAsia"/>
                <w:sz w:val="20"/>
                <w:szCs w:val="20"/>
              </w:rPr>
              <w:t>13.2.10.0</w:t>
            </w:r>
            <w:r>
              <w:rPr>
                <w:rFonts w:hint="eastAsia" w:ascii="仿宋_GB2312" w:hAnsiTheme="minorEastAsia"/>
                <w:sz w:val="20"/>
                <w:szCs w:val="20"/>
                <w:lang w:val="en-US" w:eastAsia="zh-CN"/>
              </w:rPr>
              <w:t>49</w:t>
            </w:r>
          </w:p>
        </w:tc>
        <w:tc>
          <w:tcPr>
            <w:tcW w:w="388"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cs="仿宋_GB2312"/>
                <w:sz w:val="20"/>
                <w:szCs w:val="20"/>
                <w:lang w:eastAsia="zh-TW" w:bidi="ar"/>
              </w:rPr>
            </w:pPr>
            <w:r>
              <w:rPr>
                <w:rFonts w:hint="eastAsia" w:ascii="仿宋_GB2312" w:eastAsia="仿宋_GB2312" w:cs="仿宋_GB2312"/>
                <w:sz w:val="20"/>
                <w:szCs w:val="20"/>
                <w:lang w:bidi="ar"/>
              </w:rPr>
              <w:t>设备设施及物料类</w:t>
            </w:r>
          </w:p>
        </w:tc>
        <w:tc>
          <w:tcPr>
            <w:tcW w:w="376"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cs="仿宋_GB2312"/>
                <w:sz w:val="20"/>
                <w:szCs w:val="20"/>
                <w:lang w:eastAsia="zh-TW" w:bidi="ar"/>
              </w:rPr>
            </w:pPr>
            <w:r>
              <w:rPr>
                <w:rFonts w:hint="eastAsia" w:ascii="仿宋_GB2312" w:eastAsia="仿宋_GB2312" w:cs="仿宋_GB2312"/>
                <w:sz w:val="20"/>
                <w:szCs w:val="20"/>
                <w:lang w:bidi="ar"/>
              </w:rPr>
              <w:t>其他设备设施类</w:t>
            </w:r>
          </w:p>
        </w:tc>
        <w:tc>
          <w:tcPr>
            <w:tcW w:w="1025" w:type="pct"/>
            <w:tcBorders>
              <w:tl2br w:val="nil"/>
              <w:tr2bl w:val="nil"/>
            </w:tcBorders>
            <w:shd w:val="clear" w:color="auto" w:fill="FFFFFF"/>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除尘系统的导电部件缺少接地，管道连接法兰缺少跨接。</w:t>
            </w:r>
          </w:p>
        </w:tc>
        <w:tc>
          <w:tcPr>
            <w:tcW w:w="1394" w:type="pct"/>
            <w:tcBorders>
              <w:tl2br w:val="nil"/>
              <w:tr2bl w:val="nil"/>
            </w:tcBorders>
            <w:shd w:val="clear" w:color="auto" w:fill="FFFFFF"/>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除尘系统的导电部件应进行等电位连接,并可靠接地,接地电阻应小于100Ω;管道连接法兰应采用跨接线。</w:t>
            </w:r>
          </w:p>
        </w:tc>
        <w:tc>
          <w:tcPr>
            <w:tcW w:w="1282" w:type="pct"/>
            <w:tcBorders>
              <w:tl2br w:val="nil"/>
              <w:tr2bl w:val="nil"/>
            </w:tcBorders>
            <w:shd w:val="clear" w:color="auto" w:fill="FFFFFF"/>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《粉尘防爆安全规程》（GB15577-2018）第8.1.5条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eastAsia="仿宋_GB2312" w:hAnsiTheme="minorEastAsia"/>
                <w:sz w:val="20"/>
                <w:szCs w:val="20"/>
                <w:lang w:eastAsia="zh-CN"/>
              </w:rPr>
            </w:pPr>
            <w:r>
              <w:rPr>
                <w:rFonts w:hint="eastAsia" w:ascii="仿宋_GB2312" w:hAnsiTheme="minorEastAsia"/>
                <w:sz w:val="20"/>
                <w:szCs w:val="20"/>
              </w:rPr>
              <w:t>13.2.10.05</w:t>
            </w:r>
            <w:r>
              <w:rPr>
                <w:rFonts w:hint="eastAsia" w:ascii="仿宋_GB2312" w:hAnsiTheme="minorEastAsia"/>
                <w:sz w:val="20"/>
                <w:szCs w:val="20"/>
                <w:lang w:val="en-US" w:eastAsia="zh-CN"/>
              </w:rPr>
              <w:t>0</w:t>
            </w:r>
          </w:p>
        </w:tc>
        <w:tc>
          <w:tcPr>
            <w:tcW w:w="388"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cs="仿宋_GB2312"/>
                <w:sz w:val="20"/>
                <w:szCs w:val="20"/>
                <w:lang w:eastAsia="zh-TW" w:bidi="ar"/>
              </w:rPr>
            </w:pPr>
            <w:r>
              <w:rPr>
                <w:rFonts w:hint="eastAsia" w:ascii="仿宋_GB2312" w:eastAsia="仿宋_GB2312" w:cs="仿宋_GB2312"/>
                <w:sz w:val="20"/>
                <w:szCs w:val="20"/>
                <w:lang w:bidi="ar"/>
              </w:rPr>
              <w:t>设备设施及物料类</w:t>
            </w:r>
          </w:p>
        </w:tc>
        <w:tc>
          <w:tcPr>
            <w:tcW w:w="376"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cs="仿宋_GB2312"/>
                <w:sz w:val="20"/>
                <w:szCs w:val="20"/>
                <w:lang w:eastAsia="zh-TW" w:bidi="ar"/>
              </w:rPr>
            </w:pPr>
            <w:r>
              <w:rPr>
                <w:rFonts w:hint="eastAsia" w:ascii="仿宋_GB2312" w:eastAsia="仿宋_GB2312" w:cs="仿宋_GB2312"/>
                <w:sz w:val="20"/>
                <w:szCs w:val="20"/>
                <w:lang w:bidi="ar"/>
              </w:rPr>
              <w:t>其他设备设施类</w:t>
            </w:r>
          </w:p>
        </w:tc>
        <w:tc>
          <w:tcPr>
            <w:tcW w:w="1025" w:type="pct"/>
            <w:tcBorders>
              <w:tl2br w:val="nil"/>
              <w:tr2bl w:val="nil"/>
            </w:tcBorders>
            <w:shd w:val="clear" w:color="auto" w:fill="FFFFFF"/>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吸附单元缺少温度指示、超温声光报警装置及应急处理系统。吸附单元缺少压力指示和泄压装置。治理系统缺少事故自动报警装置。治理系统与主体生产装置之间的管道系统缺少阻火器(防火阀)。</w:t>
            </w:r>
          </w:p>
        </w:tc>
        <w:tc>
          <w:tcPr>
            <w:tcW w:w="1394" w:type="pct"/>
            <w:tcBorders>
              <w:tl2br w:val="nil"/>
              <w:tr2bl w:val="nil"/>
            </w:tcBorders>
            <w:shd w:val="clear" w:color="auto" w:fill="FFFFFF"/>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吸附单元应设置温度指示、超温声光报警装置及应急处理系统。吸附单元应设置压力指示和泄压装置。治理系统应有事故自动报警装置。治理系统与主体生产装置之间的管道系统应安装阻火器(防火阀)。</w:t>
            </w:r>
          </w:p>
        </w:tc>
        <w:tc>
          <w:tcPr>
            <w:tcW w:w="1282" w:type="pct"/>
            <w:tcBorders>
              <w:tl2br w:val="nil"/>
              <w:tr2bl w:val="nil"/>
            </w:tcBorders>
            <w:shd w:val="clear" w:color="auto" w:fill="FFFFFF"/>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《环境保护产品技术要求工业废气吸附净化装置》（HJ/T386-2007）第4.3.3条、第4.3.4条；</w:t>
            </w:r>
          </w:p>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《吸附法工业有机废气治理工程技术规范》（HJ</w:t>
            </w:r>
            <w:r>
              <w:rPr>
                <w:rFonts w:hint="default" w:ascii="仿宋_GB2312" w:cs="宋体" w:hAnsiTheme="minorEastAsia"/>
                <w:kern w:val="0"/>
                <w:sz w:val="20"/>
                <w:szCs w:val="20"/>
                <w:lang w:val="en" w:bidi="ar"/>
              </w:rPr>
              <w:t xml:space="preserve"> </w:t>
            </w:r>
            <w:r>
              <w:rPr>
                <w:rFonts w:hint="eastAsia" w:ascii="仿宋_GB2312" w:cs="宋体" w:hAnsiTheme="minorEastAsia"/>
                <w:kern w:val="0"/>
                <w:sz w:val="20"/>
                <w:szCs w:val="20"/>
                <w:lang w:bidi="ar"/>
              </w:rPr>
              <w:t>2026-2013）第6.5.1条、第6.5.2条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adjustRightInd w:val="0"/>
              <w:snapToGrid w:val="0"/>
              <w:spacing w:after="0" w:line="240" w:lineRule="auto"/>
              <w:jc w:val="center"/>
              <w:rPr>
                <w:rFonts w:hint="eastAsia" w:ascii="仿宋_GB2312" w:eastAsia="仿宋_GB2312" w:hAnsiTheme="minorEastAsia"/>
                <w:sz w:val="20"/>
                <w:szCs w:val="20"/>
                <w:lang w:eastAsia="zh-CN"/>
              </w:rPr>
            </w:pPr>
            <w:r>
              <w:rPr>
                <w:rFonts w:hint="eastAsia" w:ascii="仿宋_GB2312" w:hAnsiTheme="minorEastAsia"/>
                <w:sz w:val="20"/>
                <w:szCs w:val="20"/>
              </w:rPr>
              <w:t>13.2.10.05</w:t>
            </w:r>
            <w:r>
              <w:rPr>
                <w:rFonts w:hint="eastAsia" w:ascii="仿宋_GB2312" w:hAnsiTheme="minorEastAsia"/>
                <w:sz w:val="20"/>
                <w:szCs w:val="20"/>
                <w:lang w:val="en-US" w:eastAsia="zh-CN"/>
              </w:rPr>
              <w:t>1</w:t>
            </w:r>
          </w:p>
        </w:tc>
        <w:tc>
          <w:tcPr>
            <w:tcW w:w="388"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cs="仿宋_GB2312"/>
                <w:sz w:val="20"/>
                <w:szCs w:val="20"/>
                <w:lang w:eastAsia="zh-TW" w:bidi="ar"/>
              </w:rPr>
            </w:pPr>
            <w:r>
              <w:rPr>
                <w:rFonts w:hint="eastAsia" w:ascii="仿宋_GB2312" w:eastAsia="仿宋_GB2312" w:cs="仿宋_GB2312"/>
                <w:sz w:val="20"/>
                <w:szCs w:val="20"/>
                <w:lang w:bidi="ar"/>
              </w:rPr>
              <w:t>设备设施及物料类</w:t>
            </w:r>
          </w:p>
        </w:tc>
        <w:tc>
          <w:tcPr>
            <w:tcW w:w="376"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cs="仿宋_GB2312"/>
                <w:sz w:val="20"/>
                <w:szCs w:val="20"/>
                <w:lang w:eastAsia="zh-TW" w:bidi="ar"/>
              </w:rPr>
            </w:pPr>
            <w:r>
              <w:rPr>
                <w:rFonts w:hint="eastAsia" w:ascii="仿宋_GB2312" w:eastAsia="仿宋_GB2312" w:cs="仿宋_GB2312"/>
                <w:sz w:val="20"/>
                <w:szCs w:val="20"/>
                <w:lang w:bidi="ar"/>
              </w:rPr>
              <w:t>其他设备设施类</w:t>
            </w:r>
          </w:p>
        </w:tc>
        <w:tc>
          <w:tcPr>
            <w:tcW w:w="1025" w:type="pct"/>
            <w:tcBorders>
              <w:tl2br w:val="nil"/>
              <w:tr2bl w:val="nil"/>
            </w:tcBorders>
            <w:shd w:val="clear" w:color="auto" w:fill="FFFFFF"/>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污水处理加药间缺少通风设施，未根据制备、储存、使用药剂的种类和性质，采取相应的防毒、防爆、防火措施。</w:t>
            </w:r>
          </w:p>
        </w:tc>
        <w:tc>
          <w:tcPr>
            <w:tcW w:w="1394" w:type="pct"/>
            <w:tcBorders>
              <w:tl2br w:val="nil"/>
              <w:tr2bl w:val="nil"/>
            </w:tcBorders>
            <w:shd w:val="clear" w:color="auto" w:fill="FFFFFF"/>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加药间应设通风设施，并应根据制备、储存、使用药剂的种类和性质，采取相应的防毒、防爆、防火措施。</w:t>
            </w:r>
          </w:p>
        </w:tc>
        <w:tc>
          <w:tcPr>
            <w:tcW w:w="1282" w:type="pct"/>
            <w:tcBorders>
              <w:tl2br w:val="nil"/>
              <w:tr2bl w:val="nil"/>
            </w:tcBorders>
            <w:shd w:val="clear" w:color="auto" w:fill="FFFFFF"/>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《化学工业污水处理与回用设计规范》（GB</w:t>
            </w:r>
            <w:r>
              <w:rPr>
                <w:rFonts w:hint="default" w:ascii="仿宋_GB2312" w:cs="宋体" w:hAnsiTheme="minorEastAsia"/>
                <w:kern w:val="0"/>
                <w:sz w:val="20"/>
                <w:szCs w:val="20"/>
                <w:lang w:val="en" w:bidi="ar"/>
              </w:rPr>
              <w:t xml:space="preserve"> </w:t>
            </w:r>
            <w:r>
              <w:rPr>
                <w:rFonts w:hint="eastAsia" w:ascii="仿宋_GB2312" w:cs="宋体" w:hAnsiTheme="minorEastAsia"/>
                <w:kern w:val="0"/>
                <w:sz w:val="20"/>
                <w:szCs w:val="20"/>
                <w:lang w:bidi="ar"/>
              </w:rPr>
              <w:t>50684-2011）第12.3.6条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adjustRightInd w:val="0"/>
              <w:snapToGrid w:val="0"/>
              <w:spacing w:after="0" w:line="240" w:lineRule="auto"/>
              <w:jc w:val="center"/>
              <w:rPr>
                <w:rFonts w:hint="eastAsia" w:ascii="仿宋_GB2312" w:eastAsia="仿宋_GB2312" w:hAnsiTheme="minorEastAsia"/>
                <w:sz w:val="20"/>
                <w:szCs w:val="20"/>
                <w:lang w:eastAsia="zh-CN"/>
              </w:rPr>
            </w:pPr>
            <w:r>
              <w:rPr>
                <w:rFonts w:hint="eastAsia" w:ascii="仿宋_GB2312" w:hAnsiTheme="minorEastAsia"/>
                <w:sz w:val="20"/>
                <w:szCs w:val="20"/>
              </w:rPr>
              <w:t>13.2.10.05</w:t>
            </w:r>
            <w:r>
              <w:rPr>
                <w:rFonts w:hint="eastAsia" w:ascii="仿宋_GB2312" w:hAnsiTheme="minorEastAsia"/>
                <w:sz w:val="20"/>
                <w:szCs w:val="20"/>
                <w:lang w:val="en-US" w:eastAsia="zh-CN"/>
              </w:rPr>
              <w:t>2</w:t>
            </w:r>
          </w:p>
        </w:tc>
        <w:tc>
          <w:tcPr>
            <w:tcW w:w="388"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cs="仿宋_GB2312"/>
                <w:sz w:val="20"/>
                <w:szCs w:val="20"/>
                <w:lang w:bidi="ar"/>
              </w:rPr>
              <w:t>设备设施及物料类</w:t>
            </w:r>
          </w:p>
        </w:tc>
        <w:tc>
          <w:tcPr>
            <w:tcW w:w="376"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cs="仿宋_GB2312"/>
                <w:sz w:val="20"/>
                <w:szCs w:val="20"/>
                <w:lang w:bidi="ar"/>
              </w:rPr>
              <w:t>其他设备设施类</w:t>
            </w:r>
          </w:p>
        </w:tc>
        <w:tc>
          <w:tcPr>
            <w:tcW w:w="1025" w:type="pct"/>
            <w:tcBorders>
              <w:tl2br w:val="nil"/>
              <w:tr2bl w:val="nil"/>
            </w:tcBorders>
            <w:shd w:val="clear" w:color="auto" w:fill="FFFFFF"/>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贮存易燃易爆危险废物场所未设置气体报警、火灾报警装置和导出静电的接地装置。</w:t>
            </w:r>
          </w:p>
        </w:tc>
        <w:tc>
          <w:tcPr>
            <w:tcW w:w="1394" w:type="pct"/>
            <w:tcBorders>
              <w:tl2br w:val="nil"/>
              <w:tr2bl w:val="nil"/>
            </w:tcBorders>
            <w:shd w:val="clear" w:color="auto" w:fill="FFFFFF"/>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贮存易燃易爆危险废物应配置有机气体报警、火灾报警装置和导出静电的接地装置。</w:t>
            </w:r>
          </w:p>
        </w:tc>
        <w:tc>
          <w:tcPr>
            <w:tcW w:w="1282" w:type="pct"/>
            <w:tcBorders>
              <w:tl2br w:val="nil"/>
              <w:tr2bl w:val="nil"/>
            </w:tcBorders>
            <w:shd w:val="clear" w:color="auto" w:fill="FFFFFF"/>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《危险废物收集 贮存 运输技术规范》（HJ 2025-2012）第6.5条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adjustRightInd w:val="0"/>
              <w:snapToGrid w:val="0"/>
              <w:spacing w:after="0" w:line="240" w:lineRule="auto"/>
              <w:jc w:val="center"/>
              <w:rPr>
                <w:rFonts w:hint="eastAsia" w:ascii="仿宋_GB2312" w:eastAsia="仿宋_GB2312" w:hAnsiTheme="minorEastAsia"/>
                <w:sz w:val="20"/>
                <w:szCs w:val="20"/>
                <w:lang w:eastAsia="zh-CN"/>
              </w:rPr>
            </w:pPr>
            <w:r>
              <w:rPr>
                <w:rFonts w:hint="eastAsia" w:ascii="仿宋_GB2312" w:hAnsiTheme="minorEastAsia"/>
                <w:sz w:val="20"/>
                <w:szCs w:val="20"/>
              </w:rPr>
              <w:t>13.2.10.05</w:t>
            </w:r>
            <w:r>
              <w:rPr>
                <w:rFonts w:hint="eastAsia" w:ascii="仿宋_GB2312" w:hAnsiTheme="minorEastAsia"/>
                <w:sz w:val="20"/>
                <w:szCs w:val="20"/>
                <w:lang w:val="en-US" w:eastAsia="zh-CN"/>
              </w:rPr>
              <w:t>3</w:t>
            </w:r>
          </w:p>
        </w:tc>
        <w:tc>
          <w:tcPr>
            <w:tcW w:w="388"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cs="Times New Roman" w:hAnsiTheme="minorEastAsia"/>
                <w:sz w:val="20"/>
                <w:szCs w:val="20"/>
                <w:lang w:eastAsia="zh-TW"/>
              </w:rPr>
            </w:pPr>
            <w:r>
              <w:rPr>
                <w:rFonts w:hint="eastAsia" w:ascii="仿宋_GB2312" w:eastAsia="仿宋_GB2312" w:cs="仿宋_GB2312"/>
                <w:sz w:val="20"/>
                <w:szCs w:val="20"/>
                <w:lang w:bidi="ar"/>
              </w:rPr>
              <w:t>设备设施及物料类</w:t>
            </w:r>
          </w:p>
        </w:tc>
        <w:tc>
          <w:tcPr>
            <w:tcW w:w="376"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cs="Times New Roman" w:hAnsiTheme="minorEastAsia"/>
                <w:sz w:val="20"/>
                <w:szCs w:val="20"/>
                <w:lang w:eastAsia="zh-TW"/>
              </w:rPr>
            </w:pPr>
            <w:r>
              <w:rPr>
                <w:rFonts w:hint="eastAsia" w:ascii="仿宋_GB2312" w:eastAsia="仿宋_GB2312" w:cs="仿宋_GB2312"/>
                <w:sz w:val="20"/>
                <w:szCs w:val="20"/>
                <w:lang w:bidi="ar"/>
              </w:rPr>
              <w:t>其他设备设施类</w:t>
            </w:r>
          </w:p>
        </w:tc>
        <w:tc>
          <w:tcPr>
            <w:tcW w:w="1025" w:type="pct"/>
            <w:tcBorders>
              <w:tl2br w:val="nil"/>
              <w:tr2bl w:val="nil"/>
            </w:tcBorders>
            <w:shd w:val="clear" w:color="auto" w:fill="FFFFFF"/>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自动化立体库未设置防止人员进入堆垛机操作范围的隔离措施。</w:t>
            </w:r>
          </w:p>
        </w:tc>
        <w:tc>
          <w:tcPr>
            <w:tcW w:w="1394" w:type="pct"/>
            <w:tcBorders>
              <w:tl2br w:val="nil"/>
              <w:tr2bl w:val="nil"/>
            </w:tcBorders>
            <w:shd w:val="clear" w:color="auto" w:fill="FFFFFF"/>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自动化立体库应设置防止人员进入堆垛机操作范围的隔离措施。</w:t>
            </w:r>
          </w:p>
        </w:tc>
        <w:tc>
          <w:tcPr>
            <w:tcW w:w="1282" w:type="pct"/>
            <w:tcBorders>
              <w:tl2br w:val="nil"/>
              <w:tr2bl w:val="nil"/>
            </w:tcBorders>
            <w:shd w:val="clear" w:color="auto" w:fill="FFFFFF"/>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《医药工业仓储工程设计规范》（GB</w:t>
            </w:r>
            <w:r>
              <w:rPr>
                <w:rFonts w:hint="default" w:ascii="仿宋_GB2312" w:cs="宋体" w:hAnsiTheme="minorEastAsia"/>
                <w:kern w:val="0"/>
                <w:sz w:val="20"/>
                <w:szCs w:val="20"/>
                <w:lang w:val="en" w:bidi="ar"/>
              </w:rPr>
              <w:t xml:space="preserve"> </w:t>
            </w:r>
            <w:r>
              <w:rPr>
                <w:rFonts w:hint="eastAsia" w:ascii="仿宋_GB2312" w:cs="宋体" w:hAnsiTheme="minorEastAsia"/>
                <w:kern w:val="0"/>
                <w:sz w:val="20"/>
                <w:szCs w:val="20"/>
                <w:lang w:bidi="ar"/>
              </w:rPr>
              <w:t>51073-2014）第12.3.6条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adjustRightInd w:val="0"/>
              <w:snapToGrid w:val="0"/>
              <w:spacing w:after="0" w:line="240" w:lineRule="auto"/>
              <w:jc w:val="center"/>
              <w:rPr>
                <w:rFonts w:hint="eastAsia" w:ascii="仿宋_GB2312" w:eastAsia="仿宋_GB2312" w:hAnsiTheme="minorEastAsia"/>
                <w:sz w:val="20"/>
                <w:szCs w:val="20"/>
                <w:lang w:eastAsia="zh-CN"/>
              </w:rPr>
            </w:pPr>
            <w:r>
              <w:rPr>
                <w:rFonts w:hint="eastAsia" w:ascii="仿宋_GB2312" w:hAnsiTheme="minorEastAsia"/>
                <w:sz w:val="20"/>
                <w:szCs w:val="20"/>
              </w:rPr>
              <w:t>13.2.10.05</w:t>
            </w:r>
            <w:r>
              <w:rPr>
                <w:rFonts w:hint="eastAsia" w:ascii="仿宋_GB2312" w:hAnsiTheme="minorEastAsia"/>
                <w:sz w:val="20"/>
                <w:szCs w:val="20"/>
                <w:lang w:val="en-US" w:eastAsia="zh-CN"/>
              </w:rPr>
              <w:t>4</w:t>
            </w:r>
          </w:p>
        </w:tc>
        <w:tc>
          <w:tcPr>
            <w:tcW w:w="388"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hAnsi="仿宋_GB2312" w:eastAsia="仿宋_GB2312" w:cs="仿宋_GB2312"/>
                <w:color w:val="000000" w:themeColor="text1"/>
                <w:sz w:val="20"/>
                <w:szCs w:val="20"/>
                <w:lang w:eastAsia="zh-TW" w:bidi="ar"/>
                <w14:textFill>
                  <w14:solidFill>
                    <w14:schemeClr w14:val="tx1"/>
                  </w14:solidFill>
                </w14:textFill>
              </w:rPr>
            </w:pPr>
            <w:r>
              <w:rPr>
                <w:rFonts w:hint="eastAsia" w:ascii="仿宋_GB2312" w:eastAsia="仿宋_GB2312" w:cs="仿宋_GB2312"/>
                <w:sz w:val="20"/>
                <w:szCs w:val="20"/>
                <w:lang w:bidi="ar"/>
              </w:rPr>
              <w:t>设备设施及物料类</w:t>
            </w:r>
          </w:p>
        </w:tc>
        <w:tc>
          <w:tcPr>
            <w:tcW w:w="376"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hAnsi="仿宋_GB2312" w:eastAsia="仿宋_GB2312" w:cs="仿宋_GB2312"/>
                <w:color w:val="000000" w:themeColor="text1"/>
                <w:sz w:val="20"/>
                <w:szCs w:val="20"/>
                <w:lang w:eastAsia="zh-TW" w:bidi="ar"/>
                <w14:textFill>
                  <w14:solidFill>
                    <w14:schemeClr w14:val="tx1"/>
                  </w14:solidFill>
                </w14:textFill>
              </w:rPr>
            </w:pPr>
            <w:r>
              <w:rPr>
                <w:rFonts w:hint="eastAsia" w:ascii="仿宋_GB2312" w:eastAsia="仿宋_GB2312" w:cs="仿宋_GB2312"/>
                <w:sz w:val="20"/>
                <w:szCs w:val="20"/>
                <w:lang w:bidi="ar"/>
              </w:rPr>
              <w:t>其他设备设施类</w:t>
            </w:r>
          </w:p>
        </w:tc>
        <w:tc>
          <w:tcPr>
            <w:tcW w:w="1025" w:type="pct"/>
            <w:tcBorders>
              <w:tl2br w:val="nil"/>
              <w:tr2bl w:val="nil"/>
            </w:tcBorders>
            <w:shd w:val="clear" w:color="auto" w:fill="FFFFFF"/>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冷库绝热材料燃烧性能不足。</w:t>
            </w:r>
          </w:p>
        </w:tc>
        <w:tc>
          <w:tcPr>
            <w:tcW w:w="1394" w:type="pct"/>
            <w:tcBorders>
              <w:tl2br w:val="nil"/>
              <w:tr2bl w:val="nil"/>
            </w:tcBorders>
            <w:shd w:val="clear" w:color="auto" w:fill="FFFFFF"/>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冷库、低温环境生产场所采用泡沫塑料作内绝热层时，绝热层的燃烧性能不应低于B1级，且绝热层的表面应采用不燃材料做防护层。</w:t>
            </w:r>
          </w:p>
        </w:tc>
        <w:tc>
          <w:tcPr>
            <w:tcW w:w="1282" w:type="pct"/>
            <w:tcBorders>
              <w:tl2br w:val="nil"/>
              <w:tr2bl w:val="nil"/>
            </w:tcBorders>
            <w:shd w:val="clear" w:color="auto" w:fill="FFFFFF"/>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《建筑设计防火规范（2018年版）》（GB</w:t>
            </w:r>
            <w:r>
              <w:rPr>
                <w:rFonts w:hint="default" w:ascii="仿宋_GB2312" w:cs="宋体" w:hAnsiTheme="minorEastAsia"/>
                <w:kern w:val="0"/>
                <w:sz w:val="20"/>
                <w:szCs w:val="20"/>
                <w:lang w:val="en" w:bidi="ar"/>
              </w:rPr>
              <w:t xml:space="preserve"> </w:t>
            </w:r>
            <w:r>
              <w:rPr>
                <w:rFonts w:hint="eastAsia" w:ascii="仿宋_GB2312" w:cs="宋体" w:hAnsiTheme="minorEastAsia"/>
                <w:kern w:val="0"/>
                <w:sz w:val="20"/>
                <w:szCs w:val="20"/>
                <w:lang w:bidi="ar"/>
              </w:rPr>
              <w:t>50016-2014）第6.2.8条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adjustRightInd w:val="0"/>
              <w:snapToGrid w:val="0"/>
              <w:spacing w:after="0" w:line="240" w:lineRule="auto"/>
              <w:jc w:val="center"/>
              <w:rPr>
                <w:rFonts w:hint="eastAsia" w:ascii="仿宋_GB2312" w:eastAsia="仿宋_GB2312" w:hAnsiTheme="minorEastAsia"/>
                <w:sz w:val="20"/>
                <w:szCs w:val="20"/>
                <w:lang w:eastAsia="zh-CN"/>
              </w:rPr>
            </w:pPr>
            <w:r>
              <w:rPr>
                <w:rFonts w:hint="eastAsia" w:ascii="仿宋_GB2312" w:hAnsiTheme="minorEastAsia"/>
                <w:sz w:val="20"/>
                <w:szCs w:val="20"/>
              </w:rPr>
              <w:t>13.2.10.05</w:t>
            </w:r>
            <w:r>
              <w:rPr>
                <w:rFonts w:hint="eastAsia" w:ascii="仿宋_GB2312" w:hAnsiTheme="minorEastAsia"/>
                <w:sz w:val="20"/>
                <w:szCs w:val="20"/>
                <w:lang w:val="en-US" w:eastAsia="zh-CN"/>
              </w:rPr>
              <w:t>5</w:t>
            </w:r>
          </w:p>
        </w:tc>
        <w:tc>
          <w:tcPr>
            <w:tcW w:w="388"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hAnsi="仿宋_GB2312" w:eastAsia="仿宋_GB2312" w:cs="仿宋_GB2312"/>
                <w:color w:val="000000" w:themeColor="text1"/>
                <w:sz w:val="20"/>
                <w:szCs w:val="20"/>
                <w:lang w:eastAsia="zh-TW" w:bidi="ar"/>
                <w14:textFill>
                  <w14:solidFill>
                    <w14:schemeClr w14:val="tx1"/>
                  </w14:solidFill>
                </w14:textFill>
              </w:rPr>
            </w:pPr>
            <w:r>
              <w:rPr>
                <w:rFonts w:hint="eastAsia" w:ascii="仿宋_GB2312" w:eastAsia="仿宋_GB2312" w:cs="仿宋_GB2312"/>
                <w:sz w:val="20"/>
                <w:szCs w:val="20"/>
                <w:lang w:bidi="ar"/>
              </w:rPr>
              <w:t>设备设施及物料类</w:t>
            </w:r>
          </w:p>
        </w:tc>
        <w:tc>
          <w:tcPr>
            <w:tcW w:w="376"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hAnsi="仿宋_GB2312" w:eastAsia="仿宋_GB2312" w:cs="仿宋_GB2312"/>
                <w:color w:val="000000" w:themeColor="text1"/>
                <w:sz w:val="20"/>
                <w:szCs w:val="20"/>
                <w:lang w:eastAsia="zh-TW" w:bidi="ar"/>
                <w14:textFill>
                  <w14:solidFill>
                    <w14:schemeClr w14:val="tx1"/>
                  </w14:solidFill>
                </w14:textFill>
              </w:rPr>
            </w:pPr>
            <w:r>
              <w:rPr>
                <w:rFonts w:hint="eastAsia" w:ascii="仿宋_GB2312" w:eastAsia="仿宋_GB2312" w:cs="仿宋_GB2312"/>
                <w:sz w:val="20"/>
                <w:szCs w:val="20"/>
                <w:lang w:bidi="ar"/>
              </w:rPr>
              <w:t>其他设备设施类</w:t>
            </w:r>
          </w:p>
        </w:tc>
        <w:tc>
          <w:tcPr>
            <w:tcW w:w="1025" w:type="pct"/>
            <w:tcBorders>
              <w:tl2br w:val="nil"/>
              <w:tr2bl w:val="nil"/>
            </w:tcBorders>
            <w:shd w:val="clear" w:color="auto" w:fill="FFFFFF"/>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金属面绝热夹芯板上线槽、接线盒未采用不燃材料。</w:t>
            </w:r>
          </w:p>
        </w:tc>
        <w:tc>
          <w:tcPr>
            <w:tcW w:w="1394" w:type="pct"/>
            <w:tcBorders>
              <w:tl2br w:val="nil"/>
              <w:tr2bl w:val="nil"/>
            </w:tcBorders>
            <w:shd w:val="clear" w:color="auto" w:fill="FFFFFF"/>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金属面绝热夹芯板上线槽、接线盒应采用不燃材料且明装，应与夹芯板的面板连接牢固。</w:t>
            </w:r>
          </w:p>
        </w:tc>
        <w:tc>
          <w:tcPr>
            <w:tcW w:w="1282" w:type="pct"/>
            <w:tcBorders>
              <w:tl2br w:val="nil"/>
              <w:tr2bl w:val="nil"/>
            </w:tcBorders>
            <w:shd w:val="clear" w:color="auto" w:fill="FFFFFF"/>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《冷库施工及验收标准》 （GB</w:t>
            </w:r>
            <w:r>
              <w:rPr>
                <w:rFonts w:hint="default" w:ascii="仿宋_GB2312" w:cs="宋体" w:hAnsiTheme="minorEastAsia"/>
                <w:kern w:val="0"/>
                <w:sz w:val="20"/>
                <w:szCs w:val="20"/>
                <w:lang w:val="en" w:bidi="ar"/>
              </w:rPr>
              <w:t xml:space="preserve"> </w:t>
            </w:r>
            <w:r>
              <w:rPr>
                <w:rFonts w:hint="eastAsia" w:ascii="仿宋_GB2312" w:cs="宋体" w:hAnsiTheme="minorEastAsia"/>
                <w:kern w:val="0"/>
                <w:sz w:val="20"/>
                <w:szCs w:val="20"/>
                <w:lang w:bidi="ar"/>
              </w:rPr>
              <w:t>51440-2021）第5.5.14条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adjustRightInd w:val="0"/>
              <w:snapToGrid w:val="0"/>
              <w:spacing w:after="0" w:line="240" w:lineRule="auto"/>
              <w:jc w:val="center"/>
              <w:rPr>
                <w:rFonts w:hint="eastAsia" w:ascii="仿宋_GB2312" w:eastAsia="仿宋_GB2312" w:hAnsiTheme="minorEastAsia"/>
                <w:sz w:val="20"/>
                <w:szCs w:val="20"/>
                <w:lang w:eastAsia="zh-CN"/>
              </w:rPr>
            </w:pPr>
            <w:r>
              <w:rPr>
                <w:rFonts w:hint="eastAsia" w:ascii="仿宋_GB2312" w:hAnsiTheme="minorEastAsia"/>
                <w:sz w:val="20"/>
                <w:szCs w:val="20"/>
              </w:rPr>
              <w:t>13.2.10.05</w:t>
            </w:r>
            <w:r>
              <w:rPr>
                <w:rFonts w:hint="eastAsia" w:ascii="仿宋_GB2312" w:hAnsiTheme="minorEastAsia"/>
                <w:sz w:val="20"/>
                <w:szCs w:val="20"/>
                <w:lang w:val="en-US" w:eastAsia="zh-CN"/>
              </w:rPr>
              <w:t>6</w:t>
            </w:r>
          </w:p>
        </w:tc>
        <w:tc>
          <w:tcPr>
            <w:tcW w:w="388"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hAnsi="仿宋_GB2312" w:eastAsia="仿宋_GB2312" w:cs="仿宋_GB2312"/>
                <w:color w:val="000000" w:themeColor="text1"/>
                <w:sz w:val="20"/>
                <w:szCs w:val="20"/>
                <w:lang w:eastAsia="zh-TW" w:bidi="ar"/>
                <w14:textFill>
                  <w14:solidFill>
                    <w14:schemeClr w14:val="tx1"/>
                  </w14:solidFill>
                </w14:textFill>
              </w:rPr>
            </w:pPr>
            <w:r>
              <w:rPr>
                <w:rFonts w:hint="eastAsia" w:ascii="仿宋_GB2312" w:eastAsia="仿宋_GB2312" w:cs="仿宋_GB2312"/>
                <w:sz w:val="20"/>
                <w:szCs w:val="20"/>
                <w:lang w:bidi="ar"/>
              </w:rPr>
              <w:t>设备设施及物料类</w:t>
            </w:r>
          </w:p>
        </w:tc>
        <w:tc>
          <w:tcPr>
            <w:tcW w:w="376"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hAnsi="仿宋_GB2312" w:eastAsia="仿宋_GB2312" w:cs="仿宋_GB2312"/>
                <w:color w:val="000000" w:themeColor="text1"/>
                <w:sz w:val="20"/>
                <w:szCs w:val="20"/>
                <w:lang w:eastAsia="zh-TW" w:bidi="ar"/>
                <w14:textFill>
                  <w14:solidFill>
                    <w14:schemeClr w14:val="tx1"/>
                  </w14:solidFill>
                </w14:textFill>
              </w:rPr>
            </w:pPr>
            <w:r>
              <w:rPr>
                <w:rFonts w:hint="eastAsia" w:ascii="仿宋_GB2312" w:eastAsia="仿宋_GB2312" w:cs="仿宋_GB2312"/>
                <w:sz w:val="20"/>
                <w:szCs w:val="20"/>
                <w:lang w:bidi="ar"/>
              </w:rPr>
              <w:t>其他设备设施类</w:t>
            </w:r>
          </w:p>
        </w:tc>
        <w:tc>
          <w:tcPr>
            <w:tcW w:w="1025" w:type="pct"/>
            <w:tcBorders>
              <w:tl2br w:val="nil"/>
              <w:tr2bl w:val="nil"/>
            </w:tcBorders>
            <w:shd w:val="clear" w:color="auto" w:fill="FFFFFF"/>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冷冻库库门缺少防冻结</w:t>
            </w:r>
            <w:r>
              <w:rPr>
                <w:rFonts w:hint="eastAsia" w:ascii="仿宋_GB2312" w:eastAsia="仿宋_GB2312" w:hAnsiTheme="minorEastAsia"/>
                <w:sz w:val="20"/>
                <w:szCs w:val="20"/>
                <w:lang w:eastAsia="zh-CN" w:bidi="ar"/>
              </w:rPr>
              <w:t>装置</w:t>
            </w:r>
            <w:r>
              <w:rPr>
                <w:rFonts w:hint="eastAsia" w:ascii="仿宋_GB2312" w:eastAsia="仿宋_GB2312" w:hAnsiTheme="minorEastAsia"/>
                <w:sz w:val="20"/>
                <w:szCs w:val="20"/>
                <w:lang w:bidi="ar"/>
              </w:rPr>
              <w:t>。</w:t>
            </w:r>
          </w:p>
        </w:tc>
        <w:tc>
          <w:tcPr>
            <w:tcW w:w="1394" w:type="pct"/>
            <w:tcBorders>
              <w:tl2br w:val="nil"/>
              <w:tr2bl w:val="nil"/>
            </w:tcBorders>
            <w:shd w:val="clear" w:color="auto" w:fill="FFFFFF"/>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对于D级、J级冷库和M级冷库,门或门框上应设有防止凝露或冻结的安全电压的电加热装置。</w:t>
            </w:r>
          </w:p>
        </w:tc>
        <w:tc>
          <w:tcPr>
            <w:tcW w:w="1282" w:type="pct"/>
            <w:tcBorders>
              <w:tl2br w:val="nil"/>
              <w:tr2bl w:val="nil"/>
            </w:tcBorders>
            <w:shd w:val="clear" w:color="auto" w:fill="FFFFFF"/>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《室内装配式冷库》（SB/T</w:t>
            </w:r>
            <w:r>
              <w:rPr>
                <w:rFonts w:hint="default" w:ascii="仿宋_GB2312" w:cs="宋体" w:hAnsiTheme="minorEastAsia"/>
                <w:kern w:val="0"/>
                <w:sz w:val="20"/>
                <w:szCs w:val="20"/>
                <w:lang w:val="en" w:bidi="ar"/>
              </w:rPr>
              <w:t xml:space="preserve"> </w:t>
            </w:r>
            <w:r>
              <w:rPr>
                <w:rFonts w:hint="eastAsia" w:ascii="仿宋_GB2312" w:cs="宋体" w:hAnsiTheme="minorEastAsia"/>
                <w:kern w:val="0"/>
                <w:sz w:val="20"/>
                <w:szCs w:val="20"/>
                <w:lang w:bidi="ar"/>
              </w:rPr>
              <w:t>10797-2012）第5.3.5条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adjustRightInd w:val="0"/>
              <w:snapToGrid w:val="0"/>
              <w:spacing w:after="0" w:line="240" w:lineRule="auto"/>
              <w:jc w:val="center"/>
              <w:rPr>
                <w:rFonts w:hint="eastAsia" w:ascii="仿宋_GB2312" w:eastAsia="仿宋_GB2312" w:hAnsiTheme="minorEastAsia"/>
                <w:sz w:val="20"/>
                <w:szCs w:val="20"/>
                <w:lang w:eastAsia="zh-CN"/>
              </w:rPr>
            </w:pPr>
            <w:r>
              <w:rPr>
                <w:rFonts w:hint="eastAsia" w:ascii="仿宋_GB2312" w:hAnsiTheme="minorEastAsia"/>
                <w:sz w:val="20"/>
                <w:szCs w:val="20"/>
              </w:rPr>
              <w:t>13.2.10.05</w:t>
            </w:r>
            <w:r>
              <w:rPr>
                <w:rFonts w:hint="eastAsia" w:ascii="仿宋_GB2312" w:hAnsiTheme="minorEastAsia"/>
                <w:sz w:val="20"/>
                <w:szCs w:val="20"/>
                <w:lang w:val="en-US" w:eastAsia="zh-CN"/>
              </w:rPr>
              <w:t>7</w:t>
            </w:r>
          </w:p>
        </w:tc>
        <w:tc>
          <w:tcPr>
            <w:tcW w:w="388"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hAnsi="仿宋_GB2312" w:eastAsia="仿宋_GB2312" w:cs="仿宋_GB2312"/>
                <w:color w:val="000000" w:themeColor="text1"/>
                <w:sz w:val="20"/>
                <w:szCs w:val="20"/>
                <w:lang w:eastAsia="zh-TW" w:bidi="ar"/>
                <w14:textFill>
                  <w14:solidFill>
                    <w14:schemeClr w14:val="tx1"/>
                  </w14:solidFill>
                </w14:textFill>
              </w:rPr>
            </w:pPr>
            <w:r>
              <w:rPr>
                <w:rFonts w:hint="eastAsia" w:ascii="仿宋_GB2312" w:eastAsia="仿宋_GB2312" w:cs="仿宋_GB2312"/>
                <w:sz w:val="20"/>
                <w:szCs w:val="20"/>
                <w:lang w:bidi="ar"/>
              </w:rPr>
              <w:t>设备设施及物料类</w:t>
            </w:r>
          </w:p>
        </w:tc>
        <w:tc>
          <w:tcPr>
            <w:tcW w:w="376"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hAnsi="仿宋_GB2312" w:eastAsia="仿宋_GB2312" w:cs="仿宋_GB2312"/>
                <w:color w:val="000000" w:themeColor="text1"/>
                <w:sz w:val="20"/>
                <w:szCs w:val="20"/>
                <w:lang w:eastAsia="zh-TW" w:bidi="ar"/>
                <w14:textFill>
                  <w14:solidFill>
                    <w14:schemeClr w14:val="tx1"/>
                  </w14:solidFill>
                </w14:textFill>
              </w:rPr>
            </w:pPr>
            <w:r>
              <w:rPr>
                <w:rFonts w:hint="eastAsia" w:ascii="仿宋_GB2312" w:eastAsia="仿宋_GB2312" w:cs="仿宋_GB2312"/>
                <w:sz w:val="20"/>
                <w:szCs w:val="20"/>
                <w:lang w:bidi="ar"/>
              </w:rPr>
              <w:t>其他设备设施类</w:t>
            </w:r>
          </w:p>
        </w:tc>
        <w:tc>
          <w:tcPr>
            <w:tcW w:w="1025" w:type="pct"/>
            <w:tcBorders>
              <w:tl2br w:val="nil"/>
              <w:tr2bl w:val="nil"/>
            </w:tcBorders>
            <w:shd w:val="clear" w:color="auto" w:fill="FFFFFF"/>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燃气储罐</w:t>
            </w:r>
            <w:r>
              <w:rPr>
                <w:rFonts w:hint="eastAsia" w:ascii="仿宋_GB2312" w:eastAsia="仿宋_GB2312" w:hAnsiTheme="minorEastAsia"/>
                <w:sz w:val="20"/>
                <w:szCs w:val="20"/>
                <w:lang w:eastAsia="zh-CN" w:bidi="ar"/>
              </w:rPr>
              <w:t>未</w:t>
            </w:r>
            <w:r>
              <w:rPr>
                <w:rFonts w:hint="eastAsia" w:ascii="仿宋_GB2312" w:eastAsia="仿宋_GB2312" w:hAnsiTheme="minorEastAsia"/>
                <w:sz w:val="20"/>
                <w:szCs w:val="20"/>
                <w:lang w:bidi="ar"/>
              </w:rPr>
              <w:t>设置压力、温度、罐容或液位显示等监测装置，</w:t>
            </w:r>
            <w:r>
              <w:rPr>
                <w:rFonts w:hint="eastAsia" w:ascii="仿宋_GB2312" w:eastAsia="仿宋_GB2312" w:hAnsiTheme="minorEastAsia"/>
                <w:sz w:val="20"/>
                <w:szCs w:val="20"/>
                <w:lang w:eastAsia="zh-CN" w:bidi="ar"/>
              </w:rPr>
              <w:t>不</w:t>
            </w:r>
            <w:r>
              <w:rPr>
                <w:rFonts w:hint="eastAsia" w:ascii="仿宋_GB2312" w:eastAsia="仿宋_GB2312" w:hAnsiTheme="minorEastAsia"/>
                <w:sz w:val="20"/>
                <w:szCs w:val="20"/>
                <w:lang w:bidi="ar"/>
              </w:rPr>
              <w:t>具有超限报警功能。</w:t>
            </w:r>
          </w:p>
        </w:tc>
        <w:tc>
          <w:tcPr>
            <w:tcW w:w="1394" w:type="pct"/>
            <w:tcBorders>
              <w:tl2br w:val="nil"/>
              <w:tr2bl w:val="nil"/>
            </w:tcBorders>
            <w:shd w:val="clear" w:color="auto" w:fill="FFFFFF"/>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燃气储罐应设置压力、温度、罐容或液位显示等监测装置，并应具有超限报警功能。</w:t>
            </w:r>
          </w:p>
        </w:tc>
        <w:tc>
          <w:tcPr>
            <w:tcW w:w="1282" w:type="pct"/>
            <w:tcBorders>
              <w:tl2br w:val="nil"/>
              <w:tr2bl w:val="nil"/>
            </w:tcBorders>
            <w:shd w:val="clear" w:color="auto" w:fill="FFFFFF"/>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《燃气工程项目规范》（GB</w:t>
            </w:r>
            <w:r>
              <w:rPr>
                <w:rFonts w:hint="default" w:ascii="仿宋_GB2312" w:cs="宋体" w:hAnsiTheme="minorEastAsia"/>
                <w:kern w:val="0"/>
                <w:sz w:val="20"/>
                <w:szCs w:val="20"/>
                <w:lang w:val="en" w:bidi="ar"/>
              </w:rPr>
              <w:t xml:space="preserve"> </w:t>
            </w:r>
            <w:r>
              <w:rPr>
                <w:rFonts w:hint="eastAsia" w:ascii="仿宋_GB2312" w:cs="宋体" w:hAnsiTheme="minorEastAsia"/>
                <w:kern w:val="0"/>
                <w:sz w:val="20"/>
                <w:szCs w:val="20"/>
                <w:lang w:bidi="ar"/>
              </w:rPr>
              <w:t>55009-2021）第4.3.2条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default" w:ascii="仿宋_GB2312" w:eastAsia="仿宋_GB2312" w:hAnsiTheme="minorEastAsia"/>
                <w:sz w:val="20"/>
                <w:szCs w:val="20"/>
                <w:lang w:val="en-US" w:eastAsia="zh-CN"/>
              </w:rPr>
            </w:pPr>
            <w:r>
              <w:rPr>
                <w:rFonts w:hint="eastAsia" w:ascii="仿宋_GB2312" w:hAnsiTheme="minorEastAsia"/>
                <w:sz w:val="20"/>
                <w:szCs w:val="20"/>
              </w:rPr>
              <w:t>13.2.12.0</w:t>
            </w:r>
            <w:r>
              <w:rPr>
                <w:rFonts w:hint="eastAsia" w:ascii="仿宋_GB2312" w:hAnsiTheme="minorEastAsia"/>
                <w:sz w:val="20"/>
                <w:szCs w:val="20"/>
                <w:lang w:val="en-US" w:eastAsia="zh-CN"/>
              </w:rPr>
              <w:t>58</w:t>
            </w:r>
          </w:p>
        </w:tc>
        <w:tc>
          <w:tcPr>
            <w:tcW w:w="388"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r>
              <w:rPr>
                <w:rFonts w:hint="eastAsia" w:ascii="仿宋_GB2312" w:eastAsia="仿宋_GB2312" w:hAnsiTheme="minorEastAsia"/>
                <w:sz w:val="20"/>
                <w:szCs w:val="20"/>
                <w:lang w:eastAsia="zh-TW" w:bidi="ar"/>
              </w:rPr>
              <w:t>设备设施及物料类</w:t>
            </w:r>
          </w:p>
        </w:tc>
        <w:tc>
          <w:tcPr>
            <w:tcW w:w="376"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hAnsi="等线" w:eastAsia="仿宋_GB2312"/>
                <w:sz w:val="20"/>
                <w:szCs w:val="20"/>
                <w:lang w:eastAsia="zh-TW"/>
              </w:rPr>
            </w:pPr>
            <w:r>
              <w:rPr>
                <w:rFonts w:hint="eastAsia" w:ascii="仿宋_GB2312" w:hAnsi="等线" w:eastAsia="仿宋_GB2312"/>
                <w:sz w:val="20"/>
                <w:szCs w:val="20"/>
                <w:lang w:eastAsia="zh-TW"/>
              </w:rPr>
              <w:t>危险化学品类</w:t>
            </w:r>
          </w:p>
        </w:tc>
        <w:tc>
          <w:tcPr>
            <w:tcW w:w="1025"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hAnsi="等线" w:eastAsia="仿宋_GB2312"/>
                <w:sz w:val="20"/>
                <w:szCs w:val="20"/>
              </w:rPr>
            </w:pPr>
            <w:r>
              <w:rPr>
                <w:rFonts w:hint="eastAsia" w:ascii="仿宋_GB2312" w:hAnsi="等线" w:eastAsia="仿宋_GB2312"/>
                <w:sz w:val="20"/>
                <w:szCs w:val="20"/>
              </w:rPr>
              <w:t>危险化学品未储存在专用仓库、专用场地、专用储存室、气瓶间或储存专柜等专门的储存场所内，露天存放，或未由专人负责管理。</w:t>
            </w:r>
          </w:p>
        </w:tc>
        <w:tc>
          <w:tcPr>
            <w:tcW w:w="1394" w:type="pct"/>
            <w:tcBorders>
              <w:tl2br w:val="nil"/>
              <w:tr2bl w:val="nil"/>
            </w:tcBorders>
            <w:vAlign w:val="center"/>
          </w:tcPr>
          <w:p>
            <w:pPr>
              <w:adjustRightInd w:val="0"/>
              <w:snapToGrid w:val="0"/>
              <w:spacing w:after="0" w:line="240" w:lineRule="auto"/>
              <w:jc w:val="left"/>
              <w:rPr>
                <w:rFonts w:hint="eastAsia" w:ascii="仿宋_GB2312" w:eastAsia="仿宋_GB2312" w:cs="宋体" w:hAnsiTheme="minorEastAsia"/>
                <w:kern w:val="0"/>
                <w:sz w:val="20"/>
                <w:szCs w:val="20"/>
                <w:lang w:eastAsia="zh-CN" w:bidi="ar"/>
              </w:rPr>
            </w:pPr>
            <w:r>
              <w:rPr>
                <w:rFonts w:hint="eastAsia" w:ascii="仿宋_GB2312" w:cs="宋体" w:hAnsiTheme="minorEastAsia"/>
                <w:kern w:val="0"/>
                <w:sz w:val="20"/>
                <w:szCs w:val="20"/>
                <w:lang w:bidi="ar"/>
              </w:rPr>
              <w:t>危险化学品应当储存在专用仓库、专用场地或者专用储存室、储存专柜内，并由专人负责管理</w:t>
            </w:r>
            <w:r>
              <w:rPr>
                <w:rFonts w:hint="eastAsia" w:ascii="仿宋_GB2312" w:cs="宋体" w:hAnsiTheme="minorEastAsia"/>
                <w:kern w:val="0"/>
                <w:sz w:val="20"/>
                <w:szCs w:val="20"/>
                <w:lang w:eastAsia="zh-CN" w:bidi="ar"/>
              </w:rPr>
              <w:t>。</w:t>
            </w:r>
          </w:p>
        </w:tc>
        <w:tc>
          <w:tcPr>
            <w:tcW w:w="1282" w:type="pct"/>
            <w:tcBorders>
              <w:tl2br w:val="nil"/>
              <w:tr2bl w:val="nil"/>
            </w:tcBorders>
            <w:shd w:val="clear" w:color="auto" w:fill="FFFFFF"/>
            <w:vAlign w:val="center"/>
          </w:tcPr>
          <w:p>
            <w:pPr>
              <w:pStyle w:val="10"/>
              <w:widowControl w:val="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《中华人民共和国危险化学品安全法》第三十四条、第四十一条；</w:t>
            </w:r>
          </w:p>
          <w:p>
            <w:pPr>
              <w:pStyle w:val="10"/>
              <w:widowControl w:val="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《危险化学品安全管理条例》第二十四条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default" w:ascii="仿宋_GB2312" w:eastAsia="仿宋_GB2312" w:hAnsiTheme="minorEastAsia"/>
                <w:sz w:val="20"/>
                <w:szCs w:val="20"/>
                <w:lang w:val="en-US" w:eastAsia="zh-CN"/>
              </w:rPr>
            </w:pPr>
            <w:r>
              <w:rPr>
                <w:rFonts w:hint="eastAsia" w:ascii="仿宋_GB2312" w:hAnsiTheme="minorEastAsia"/>
                <w:sz w:val="20"/>
                <w:szCs w:val="20"/>
              </w:rPr>
              <w:t>13.2.12.0</w:t>
            </w:r>
            <w:r>
              <w:rPr>
                <w:rFonts w:hint="eastAsia" w:ascii="仿宋_GB2312" w:hAnsiTheme="minorEastAsia"/>
                <w:sz w:val="20"/>
                <w:szCs w:val="20"/>
                <w:lang w:val="en-US" w:eastAsia="zh-CN"/>
              </w:rPr>
              <w:t>59</w:t>
            </w:r>
          </w:p>
        </w:tc>
        <w:tc>
          <w:tcPr>
            <w:tcW w:w="388"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r>
              <w:rPr>
                <w:rFonts w:hint="eastAsia" w:ascii="仿宋_GB2312" w:eastAsia="仿宋_GB2312" w:hAnsiTheme="minorEastAsia"/>
                <w:sz w:val="20"/>
                <w:szCs w:val="20"/>
                <w:lang w:eastAsia="zh-TW" w:bidi="ar"/>
              </w:rPr>
              <w:t>设备设施及物料类</w:t>
            </w:r>
          </w:p>
        </w:tc>
        <w:tc>
          <w:tcPr>
            <w:tcW w:w="376"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r>
              <w:rPr>
                <w:rFonts w:hint="eastAsia" w:ascii="仿宋_GB2312" w:eastAsia="仿宋_GB2312" w:hAnsiTheme="minorEastAsia"/>
                <w:sz w:val="20"/>
                <w:szCs w:val="20"/>
                <w:lang w:eastAsia="zh-TW" w:bidi="ar"/>
              </w:rPr>
              <w:t>危险化学品类</w:t>
            </w:r>
          </w:p>
        </w:tc>
        <w:tc>
          <w:tcPr>
            <w:tcW w:w="1025"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rPr>
            </w:pPr>
            <w:r>
              <w:rPr>
                <w:rFonts w:hint="eastAsia" w:ascii="仿宋_GB2312" w:eastAsia="仿宋_GB2312" w:hAnsiTheme="minorEastAsia"/>
                <w:sz w:val="20"/>
                <w:szCs w:val="20"/>
                <w:lang w:bidi="ar"/>
              </w:rPr>
              <w:t>危险化学品储存场所未设置明显的标志，未在危险化学品作业场所和安全设施、设备上设置明显的安全警示标志。未对其敷设的危险化学品管道设置明显标志，未对危险化学品管道定期检查、检测、巡护。</w:t>
            </w:r>
          </w:p>
        </w:tc>
        <w:tc>
          <w:tcPr>
            <w:tcW w:w="1394" w:type="pct"/>
            <w:tcBorders>
              <w:tl2br w:val="nil"/>
              <w:tr2bl w:val="nil"/>
            </w:tcBorders>
            <w:vAlign w:val="center"/>
          </w:tcPr>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生产、储存危险化学品的单位，应当对其敷设的危险化学品管道设置明显标志，并对危险化学品管道定期检查、检测、巡护。</w:t>
            </w:r>
          </w:p>
        </w:tc>
        <w:tc>
          <w:tcPr>
            <w:tcW w:w="1282" w:type="pct"/>
            <w:tcBorders>
              <w:tl2br w:val="nil"/>
              <w:tr2bl w:val="nil"/>
            </w:tcBorders>
            <w:shd w:val="clear" w:color="auto" w:fill="FFFFFF"/>
            <w:vAlign w:val="center"/>
          </w:tcPr>
          <w:p>
            <w:pPr>
              <w:pStyle w:val="10"/>
              <w:widowControl w:val="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《中华人民共和国安全生产法》第三十五条；</w:t>
            </w:r>
          </w:p>
          <w:p>
            <w:pPr>
              <w:pStyle w:val="10"/>
              <w:widowControl w:val="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《中华人民共和国危险化学品安全法》第二十八条；</w:t>
            </w:r>
          </w:p>
          <w:p>
            <w:pPr>
              <w:pStyle w:val="10"/>
              <w:widowControl w:val="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《危险化学品安全管理条例》第二十条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adjustRightInd w:val="0"/>
              <w:snapToGrid w:val="0"/>
              <w:spacing w:after="0" w:line="240" w:lineRule="auto"/>
              <w:jc w:val="center"/>
              <w:rPr>
                <w:rFonts w:hint="eastAsia" w:ascii="仿宋_GB2312" w:eastAsia="仿宋_GB2312" w:hAnsiTheme="minorEastAsia"/>
                <w:sz w:val="20"/>
                <w:szCs w:val="20"/>
                <w:lang w:eastAsia="zh-CN"/>
              </w:rPr>
            </w:pPr>
            <w:r>
              <w:rPr>
                <w:rFonts w:hint="eastAsia" w:ascii="仿宋_GB2312" w:hAnsiTheme="minorEastAsia"/>
                <w:sz w:val="20"/>
                <w:szCs w:val="20"/>
              </w:rPr>
              <w:t>13.2.12.06</w:t>
            </w:r>
            <w:r>
              <w:rPr>
                <w:rFonts w:hint="eastAsia" w:ascii="仿宋_GB2312" w:hAnsiTheme="minorEastAsia"/>
                <w:sz w:val="20"/>
                <w:szCs w:val="20"/>
                <w:lang w:val="en-US" w:eastAsia="zh-CN"/>
              </w:rPr>
              <w:t>0</w:t>
            </w:r>
          </w:p>
        </w:tc>
        <w:tc>
          <w:tcPr>
            <w:tcW w:w="388"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r>
              <w:rPr>
                <w:rFonts w:hint="eastAsia" w:ascii="仿宋_GB2312" w:eastAsia="仿宋_GB2312" w:hAnsiTheme="minorEastAsia"/>
                <w:sz w:val="20"/>
                <w:szCs w:val="20"/>
                <w:lang w:eastAsia="zh-TW" w:bidi="ar"/>
              </w:rPr>
              <w:t>设备设施及物料类</w:t>
            </w:r>
          </w:p>
        </w:tc>
        <w:tc>
          <w:tcPr>
            <w:tcW w:w="376"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r>
              <w:rPr>
                <w:rFonts w:hint="eastAsia" w:ascii="仿宋_GB2312" w:eastAsia="仿宋_GB2312" w:hAnsiTheme="minorEastAsia"/>
                <w:sz w:val="20"/>
                <w:szCs w:val="20"/>
                <w:lang w:eastAsia="zh-TW" w:bidi="ar"/>
              </w:rPr>
              <w:t>危险化学品类</w:t>
            </w:r>
          </w:p>
        </w:tc>
        <w:tc>
          <w:tcPr>
            <w:tcW w:w="2881" w:type="dxa"/>
            <w:tcBorders>
              <w:tl2br w:val="nil"/>
              <w:tr2bl w:val="nil"/>
            </w:tcBorders>
            <w:shd w:val="clear" w:color="auto" w:fill="FFFFFF"/>
            <w:vAlign w:val="center"/>
          </w:tcPr>
          <w:p>
            <w:pPr>
              <w:widowControl/>
              <w:adjustRightInd w:val="0"/>
              <w:snapToGrid w:val="0"/>
              <w:spacing w:after="0" w:line="240" w:lineRule="auto"/>
              <w:jc w:val="left"/>
              <w:rPr>
                <w:rFonts w:hint="eastAsia" w:ascii="仿宋_GB2312" w:eastAsia="仿宋_GB2312" w:hAnsiTheme="minorEastAsia"/>
                <w:sz w:val="20"/>
                <w:szCs w:val="20"/>
                <w:lang w:bidi="ar"/>
              </w:rPr>
            </w:pPr>
            <w:r>
              <w:rPr>
                <w:rFonts w:hint="eastAsia" w:ascii="仿宋_GB2312" w:hAnsi="宋体" w:cs="宋体"/>
                <w:kern w:val="0"/>
                <w:sz w:val="20"/>
                <w:szCs w:val="20"/>
              </w:rPr>
              <w:t>未按</w:t>
            </w:r>
            <w:r>
              <w:rPr>
                <w:rFonts w:hint="eastAsia" w:ascii="仿宋_GB2312" w:hAnsi="宋体" w:cs="宋体"/>
                <w:kern w:val="0"/>
                <w:sz w:val="20"/>
                <w:szCs w:val="20"/>
                <w:lang w:val="en-US" w:eastAsia="zh-CN"/>
              </w:rPr>
              <w:t>照GB15603等</w:t>
            </w:r>
            <w:r>
              <w:rPr>
                <w:rFonts w:hint="eastAsia" w:ascii="仿宋_GB2312" w:hAnsi="宋体" w:cs="宋体"/>
                <w:kern w:val="0"/>
                <w:sz w:val="20"/>
                <w:szCs w:val="20"/>
              </w:rPr>
              <w:t>标准规范要求分区分类储存危险化学品；超量、超品种储存危险化学品；相互禁配物质混放混存。生产现场违规存放爆炸危险性化学品。</w:t>
            </w:r>
          </w:p>
        </w:tc>
        <w:tc>
          <w:tcPr>
            <w:tcW w:w="3919" w:type="dxa"/>
            <w:tcBorders>
              <w:tl2br w:val="nil"/>
              <w:tr2bl w:val="nil"/>
            </w:tcBorders>
            <w:shd w:val="clear" w:color="auto" w:fill="FFFFFF"/>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hAnsi="宋体" w:cs="宋体"/>
                <w:kern w:val="0"/>
                <w:sz w:val="20"/>
                <w:szCs w:val="20"/>
              </w:rPr>
              <w:t>应按照GB15603等标准规范要求分区分类储存危险化学品；不得超量、超品种储存危险化学品；相互禁配物质不得混放混存。爆炸危险性化学品存放</w:t>
            </w:r>
            <w:r>
              <w:rPr>
                <w:rFonts w:hint="eastAsia" w:ascii="仿宋_GB2312" w:hAnsi="宋体" w:cs="宋体"/>
                <w:kern w:val="0"/>
                <w:sz w:val="20"/>
                <w:szCs w:val="20"/>
                <w:lang w:val="en-US" w:eastAsia="zh-CN"/>
              </w:rPr>
              <w:t>应符合标准规范要求</w:t>
            </w:r>
            <w:r>
              <w:rPr>
                <w:rFonts w:hint="eastAsia" w:ascii="仿宋_GB2312" w:hAnsi="宋体" w:cs="宋体"/>
                <w:kern w:val="0"/>
                <w:sz w:val="20"/>
                <w:szCs w:val="20"/>
              </w:rPr>
              <w:t>。</w:t>
            </w:r>
          </w:p>
        </w:tc>
        <w:tc>
          <w:tcPr>
            <w:tcW w:w="3605" w:type="dxa"/>
            <w:tcBorders>
              <w:tl2br w:val="nil"/>
              <w:tr2bl w:val="nil"/>
            </w:tcBorders>
            <w:shd w:val="clear" w:color="auto" w:fill="FFFFFF"/>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hAnsi="宋体" w:cs="宋体"/>
                <w:kern w:val="0"/>
                <w:sz w:val="20"/>
                <w:szCs w:val="20"/>
                <w:lang w:eastAsia="zh-CN"/>
              </w:rPr>
              <w:t>《化工和危险化学品生产经营企业重大生产安全事故隐患判定准则》（AQ 3067-2026）</w:t>
            </w:r>
            <w:r>
              <w:rPr>
                <w:rFonts w:hint="eastAsia" w:ascii="仿宋_GB2312" w:hAnsi="宋体" w:cs="宋体"/>
                <w:kern w:val="0"/>
                <w:sz w:val="20"/>
                <w:szCs w:val="20"/>
              </w:rPr>
              <w:t>第5.5.8条</w:t>
            </w:r>
            <w:r>
              <w:rPr>
                <w:rFonts w:hint="eastAsia" w:ascii="仿宋_GB2312" w:hAnsi="宋体" w:cs="宋体"/>
                <w:kern w:val="0"/>
                <w:sz w:val="20"/>
                <w:szCs w:val="20"/>
                <w:lang w:eastAsia="zh-CN"/>
              </w:rPr>
              <w:t>、</w:t>
            </w:r>
            <w:r>
              <w:rPr>
                <w:rFonts w:hint="eastAsia" w:ascii="仿宋_GB2312" w:hAnsi="宋体" w:cs="宋体"/>
                <w:kern w:val="0"/>
                <w:sz w:val="20"/>
                <w:szCs w:val="20"/>
              </w:rPr>
              <w:t>第5.5.</w:t>
            </w:r>
            <w:r>
              <w:rPr>
                <w:rFonts w:hint="eastAsia" w:ascii="仿宋_GB2312" w:hAnsi="宋体" w:cs="宋体"/>
                <w:kern w:val="0"/>
                <w:sz w:val="20"/>
                <w:szCs w:val="20"/>
                <w:lang w:val="en-US" w:eastAsia="zh-CN"/>
              </w:rPr>
              <w:t>9</w:t>
            </w:r>
            <w:r>
              <w:rPr>
                <w:rFonts w:hint="eastAsia" w:ascii="仿宋_GB2312" w:hAnsi="宋体" w:cs="宋体"/>
                <w:kern w:val="0"/>
                <w:sz w:val="20"/>
                <w:szCs w:val="20"/>
              </w:rPr>
              <w:t>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r>
              <w:rPr>
                <w:rFonts w:hint="eastAsia" w:ascii="仿宋_GB2312"/>
                <w:sz w:val="20"/>
                <w:szCs w:val="2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adjustRightInd w:val="0"/>
              <w:snapToGrid w:val="0"/>
              <w:spacing w:after="0" w:line="240" w:lineRule="auto"/>
              <w:jc w:val="center"/>
              <w:rPr>
                <w:rFonts w:hint="eastAsia" w:ascii="仿宋_GB2312" w:eastAsia="仿宋_GB2312" w:hAnsiTheme="minorEastAsia"/>
                <w:sz w:val="20"/>
                <w:szCs w:val="20"/>
                <w:lang w:val="en-US" w:eastAsia="zh-CN"/>
              </w:rPr>
            </w:pPr>
            <w:r>
              <w:rPr>
                <w:rFonts w:hint="eastAsia" w:ascii="仿宋_GB2312" w:hAnsiTheme="minorEastAsia"/>
                <w:sz w:val="20"/>
                <w:szCs w:val="20"/>
              </w:rPr>
              <w:t>13.2.12.06</w:t>
            </w:r>
            <w:r>
              <w:rPr>
                <w:rFonts w:hint="eastAsia" w:ascii="仿宋_GB2312" w:hAnsiTheme="minorEastAsia"/>
                <w:sz w:val="20"/>
                <w:szCs w:val="20"/>
                <w:lang w:val="en-US" w:eastAsia="zh-CN"/>
              </w:rPr>
              <w:t>1</w:t>
            </w:r>
          </w:p>
        </w:tc>
        <w:tc>
          <w:tcPr>
            <w:tcW w:w="388"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r>
              <w:rPr>
                <w:rFonts w:hint="eastAsia" w:ascii="仿宋_GB2312" w:eastAsia="仿宋_GB2312" w:hAnsiTheme="minorEastAsia"/>
                <w:sz w:val="20"/>
                <w:szCs w:val="20"/>
                <w:lang w:eastAsia="zh-TW" w:bidi="ar"/>
              </w:rPr>
              <w:t>设备设施及物料类</w:t>
            </w:r>
          </w:p>
        </w:tc>
        <w:tc>
          <w:tcPr>
            <w:tcW w:w="376"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r>
              <w:rPr>
                <w:rFonts w:hint="eastAsia" w:ascii="仿宋_GB2312" w:eastAsia="仿宋_GB2312" w:hAnsiTheme="minorEastAsia"/>
                <w:sz w:val="20"/>
                <w:szCs w:val="20"/>
                <w:lang w:eastAsia="zh-TW" w:bidi="ar"/>
              </w:rPr>
              <w:t>危险化学品类</w:t>
            </w:r>
          </w:p>
        </w:tc>
        <w:tc>
          <w:tcPr>
            <w:tcW w:w="1025"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危险化学品储存场所设置在地下或半地下建、构筑物内。或危险化学品仓库设置员工宿舍、办公室、休息室等，或与其贴邻建造。</w:t>
            </w:r>
          </w:p>
        </w:tc>
        <w:tc>
          <w:tcPr>
            <w:tcW w:w="1394" w:type="pct"/>
            <w:tcBorders>
              <w:tl2br w:val="nil"/>
              <w:tr2bl w:val="nil"/>
            </w:tcBorders>
            <w:shd w:val="clear" w:color="auto" w:fill="FFFFFF"/>
            <w:vAlign w:val="center"/>
          </w:tcPr>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危险化学品储存场所严禁设置在地下或半地下建、构筑物内。危险化学品仓库严禁设置员工宿舍、办公室、休息室等，或与其贴邻建造。</w:t>
            </w:r>
          </w:p>
        </w:tc>
        <w:tc>
          <w:tcPr>
            <w:tcW w:w="1282"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《建筑防火通用规范》（GB 55037-2022）第4.2.1条、第4.2.2条、第4.2.7条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adjustRightInd w:val="0"/>
              <w:snapToGrid w:val="0"/>
              <w:spacing w:after="0" w:line="240" w:lineRule="auto"/>
              <w:jc w:val="center"/>
              <w:rPr>
                <w:rFonts w:hint="eastAsia" w:ascii="仿宋_GB2312" w:eastAsia="仿宋_GB2312" w:hAnsiTheme="minorEastAsia"/>
                <w:sz w:val="20"/>
                <w:szCs w:val="20"/>
                <w:lang w:eastAsia="zh-CN"/>
              </w:rPr>
            </w:pPr>
            <w:r>
              <w:rPr>
                <w:rFonts w:hint="eastAsia" w:ascii="仿宋_GB2312" w:hAnsiTheme="minorEastAsia"/>
                <w:sz w:val="20"/>
                <w:szCs w:val="20"/>
              </w:rPr>
              <w:t>13.2.12.06</w:t>
            </w:r>
            <w:r>
              <w:rPr>
                <w:rFonts w:hint="eastAsia" w:ascii="仿宋_GB2312" w:hAnsiTheme="minorEastAsia"/>
                <w:sz w:val="20"/>
                <w:szCs w:val="20"/>
                <w:lang w:val="en-US" w:eastAsia="zh-CN"/>
              </w:rPr>
              <w:t>2</w:t>
            </w:r>
          </w:p>
        </w:tc>
        <w:tc>
          <w:tcPr>
            <w:tcW w:w="388"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设备设施及物料类</w:t>
            </w:r>
          </w:p>
        </w:tc>
        <w:tc>
          <w:tcPr>
            <w:tcW w:w="376"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bidi="ar"/>
              </w:rPr>
            </w:pPr>
            <w:r>
              <w:rPr>
                <w:rFonts w:hint="eastAsia" w:ascii="仿宋_GB2312" w:eastAsia="仿宋_GB2312" w:hAnsiTheme="minorEastAsia"/>
                <w:sz w:val="20"/>
                <w:szCs w:val="20"/>
                <w:lang w:eastAsia="zh-TW" w:bidi="ar"/>
              </w:rPr>
              <w:t>危险化学品类</w:t>
            </w:r>
          </w:p>
        </w:tc>
        <w:tc>
          <w:tcPr>
            <w:tcW w:w="1025" w:type="pct"/>
            <w:tcBorders>
              <w:tl2br w:val="nil"/>
              <w:tr2bl w:val="nil"/>
            </w:tcBorders>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使用危险化学品从事生产的</w:t>
            </w:r>
            <w:r>
              <w:rPr>
                <w:rFonts w:hint="eastAsia" w:ascii="仿宋_GB2312" w:eastAsia="仿宋_GB2312" w:hAnsiTheme="minorEastAsia"/>
                <w:sz w:val="20"/>
                <w:szCs w:val="20"/>
                <w:lang w:eastAsia="zh-TW" w:bidi="ar"/>
              </w:rPr>
              <w:t>企业</w:t>
            </w:r>
            <w:r>
              <w:rPr>
                <w:rFonts w:hint="eastAsia" w:ascii="仿宋_GB2312" w:eastAsia="仿宋_GB2312" w:hAnsiTheme="minorEastAsia"/>
                <w:sz w:val="20"/>
                <w:szCs w:val="20"/>
                <w:lang w:bidi="ar"/>
              </w:rPr>
              <w:t>未</w:t>
            </w:r>
            <w:r>
              <w:rPr>
                <w:rFonts w:hint="eastAsia" w:ascii="仿宋_GB2312" w:eastAsia="仿宋_GB2312" w:hAnsiTheme="minorEastAsia"/>
                <w:sz w:val="20"/>
                <w:szCs w:val="20"/>
                <w:lang w:eastAsia="zh-TW" w:bidi="ar"/>
              </w:rPr>
              <w:t>按照国家标准或者行业标准装备自动控制系统和安全仪表系统，</w:t>
            </w:r>
            <w:r>
              <w:rPr>
                <w:rFonts w:hint="eastAsia" w:ascii="仿宋_GB2312" w:eastAsia="仿宋_GB2312" w:hAnsiTheme="minorEastAsia"/>
                <w:sz w:val="20"/>
                <w:szCs w:val="20"/>
                <w:lang w:bidi="ar"/>
              </w:rPr>
              <w:t>未</w:t>
            </w:r>
            <w:r>
              <w:rPr>
                <w:rFonts w:hint="eastAsia" w:ascii="仿宋_GB2312" w:eastAsia="仿宋_GB2312" w:hAnsiTheme="minorEastAsia"/>
                <w:sz w:val="20"/>
                <w:szCs w:val="20"/>
                <w:lang w:eastAsia="zh-TW" w:bidi="ar"/>
              </w:rPr>
              <w:t>建立安全风险监测预警系统，</w:t>
            </w:r>
            <w:r>
              <w:rPr>
                <w:rFonts w:hint="eastAsia" w:ascii="仿宋_GB2312" w:eastAsia="仿宋_GB2312" w:hAnsiTheme="minorEastAsia"/>
                <w:sz w:val="20"/>
                <w:szCs w:val="20"/>
                <w:lang w:bidi="ar"/>
              </w:rPr>
              <w:t>未</w:t>
            </w:r>
            <w:r>
              <w:rPr>
                <w:rFonts w:hint="eastAsia" w:ascii="仿宋_GB2312" w:eastAsia="仿宋_GB2312" w:hAnsiTheme="minorEastAsia"/>
                <w:sz w:val="20"/>
                <w:szCs w:val="20"/>
                <w:lang w:eastAsia="zh-TW" w:bidi="ar"/>
              </w:rPr>
              <w:t>与政府有关部门实现互联互通。</w:t>
            </w:r>
          </w:p>
        </w:tc>
        <w:tc>
          <w:tcPr>
            <w:tcW w:w="1394" w:type="pct"/>
            <w:tcBorders>
              <w:tl2br w:val="nil"/>
              <w:tr2bl w:val="nil"/>
            </w:tcBorders>
            <w:vAlign w:val="center"/>
          </w:tcPr>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生产、储存危险化学品的企业应当按照国家标准或者行业标准装备自动控制系统和安全仪表系统，建立安全风险监测预警系统，并与政府有关部门实现互联互通。</w:t>
            </w:r>
          </w:p>
        </w:tc>
        <w:tc>
          <w:tcPr>
            <w:tcW w:w="1282" w:type="pct"/>
            <w:tcBorders>
              <w:tl2br w:val="nil"/>
              <w:tr2bl w:val="nil"/>
            </w:tcBorders>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eastAsia="zh-CN" w:bidi="ar"/>
              </w:rPr>
            </w:pPr>
            <w:r>
              <w:rPr>
                <w:rFonts w:hint="eastAsia" w:ascii="仿宋_GB2312" w:eastAsia="仿宋_GB2312" w:hAnsiTheme="minorEastAsia"/>
                <w:sz w:val="20"/>
                <w:szCs w:val="20"/>
                <w:lang w:bidi="ar"/>
              </w:rPr>
              <w:t>《中华人民共和国危险化学品安全法》第三十六条</w:t>
            </w:r>
            <w:r>
              <w:rPr>
                <w:rFonts w:hint="eastAsia" w:ascii="仿宋_GB2312" w:eastAsia="仿宋_GB2312" w:hAnsiTheme="minorEastAsia"/>
                <w:sz w:val="20"/>
                <w:szCs w:val="20"/>
                <w:lang w:eastAsia="zh-CN" w:bidi="ar"/>
              </w:rPr>
              <w:t>、第五十二条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adjustRightInd w:val="0"/>
              <w:snapToGrid w:val="0"/>
              <w:spacing w:after="0" w:line="240" w:lineRule="auto"/>
              <w:jc w:val="center"/>
              <w:rPr>
                <w:rFonts w:hint="eastAsia" w:ascii="仿宋_GB2312" w:eastAsia="仿宋_GB2312" w:hAnsiTheme="minorEastAsia"/>
                <w:sz w:val="20"/>
                <w:szCs w:val="20"/>
                <w:lang w:eastAsia="zh-CN"/>
              </w:rPr>
            </w:pPr>
            <w:r>
              <w:rPr>
                <w:rFonts w:hint="eastAsia" w:ascii="仿宋_GB2312" w:hAnsiTheme="minorEastAsia"/>
                <w:sz w:val="20"/>
                <w:szCs w:val="20"/>
              </w:rPr>
              <w:t>13.2.12.06</w:t>
            </w:r>
            <w:r>
              <w:rPr>
                <w:rFonts w:hint="eastAsia" w:ascii="仿宋_GB2312" w:hAnsiTheme="minorEastAsia"/>
                <w:sz w:val="20"/>
                <w:szCs w:val="20"/>
                <w:lang w:val="en-US" w:eastAsia="zh-CN"/>
              </w:rPr>
              <w:t>3</w:t>
            </w:r>
          </w:p>
        </w:tc>
        <w:tc>
          <w:tcPr>
            <w:tcW w:w="388"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设备设施及物料类</w:t>
            </w:r>
          </w:p>
        </w:tc>
        <w:tc>
          <w:tcPr>
            <w:tcW w:w="376"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危险化学品类</w:t>
            </w:r>
          </w:p>
        </w:tc>
        <w:tc>
          <w:tcPr>
            <w:tcW w:w="1025" w:type="pct"/>
            <w:tcBorders>
              <w:tl2br w:val="nil"/>
              <w:tr2bl w:val="nil"/>
            </w:tcBorders>
            <w:shd w:val="clear" w:color="auto" w:fill="FFFFFF"/>
            <w:vAlign w:val="center"/>
          </w:tcPr>
          <w:p>
            <w:pPr>
              <w:pStyle w:val="10"/>
              <w:adjustRightInd w:val="0"/>
              <w:snapToGrid w:val="0"/>
              <w:spacing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使用危险化学品的单位，未根据其生产、储存的危险化学品的种类和危险特性，在作业场所设置相应的监测、监控、通风、防晒、调温、防火、灭火、防爆、泄压、防毒、中和、防潮、防雷、防静电、防腐、防泄漏以及防护围堤或者隔离操作等安全设施、设备，未按照国家标准、行业标准或者国家有关规定对安全设施、设备进行经常性维护、保养，保证安全设施、设备的正常使用。</w:t>
            </w:r>
          </w:p>
        </w:tc>
        <w:tc>
          <w:tcPr>
            <w:tcW w:w="1394" w:type="pct"/>
            <w:tcBorders>
              <w:tl2br w:val="nil"/>
              <w:tr2bl w:val="nil"/>
            </w:tcBorders>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生产、储存危险化学品的单位，应当根据其生产、储存的危险化学品的种类和危险特性，在作业场所设置相应的监测、监控、通风、防晒、调温、防火、灭火、防爆、泄压、防毒、中和、防潮、防雷、防静电、防腐、防泄漏以及防护围堤或者隔离操作等安全设施、设备，并按照国家标准、行业标准或者国家有关规定对安全设施、设备进行经常性维护、保养，保证安全设施、设备的正常使用。</w:t>
            </w:r>
          </w:p>
        </w:tc>
        <w:tc>
          <w:tcPr>
            <w:tcW w:w="1282" w:type="pct"/>
            <w:tcBorders>
              <w:tl2br w:val="nil"/>
              <w:tr2bl w:val="nil"/>
            </w:tcBorders>
            <w:shd w:val="clear" w:color="auto" w:fill="FFFFFF"/>
            <w:vAlign w:val="center"/>
          </w:tcPr>
          <w:p>
            <w:pPr>
              <w:pStyle w:val="10"/>
              <w:adjustRightInd w:val="0"/>
              <w:snapToGrid w:val="0"/>
              <w:spacing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《中华人民共和国危险化学品安全法》第三十七条</w:t>
            </w:r>
            <w:r>
              <w:rPr>
                <w:rFonts w:hint="eastAsia" w:ascii="仿宋_GB2312" w:eastAsia="仿宋_GB2312" w:hAnsiTheme="minorEastAsia"/>
                <w:sz w:val="20"/>
                <w:szCs w:val="20"/>
                <w:lang w:eastAsia="zh-CN" w:bidi="ar"/>
              </w:rPr>
              <w:t>、第五十二条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adjustRightInd w:val="0"/>
              <w:snapToGrid w:val="0"/>
              <w:spacing w:after="0" w:line="240" w:lineRule="auto"/>
              <w:jc w:val="center"/>
              <w:rPr>
                <w:rFonts w:hint="eastAsia" w:ascii="仿宋_GB2312" w:eastAsia="仿宋_GB2312" w:hAnsiTheme="minorEastAsia"/>
                <w:sz w:val="20"/>
                <w:szCs w:val="20"/>
                <w:lang w:eastAsia="zh-CN"/>
              </w:rPr>
            </w:pPr>
            <w:r>
              <w:rPr>
                <w:rFonts w:hint="eastAsia" w:ascii="仿宋_GB2312" w:hAnsiTheme="minorEastAsia"/>
                <w:sz w:val="20"/>
                <w:szCs w:val="20"/>
              </w:rPr>
              <w:t>13.2.12.06</w:t>
            </w:r>
            <w:r>
              <w:rPr>
                <w:rFonts w:hint="eastAsia" w:ascii="仿宋_GB2312" w:hAnsiTheme="minorEastAsia"/>
                <w:sz w:val="20"/>
                <w:szCs w:val="20"/>
                <w:lang w:val="en-US" w:eastAsia="zh-CN"/>
              </w:rPr>
              <w:t>4</w:t>
            </w:r>
          </w:p>
        </w:tc>
        <w:tc>
          <w:tcPr>
            <w:tcW w:w="388"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设备设施及物料类</w:t>
            </w:r>
          </w:p>
        </w:tc>
        <w:tc>
          <w:tcPr>
            <w:tcW w:w="376"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bidi="ar"/>
              </w:rPr>
            </w:pPr>
            <w:r>
              <w:rPr>
                <w:rFonts w:hint="eastAsia" w:ascii="仿宋_GB2312" w:eastAsia="仿宋_GB2312" w:hAnsiTheme="minorEastAsia"/>
                <w:sz w:val="20"/>
                <w:szCs w:val="20"/>
                <w:lang w:eastAsia="zh-TW" w:bidi="ar"/>
              </w:rPr>
              <w:t>危险化学品类</w:t>
            </w:r>
          </w:p>
        </w:tc>
        <w:tc>
          <w:tcPr>
            <w:tcW w:w="1025" w:type="pct"/>
            <w:tcBorders>
              <w:tl2br w:val="nil"/>
              <w:tr2bl w:val="nil"/>
            </w:tcBorders>
            <w:vAlign w:val="center"/>
          </w:tcPr>
          <w:p>
            <w:pPr>
              <w:pStyle w:val="10"/>
              <w:adjustRightInd w:val="0"/>
              <w:snapToGrid w:val="0"/>
              <w:spacing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使用危险化学品的单位，关闭、破坏直接关系生产安全的监控、报警、防护、救生设施、设备，或者以其他任何方式影响其正常使用，篡改、隐瞒、销毁其相关数据、信息。</w:t>
            </w:r>
          </w:p>
        </w:tc>
        <w:tc>
          <w:tcPr>
            <w:tcW w:w="1394" w:type="pct"/>
            <w:tcBorders>
              <w:tl2br w:val="nil"/>
              <w:tr2bl w:val="nil"/>
            </w:tcBorders>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生产、储存危险化学品的单位，不得关闭、破坏直接关系生产安全的监控、报警、防护、救生设施、设备，或者以其他任何方式影响其正常使用，不得篡改、隐瞒、销毁其相关数据、信息。</w:t>
            </w:r>
          </w:p>
        </w:tc>
        <w:tc>
          <w:tcPr>
            <w:tcW w:w="1282" w:type="pct"/>
            <w:tcBorders>
              <w:tl2br w:val="nil"/>
              <w:tr2bl w:val="nil"/>
            </w:tcBorders>
            <w:vAlign w:val="center"/>
          </w:tcPr>
          <w:p>
            <w:pPr>
              <w:pStyle w:val="10"/>
              <w:adjustRightInd w:val="0"/>
              <w:snapToGrid w:val="0"/>
              <w:spacing w:beforeAutospacing="0" w:after="0" w:afterAutospacing="0"/>
              <w:rPr>
                <w:rFonts w:hint="eastAsia" w:ascii="仿宋_GB2312" w:eastAsia="仿宋_GB2312" w:hAnsiTheme="minorEastAsia"/>
                <w:sz w:val="20"/>
                <w:szCs w:val="20"/>
                <w:lang w:eastAsia="zh-CN" w:bidi="ar"/>
              </w:rPr>
            </w:pPr>
            <w:r>
              <w:rPr>
                <w:rFonts w:hint="eastAsia" w:ascii="仿宋_GB2312" w:eastAsia="仿宋_GB2312" w:hAnsiTheme="minorEastAsia"/>
                <w:sz w:val="20"/>
                <w:szCs w:val="20"/>
                <w:lang w:bidi="ar"/>
              </w:rPr>
              <w:t>《中华人民共和国危险化学品安全法》第三十八条</w:t>
            </w:r>
            <w:r>
              <w:rPr>
                <w:rFonts w:hint="eastAsia" w:ascii="仿宋_GB2312" w:eastAsia="仿宋_GB2312" w:hAnsiTheme="minorEastAsia"/>
                <w:sz w:val="20"/>
                <w:szCs w:val="20"/>
                <w:lang w:eastAsia="zh-CN" w:bidi="ar"/>
              </w:rPr>
              <w:t>、第五十二条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adjustRightInd w:val="0"/>
              <w:snapToGrid w:val="0"/>
              <w:spacing w:after="0" w:line="240" w:lineRule="auto"/>
              <w:jc w:val="center"/>
              <w:rPr>
                <w:rFonts w:hint="eastAsia" w:ascii="仿宋_GB2312" w:eastAsia="仿宋_GB2312" w:hAnsiTheme="minorEastAsia"/>
                <w:sz w:val="20"/>
                <w:szCs w:val="20"/>
                <w:lang w:eastAsia="zh-CN"/>
              </w:rPr>
            </w:pPr>
            <w:r>
              <w:rPr>
                <w:rFonts w:hint="eastAsia" w:ascii="仿宋_GB2312" w:hAnsiTheme="minorEastAsia"/>
                <w:sz w:val="20"/>
                <w:szCs w:val="20"/>
              </w:rPr>
              <w:t>13.2.12.06</w:t>
            </w:r>
            <w:r>
              <w:rPr>
                <w:rFonts w:hint="eastAsia" w:ascii="仿宋_GB2312" w:hAnsiTheme="minorEastAsia"/>
                <w:sz w:val="20"/>
                <w:szCs w:val="20"/>
                <w:lang w:val="en-US" w:eastAsia="zh-CN"/>
              </w:rPr>
              <w:t>5</w:t>
            </w:r>
          </w:p>
        </w:tc>
        <w:tc>
          <w:tcPr>
            <w:tcW w:w="388"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设备设施及物料类</w:t>
            </w:r>
          </w:p>
        </w:tc>
        <w:tc>
          <w:tcPr>
            <w:tcW w:w="376"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bidi="ar"/>
              </w:rPr>
            </w:pPr>
            <w:r>
              <w:rPr>
                <w:rFonts w:hint="eastAsia" w:ascii="仿宋_GB2312" w:eastAsia="仿宋_GB2312" w:hAnsiTheme="minorEastAsia"/>
                <w:sz w:val="20"/>
                <w:szCs w:val="20"/>
                <w:lang w:eastAsia="zh-TW" w:bidi="ar"/>
              </w:rPr>
              <w:t>危险化学品类</w:t>
            </w:r>
          </w:p>
        </w:tc>
        <w:tc>
          <w:tcPr>
            <w:tcW w:w="1025" w:type="pct"/>
            <w:tcBorders>
              <w:tl2br w:val="nil"/>
              <w:tr2bl w:val="nil"/>
            </w:tcBorders>
            <w:vAlign w:val="center"/>
          </w:tcPr>
          <w:p>
            <w:pPr>
              <w:pStyle w:val="10"/>
              <w:adjustRightInd w:val="0"/>
              <w:snapToGrid w:val="0"/>
              <w:spacing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使用危险化学品从事生产</w:t>
            </w:r>
            <w:r>
              <w:rPr>
                <w:rFonts w:hint="eastAsia" w:ascii="仿宋_GB2312" w:eastAsia="仿宋_GB2312" w:hAnsiTheme="minorEastAsia"/>
                <w:sz w:val="20"/>
                <w:szCs w:val="20"/>
                <w:lang w:eastAsia="zh-TW" w:bidi="ar"/>
              </w:rPr>
              <w:t>的企业，</w:t>
            </w:r>
            <w:r>
              <w:rPr>
                <w:rFonts w:hint="eastAsia" w:ascii="仿宋_GB2312" w:eastAsia="仿宋_GB2312" w:hAnsiTheme="minorEastAsia"/>
                <w:sz w:val="20"/>
                <w:szCs w:val="20"/>
                <w:lang w:bidi="ar"/>
              </w:rPr>
              <w:t>未</w:t>
            </w:r>
            <w:r>
              <w:rPr>
                <w:rFonts w:hint="eastAsia" w:ascii="仿宋_GB2312" w:eastAsia="仿宋_GB2312" w:hAnsiTheme="minorEastAsia"/>
                <w:sz w:val="20"/>
                <w:szCs w:val="20"/>
                <w:lang w:eastAsia="zh-TW" w:bidi="ar"/>
              </w:rPr>
              <w:t>委托具备国家规定的资质条件的机构，对本企业的安全生产条件每三年进行一次安全评价</w:t>
            </w:r>
            <w:r>
              <w:rPr>
                <w:rFonts w:hint="eastAsia" w:ascii="仿宋_GB2312" w:eastAsia="仿宋_GB2312" w:hAnsiTheme="minorEastAsia"/>
                <w:sz w:val="20"/>
                <w:szCs w:val="20"/>
                <w:lang w:bidi="ar"/>
              </w:rPr>
              <w:t>。危险化学品使用单位未委托安全评价机构，对储存场所每三年开展一次安全现状评价。</w:t>
            </w:r>
          </w:p>
        </w:tc>
        <w:tc>
          <w:tcPr>
            <w:tcW w:w="1394" w:type="pct"/>
            <w:tcBorders>
              <w:tl2br w:val="nil"/>
              <w:tr2bl w:val="nil"/>
            </w:tcBorders>
            <w:vAlign w:val="center"/>
          </w:tcPr>
          <w:p>
            <w:pPr>
              <w:widowControl/>
              <w:adjustRightInd w:val="0"/>
              <w:snapToGrid w:val="0"/>
              <w:spacing w:after="0" w:line="240" w:lineRule="auto"/>
              <w:jc w:val="left"/>
              <w:rPr>
                <w:rFonts w:hint="eastAsia" w:ascii="仿宋_GB2312" w:cs="宋体" w:hAnsiTheme="minorEastAsia"/>
                <w:kern w:val="0"/>
                <w:sz w:val="20"/>
                <w:szCs w:val="20"/>
                <w:lang w:eastAsia="zh-TW" w:bidi="ar"/>
              </w:rPr>
            </w:pPr>
            <w:r>
              <w:rPr>
                <w:rFonts w:hint="eastAsia" w:ascii="仿宋_GB2312" w:cs="宋体" w:hAnsiTheme="minorEastAsia"/>
                <w:kern w:val="0"/>
                <w:sz w:val="20"/>
                <w:szCs w:val="20"/>
                <w:lang w:bidi="ar"/>
              </w:rPr>
              <w:t>生产、储存危险化学品的企业，应当委托具备国家规定的资质条件的机构，对本企业的安全生产条件每三年进行一次安全评价，提出安全评价报告。</w:t>
            </w:r>
          </w:p>
        </w:tc>
        <w:tc>
          <w:tcPr>
            <w:tcW w:w="1282" w:type="pct"/>
            <w:tcBorders>
              <w:tl2br w:val="nil"/>
              <w:tr2bl w:val="nil"/>
            </w:tcBorders>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《中华人民共和国危险化学品安全法》第三十九条</w:t>
            </w:r>
            <w:r>
              <w:rPr>
                <w:rFonts w:hint="eastAsia" w:ascii="仿宋_GB2312" w:eastAsia="仿宋_GB2312" w:hAnsiTheme="minorEastAsia"/>
                <w:sz w:val="20"/>
                <w:szCs w:val="20"/>
                <w:lang w:eastAsia="zh-CN" w:bidi="ar"/>
              </w:rPr>
              <w:t>、第五十二条</w:t>
            </w:r>
            <w:r>
              <w:rPr>
                <w:rFonts w:hint="eastAsia" w:ascii="仿宋_GB2312" w:cs="宋体" w:hAnsiTheme="minorEastAsia"/>
                <w:kern w:val="0"/>
                <w:sz w:val="20"/>
                <w:szCs w:val="20"/>
                <w:lang w:bidi="ar"/>
              </w:rPr>
              <w:t>；</w:t>
            </w:r>
          </w:p>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《危险化学品储存场所建设及储存安全要求》（DB11/T 755）第5.1.2.18条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adjustRightInd w:val="0"/>
              <w:snapToGrid w:val="0"/>
              <w:spacing w:after="0" w:line="240" w:lineRule="auto"/>
              <w:jc w:val="center"/>
              <w:rPr>
                <w:rFonts w:hint="eastAsia" w:ascii="仿宋_GB2312" w:eastAsia="仿宋_GB2312" w:hAnsiTheme="minorEastAsia"/>
                <w:sz w:val="20"/>
                <w:szCs w:val="20"/>
                <w:lang w:eastAsia="zh-CN"/>
              </w:rPr>
            </w:pPr>
            <w:r>
              <w:rPr>
                <w:rFonts w:hint="eastAsia" w:ascii="仿宋_GB2312" w:hAnsiTheme="minorEastAsia"/>
                <w:sz w:val="20"/>
                <w:szCs w:val="20"/>
              </w:rPr>
              <w:t>13.2.12.06</w:t>
            </w:r>
            <w:r>
              <w:rPr>
                <w:rFonts w:hint="eastAsia" w:ascii="仿宋_GB2312" w:hAnsiTheme="minorEastAsia"/>
                <w:sz w:val="20"/>
                <w:szCs w:val="20"/>
                <w:lang w:val="en-US" w:eastAsia="zh-CN"/>
              </w:rPr>
              <w:t>6</w:t>
            </w:r>
          </w:p>
        </w:tc>
        <w:tc>
          <w:tcPr>
            <w:tcW w:w="388"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设备设施及物料类</w:t>
            </w:r>
          </w:p>
        </w:tc>
        <w:tc>
          <w:tcPr>
            <w:tcW w:w="376"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bidi="ar"/>
              </w:rPr>
            </w:pPr>
            <w:r>
              <w:rPr>
                <w:rFonts w:hint="eastAsia" w:ascii="仿宋_GB2312" w:eastAsia="仿宋_GB2312" w:hAnsiTheme="minorEastAsia"/>
                <w:sz w:val="20"/>
                <w:szCs w:val="20"/>
                <w:lang w:eastAsia="zh-TW" w:bidi="ar"/>
              </w:rPr>
              <w:t>危险化学品类</w:t>
            </w:r>
          </w:p>
        </w:tc>
        <w:tc>
          <w:tcPr>
            <w:tcW w:w="1025" w:type="pct"/>
            <w:tcBorders>
              <w:tl2br w:val="nil"/>
              <w:tr2bl w:val="nil"/>
            </w:tcBorders>
            <w:vAlign w:val="center"/>
          </w:tcPr>
          <w:p>
            <w:pPr>
              <w:pStyle w:val="10"/>
              <w:adjustRightInd w:val="0"/>
              <w:snapToGrid w:val="0"/>
              <w:spacing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使用危险化学品的单位未将其作业场所使用的化学品安全技术说明书和化学品安全标签提供给从业人员，未进行相关培训教育，未告知从业人员正确使用的方法和在紧急情况下应当采取的措施。</w:t>
            </w:r>
          </w:p>
        </w:tc>
        <w:tc>
          <w:tcPr>
            <w:tcW w:w="1394" w:type="pct"/>
            <w:tcBorders>
              <w:tl2br w:val="nil"/>
              <w:tr2bl w:val="nil"/>
            </w:tcBorders>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使用危险化学品的单位应当将其作业场所使用的化学品安全技术说明书和化学品安全标签提供给从业人员，并加强培训教育，告知从业人员正确使用的方法和在紧急情况下应当采取的措施。</w:t>
            </w:r>
          </w:p>
        </w:tc>
        <w:tc>
          <w:tcPr>
            <w:tcW w:w="1282" w:type="pct"/>
            <w:tcBorders>
              <w:tl2br w:val="nil"/>
              <w:tr2bl w:val="nil"/>
            </w:tcBorders>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《中华人民共和国危险化学品安全法》第五十一条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eastAsia="仿宋_GB2312" w:hAnsiTheme="minorEastAsia"/>
                <w:sz w:val="20"/>
                <w:szCs w:val="20"/>
                <w:lang w:eastAsia="zh-CN"/>
              </w:rPr>
            </w:pPr>
            <w:r>
              <w:rPr>
                <w:rFonts w:hint="eastAsia" w:ascii="仿宋_GB2312" w:hAnsiTheme="minorEastAsia"/>
                <w:sz w:val="20"/>
                <w:szCs w:val="20"/>
              </w:rPr>
              <w:t>13.2.12.06</w:t>
            </w:r>
            <w:r>
              <w:rPr>
                <w:rFonts w:hint="eastAsia" w:ascii="仿宋_GB2312" w:hAnsiTheme="minorEastAsia"/>
                <w:sz w:val="20"/>
                <w:szCs w:val="20"/>
                <w:lang w:val="en-US" w:eastAsia="zh-CN"/>
              </w:rPr>
              <w:t>7</w:t>
            </w:r>
          </w:p>
        </w:tc>
        <w:tc>
          <w:tcPr>
            <w:tcW w:w="388"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设备设施及物料类</w:t>
            </w:r>
          </w:p>
        </w:tc>
        <w:tc>
          <w:tcPr>
            <w:tcW w:w="376"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bidi="ar"/>
              </w:rPr>
            </w:pPr>
            <w:r>
              <w:rPr>
                <w:rFonts w:hint="eastAsia" w:ascii="仿宋_GB2312" w:eastAsia="仿宋_GB2312" w:hAnsiTheme="minorEastAsia"/>
                <w:sz w:val="20"/>
                <w:szCs w:val="20"/>
                <w:lang w:eastAsia="zh-TW" w:bidi="ar"/>
              </w:rPr>
              <w:t>危险化学品类</w:t>
            </w:r>
          </w:p>
        </w:tc>
        <w:tc>
          <w:tcPr>
            <w:tcW w:w="1025" w:type="pct"/>
            <w:tcBorders>
              <w:tl2br w:val="nil"/>
              <w:tr2bl w:val="nil"/>
            </w:tcBorders>
            <w:vAlign w:val="center"/>
          </w:tcPr>
          <w:p>
            <w:pPr>
              <w:pStyle w:val="10"/>
              <w:adjustRightInd w:val="0"/>
              <w:snapToGrid w:val="0"/>
              <w:spacing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危险化学品进口企业未提供与其进口的危险化学品相符的中文化学品安全技术说明书，未在危险化学品包装上粘贴、印刷或者拴挂与包装内危险化学品相符的中文化学品安全标签。未对其进口的危险化学品办理登记。</w:t>
            </w:r>
          </w:p>
        </w:tc>
        <w:tc>
          <w:tcPr>
            <w:tcW w:w="1394" w:type="pct"/>
            <w:tcBorders>
              <w:tl2br w:val="nil"/>
              <w:tr2bl w:val="nil"/>
            </w:tcBorders>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危险化学品生产企业、进口企业应当提供与其生产、进口的危险化学品相符的中文化学品安全技上粘贴、印刷或者拴挂与包装内危险化学品相符的中文化学品安全标签。化学品安全技术说明书和化学品安全标签应当符合国家标准的要求。危险化学品生产企业、进口企业应当向国务院应急管理部门负责危险化学品登记的机构办理危险化学品登记。</w:t>
            </w:r>
          </w:p>
        </w:tc>
        <w:tc>
          <w:tcPr>
            <w:tcW w:w="1282" w:type="pct"/>
            <w:tcBorders>
              <w:tl2br w:val="nil"/>
              <w:tr2bl w:val="nil"/>
            </w:tcBorders>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《中华人民共和国危险化学品安全法》第三十一条、第八十六条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550" w:hRule="atLeast"/>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default" w:ascii="仿宋_GB2312" w:eastAsia="仿宋_GB2312" w:hAnsiTheme="minorEastAsia"/>
                <w:sz w:val="20"/>
                <w:szCs w:val="20"/>
                <w:lang w:val="en-US" w:eastAsia="zh-CN"/>
              </w:rPr>
            </w:pPr>
            <w:r>
              <w:rPr>
                <w:rFonts w:hint="eastAsia" w:ascii="仿宋_GB2312" w:hAnsiTheme="minorEastAsia"/>
                <w:sz w:val="20"/>
                <w:szCs w:val="20"/>
              </w:rPr>
              <w:t>13.2.12.0</w:t>
            </w:r>
            <w:r>
              <w:rPr>
                <w:rFonts w:hint="eastAsia" w:ascii="仿宋_GB2312" w:hAnsiTheme="minorEastAsia"/>
                <w:sz w:val="20"/>
                <w:szCs w:val="20"/>
                <w:lang w:val="en-US" w:eastAsia="zh-CN"/>
              </w:rPr>
              <w:t>68</w:t>
            </w:r>
          </w:p>
        </w:tc>
        <w:tc>
          <w:tcPr>
            <w:tcW w:w="388"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设备设施及物料类</w:t>
            </w:r>
          </w:p>
        </w:tc>
        <w:tc>
          <w:tcPr>
            <w:tcW w:w="376"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bidi="ar"/>
              </w:rPr>
            </w:pPr>
            <w:r>
              <w:rPr>
                <w:rFonts w:hint="eastAsia" w:ascii="仿宋_GB2312" w:eastAsia="仿宋_GB2312" w:hAnsiTheme="minorEastAsia"/>
                <w:sz w:val="20"/>
                <w:szCs w:val="20"/>
                <w:lang w:eastAsia="zh-TW" w:bidi="ar"/>
              </w:rPr>
              <w:t>危险化学品类</w:t>
            </w:r>
          </w:p>
        </w:tc>
        <w:tc>
          <w:tcPr>
            <w:tcW w:w="2881" w:type="dxa"/>
            <w:tcBorders>
              <w:tl2br w:val="nil"/>
              <w:tr2bl w:val="nil"/>
            </w:tcBorders>
            <w:vAlign w:val="center"/>
          </w:tcPr>
          <w:p>
            <w:pPr>
              <w:widowControl/>
              <w:adjustRightInd w:val="0"/>
              <w:snapToGrid w:val="0"/>
              <w:spacing w:after="0" w:line="240" w:lineRule="auto"/>
              <w:jc w:val="left"/>
              <w:rPr>
                <w:rFonts w:hint="eastAsia" w:ascii="仿宋_GB2312" w:eastAsia="仿宋_GB2312" w:hAnsiTheme="minorEastAsia"/>
                <w:sz w:val="20"/>
                <w:szCs w:val="20"/>
                <w:lang w:bidi="ar"/>
              </w:rPr>
            </w:pPr>
            <w:r>
              <w:rPr>
                <w:rFonts w:hint="eastAsia" w:ascii="仿宋_GB2312" w:hAnsi="宋体" w:cs="宋体"/>
                <w:kern w:val="0"/>
                <w:sz w:val="20"/>
                <w:szCs w:val="20"/>
              </w:rPr>
              <w:t>可燃液体常压储罐未按</w:t>
            </w:r>
            <w:r>
              <w:rPr>
                <w:rFonts w:hint="eastAsia" w:ascii="仿宋_GB2312" w:hAnsi="宋体" w:cs="宋体"/>
                <w:kern w:val="0"/>
                <w:sz w:val="20"/>
                <w:szCs w:val="20"/>
                <w:lang w:val="en-US" w:eastAsia="zh-CN"/>
              </w:rPr>
              <w:t>照AQ3063的</w:t>
            </w:r>
            <w:r>
              <w:rPr>
                <w:rFonts w:hint="eastAsia" w:ascii="仿宋_GB2312" w:hAnsi="宋体" w:cs="宋体"/>
                <w:kern w:val="0"/>
                <w:sz w:val="20"/>
                <w:szCs w:val="20"/>
              </w:rPr>
              <w:t>要求</w:t>
            </w:r>
            <w:r>
              <w:rPr>
                <w:rFonts w:hint="eastAsia" w:ascii="仿宋_GB2312" w:hAnsi="宋体" w:cs="宋体"/>
                <w:kern w:val="0"/>
                <w:sz w:val="20"/>
                <w:szCs w:val="20"/>
                <w:lang w:eastAsia="zh-CN"/>
              </w:rPr>
              <w:t>，</w:t>
            </w:r>
            <w:r>
              <w:rPr>
                <w:rFonts w:hint="eastAsia" w:ascii="仿宋_GB2312" w:hAnsi="宋体" w:cs="宋体"/>
                <w:kern w:val="0"/>
                <w:sz w:val="20"/>
                <w:szCs w:val="20"/>
              </w:rPr>
              <w:t>设置氮气密封保护系统或未定期检测气相空间可燃气体浓度。易挥发性可燃液体物料储罐罐顶的油气收集管道未设置阻爆轰型阻火器；混合后能发生化学反应的气体共用收集系统。</w:t>
            </w:r>
          </w:p>
        </w:tc>
        <w:tc>
          <w:tcPr>
            <w:tcW w:w="3919" w:type="dxa"/>
            <w:tcBorders>
              <w:tl2br w:val="nil"/>
              <w:tr2bl w:val="nil"/>
            </w:tcBorders>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hAnsi="宋体" w:cs="宋体"/>
                <w:kern w:val="0"/>
                <w:sz w:val="20"/>
                <w:szCs w:val="20"/>
              </w:rPr>
              <w:t>可燃液体常压储罐应照AQ3063的</w:t>
            </w:r>
            <w:r>
              <w:rPr>
                <w:rFonts w:hint="eastAsia" w:ascii="仿宋_GB2312" w:hAnsi="宋体" w:cs="宋体"/>
                <w:kern w:val="0"/>
                <w:sz w:val="20"/>
                <w:szCs w:val="20"/>
                <w:lang w:eastAsia="zh-CN"/>
              </w:rPr>
              <w:t>，</w:t>
            </w:r>
            <w:r>
              <w:rPr>
                <w:rFonts w:hint="eastAsia" w:ascii="仿宋_GB2312" w:hAnsi="宋体" w:cs="宋体"/>
                <w:kern w:val="0"/>
                <w:sz w:val="20"/>
                <w:szCs w:val="20"/>
              </w:rPr>
              <w:t>设置氮气密封保护系统或定期检测气相空间可燃气体浓度。易挥发性可燃液体物料储罐罐顶的油气收集管道应设置阻爆轰型阻火器；混合后能发生化学反应的气体不得共用收集系统。</w:t>
            </w:r>
          </w:p>
        </w:tc>
        <w:tc>
          <w:tcPr>
            <w:tcW w:w="1282" w:type="pct"/>
            <w:tcBorders>
              <w:tl2br w:val="nil"/>
              <w:tr2bl w:val="nil"/>
            </w:tcBorders>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eastAsia="zh-CN" w:bidi="ar"/>
              </w:rPr>
              <w:t>《化工和危险化学品生产经营企业重大生产安全事故隐患判定准则》（AQ 3067-2026）</w:t>
            </w:r>
            <w:r>
              <w:rPr>
                <w:rFonts w:hint="eastAsia" w:ascii="仿宋_GB2312" w:cs="宋体" w:hAnsiTheme="minorEastAsia"/>
                <w:kern w:val="0"/>
                <w:sz w:val="20"/>
                <w:szCs w:val="20"/>
                <w:lang w:bidi="ar"/>
              </w:rPr>
              <w:t>第5.4.5条</w:t>
            </w:r>
            <w:r>
              <w:rPr>
                <w:rFonts w:hint="eastAsia" w:ascii="仿宋_GB2312" w:cs="宋体" w:hAnsiTheme="minorEastAsia"/>
                <w:kern w:val="0"/>
                <w:sz w:val="20"/>
                <w:szCs w:val="20"/>
                <w:lang w:eastAsia="zh-CN" w:bidi="ar"/>
              </w:rPr>
              <w:t>、</w:t>
            </w:r>
            <w:r>
              <w:rPr>
                <w:rFonts w:hint="eastAsia" w:ascii="仿宋_GB2312" w:cs="宋体" w:hAnsiTheme="minorEastAsia"/>
                <w:kern w:val="0"/>
                <w:sz w:val="20"/>
                <w:szCs w:val="20"/>
                <w:lang w:bidi="ar"/>
              </w:rPr>
              <w:t>第5.5.11条</w:t>
            </w:r>
          </w:p>
        </w:tc>
        <w:tc>
          <w:tcPr>
            <w:tcW w:w="209" w:type="pct"/>
            <w:tcBorders>
              <w:tl2br w:val="nil"/>
              <w:tr2bl w:val="nil"/>
            </w:tcBorders>
            <w:vAlign w:val="center"/>
          </w:tcPr>
          <w:p>
            <w:pPr>
              <w:widowControl/>
              <w:adjustRightInd w:val="0"/>
              <w:snapToGrid w:val="0"/>
              <w:spacing w:after="0" w:line="240" w:lineRule="auto"/>
              <w:jc w:val="center"/>
              <w:rPr>
                <w:rFonts w:hint="eastAsia" w:ascii="仿宋_GB2312" w:hAnsi="仿宋" w:eastAsia="宋体" w:cs="宋体"/>
                <w:kern w:val="0"/>
                <w:sz w:val="20"/>
                <w:szCs w:val="20"/>
              </w:rPr>
            </w:pPr>
            <w:r>
              <w:rPr>
                <w:rFonts w:hint="eastAsia" w:ascii="仿宋_GB2312"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adjustRightInd w:val="0"/>
              <w:snapToGrid w:val="0"/>
              <w:spacing w:after="0" w:line="240" w:lineRule="auto"/>
              <w:jc w:val="center"/>
              <w:rPr>
                <w:rFonts w:hint="eastAsia" w:ascii="仿宋_GB2312" w:hAnsiTheme="minorEastAsia"/>
                <w:sz w:val="20"/>
                <w:szCs w:val="20"/>
              </w:rPr>
            </w:pPr>
            <w:r>
              <w:rPr>
                <w:rFonts w:hint="eastAsia" w:ascii="仿宋_GB2312" w:hAnsiTheme="minorEastAsia"/>
                <w:sz w:val="20"/>
                <w:szCs w:val="20"/>
              </w:rPr>
              <w:t>13.2.12.0</w:t>
            </w:r>
            <w:r>
              <w:rPr>
                <w:rFonts w:hint="eastAsia" w:ascii="仿宋_GB2312" w:hAnsiTheme="minorEastAsia"/>
                <w:sz w:val="20"/>
                <w:szCs w:val="20"/>
                <w:lang w:val="en-US" w:eastAsia="zh-CN"/>
              </w:rPr>
              <w:t>69</w:t>
            </w:r>
          </w:p>
        </w:tc>
        <w:tc>
          <w:tcPr>
            <w:tcW w:w="388"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设备设施及物料类</w:t>
            </w:r>
          </w:p>
        </w:tc>
        <w:tc>
          <w:tcPr>
            <w:tcW w:w="376"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危险化学品类</w:t>
            </w:r>
          </w:p>
        </w:tc>
        <w:tc>
          <w:tcPr>
            <w:tcW w:w="1025" w:type="pct"/>
            <w:tcBorders>
              <w:tl2br w:val="nil"/>
              <w:tr2bl w:val="nil"/>
            </w:tcBorders>
            <w:shd w:val="clear" w:color="auto" w:fill="FFFFFF"/>
            <w:vAlign w:val="center"/>
          </w:tcPr>
          <w:p>
            <w:pPr>
              <w:pStyle w:val="10"/>
              <w:adjustRightInd w:val="0"/>
              <w:snapToGrid w:val="0"/>
              <w:spacing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液氧的贮存、汽化、充装、使用场所的周围20m内存在明火，缺少明显的禁火标志。未设围墙或栅栏。</w:t>
            </w:r>
          </w:p>
        </w:tc>
        <w:tc>
          <w:tcPr>
            <w:tcW w:w="1394" w:type="pct"/>
            <w:tcBorders>
              <w:tl2br w:val="nil"/>
              <w:tr2bl w:val="nil"/>
            </w:tcBorders>
            <w:shd w:val="clear" w:color="auto" w:fill="FFFFFF"/>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液氧的贮存、汽化、充装、使用场所的周围20m内严禁明火，并应有明显的禁火标志。液氧的贮存、汽化、充装、使用场所宜设围墙或栅栏。</w:t>
            </w:r>
          </w:p>
        </w:tc>
        <w:tc>
          <w:tcPr>
            <w:tcW w:w="1282" w:type="pct"/>
            <w:tcBorders>
              <w:tl2br w:val="nil"/>
              <w:tr2bl w:val="nil"/>
            </w:tcBorders>
            <w:shd w:val="clear" w:color="auto" w:fill="FFFFFF"/>
            <w:vAlign w:val="center"/>
          </w:tcPr>
          <w:p>
            <w:pPr>
              <w:pStyle w:val="10"/>
              <w:adjustRightInd w:val="0"/>
              <w:snapToGrid w:val="0"/>
              <w:spacing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《低温液体贮运设备 使用安全规则》（JB</w:t>
            </w:r>
            <w:r>
              <w:rPr>
                <w:rFonts w:hint="eastAsia" w:ascii="仿宋_GB2312" w:eastAsia="仿宋_GB2312" w:hAnsiTheme="minorEastAsia"/>
                <w:sz w:val="20"/>
                <w:szCs w:val="20"/>
                <w:lang w:val="en-US" w:eastAsia="zh-CN" w:bidi="ar"/>
              </w:rPr>
              <w:t xml:space="preserve"> </w:t>
            </w:r>
            <w:r>
              <w:rPr>
                <w:rFonts w:hint="eastAsia" w:ascii="仿宋_GB2312" w:eastAsia="仿宋_GB2312" w:hAnsiTheme="minorEastAsia"/>
                <w:sz w:val="20"/>
                <w:szCs w:val="20"/>
                <w:lang w:bidi="ar"/>
              </w:rPr>
              <w:t>6898-2015）第4.2.8条、第4.2.11条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adjustRightInd w:val="0"/>
              <w:snapToGrid w:val="0"/>
              <w:spacing w:after="0" w:line="240" w:lineRule="auto"/>
              <w:jc w:val="center"/>
              <w:rPr>
                <w:rFonts w:hint="eastAsia" w:ascii="仿宋_GB2312" w:hAnsiTheme="minorEastAsia"/>
                <w:sz w:val="20"/>
                <w:szCs w:val="20"/>
              </w:rPr>
            </w:pPr>
            <w:r>
              <w:rPr>
                <w:rFonts w:hint="eastAsia" w:ascii="仿宋_GB2312" w:hAnsiTheme="minorEastAsia"/>
                <w:sz w:val="20"/>
                <w:szCs w:val="20"/>
              </w:rPr>
              <w:t>13.2.12.0</w:t>
            </w:r>
            <w:r>
              <w:rPr>
                <w:rFonts w:hint="eastAsia" w:ascii="仿宋_GB2312" w:hAnsiTheme="minorEastAsia"/>
                <w:sz w:val="20"/>
                <w:szCs w:val="20"/>
                <w:lang w:val="en-US" w:eastAsia="zh-CN"/>
              </w:rPr>
              <w:t>70</w:t>
            </w:r>
          </w:p>
        </w:tc>
        <w:tc>
          <w:tcPr>
            <w:tcW w:w="388"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设备设施及物料类</w:t>
            </w:r>
          </w:p>
        </w:tc>
        <w:tc>
          <w:tcPr>
            <w:tcW w:w="376"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危险化学品类</w:t>
            </w:r>
          </w:p>
        </w:tc>
        <w:tc>
          <w:tcPr>
            <w:tcW w:w="1025" w:type="pct"/>
            <w:tcBorders>
              <w:tl2br w:val="nil"/>
              <w:tr2bl w:val="nil"/>
            </w:tcBorders>
            <w:shd w:val="clear" w:color="auto" w:fill="FFFFFF"/>
            <w:vAlign w:val="center"/>
          </w:tcPr>
          <w:p>
            <w:pPr>
              <w:pStyle w:val="10"/>
              <w:adjustRightInd w:val="0"/>
              <w:snapToGrid w:val="0"/>
              <w:spacing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液氧的贮存、汽化、充装、使用场所的周围5m内有通向低处场所（如地下室、坑穴、地井、沟渠）的开口；地沟入口处缺少挡液堰。</w:t>
            </w:r>
          </w:p>
        </w:tc>
        <w:tc>
          <w:tcPr>
            <w:tcW w:w="1394" w:type="pct"/>
            <w:tcBorders>
              <w:tl2br w:val="nil"/>
              <w:tr2bl w:val="nil"/>
            </w:tcBorders>
            <w:shd w:val="clear" w:color="auto" w:fill="FFFFFF"/>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液氧的贮存、汽化、充装、使用场所的周围5m内不应有通向低处场所（如地下室、坑穴、地井、沟渠）的开口；地沟入口处必须有挡液堰。</w:t>
            </w:r>
          </w:p>
        </w:tc>
        <w:tc>
          <w:tcPr>
            <w:tcW w:w="1282" w:type="pct"/>
            <w:tcBorders>
              <w:tl2br w:val="nil"/>
              <w:tr2bl w:val="nil"/>
            </w:tcBorders>
            <w:shd w:val="clear" w:color="auto" w:fill="FFFFFF"/>
            <w:vAlign w:val="center"/>
          </w:tcPr>
          <w:p>
            <w:pPr>
              <w:pStyle w:val="10"/>
              <w:adjustRightInd w:val="0"/>
              <w:snapToGrid w:val="0"/>
              <w:spacing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《低温液体贮运设备 使用安全规则》（JB</w:t>
            </w:r>
            <w:r>
              <w:rPr>
                <w:rFonts w:hint="eastAsia" w:ascii="仿宋_GB2312" w:eastAsia="仿宋_GB2312" w:hAnsiTheme="minorEastAsia"/>
                <w:sz w:val="20"/>
                <w:szCs w:val="20"/>
                <w:lang w:val="en-US" w:eastAsia="zh-CN" w:bidi="ar"/>
              </w:rPr>
              <w:t xml:space="preserve"> </w:t>
            </w:r>
            <w:r>
              <w:rPr>
                <w:rFonts w:hint="eastAsia" w:ascii="仿宋_GB2312" w:eastAsia="仿宋_GB2312" w:hAnsiTheme="minorEastAsia"/>
                <w:sz w:val="20"/>
                <w:szCs w:val="20"/>
                <w:lang w:bidi="ar"/>
              </w:rPr>
              <w:t>6898-2015）第4.2.12条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adjustRightInd w:val="0"/>
              <w:snapToGrid w:val="0"/>
              <w:spacing w:after="0" w:line="240" w:lineRule="auto"/>
              <w:jc w:val="center"/>
              <w:rPr>
                <w:rFonts w:hint="eastAsia" w:ascii="仿宋_GB2312" w:eastAsia="仿宋_GB2312" w:hAnsiTheme="minorEastAsia"/>
                <w:sz w:val="20"/>
                <w:szCs w:val="20"/>
                <w:lang w:eastAsia="zh-CN"/>
              </w:rPr>
            </w:pPr>
            <w:r>
              <w:rPr>
                <w:rFonts w:hint="eastAsia" w:ascii="仿宋_GB2312" w:hAnsiTheme="minorEastAsia"/>
                <w:sz w:val="20"/>
                <w:szCs w:val="20"/>
              </w:rPr>
              <w:t>13.2.12.07</w:t>
            </w:r>
            <w:r>
              <w:rPr>
                <w:rFonts w:hint="eastAsia" w:ascii="仿宋_GB2312" w:hAnsiTheme="minorEastAsia"/>
                <w:sz w:val="20"/>
                <w:szCs w:val="20"/>
                <w:lang w:val="en-US" w:eastAsia="zh-CN"/>
              </w:rPr>
              <w:t>1</w:t>
            </w:r>
          </w:p>
        </w:tc>
        <w:tc>
          <w:tcPr>
            <w:tcW w:w="388"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设备设施及物料类</w:t>
            </w:r>
          </w:p>
        </w:tc>
        <w:tc>
          <w:tcPr>
            <w:tcW w:w="376"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危险化学品类</w:t>
            </w:r>
          </w:p>
        </w:tc>
        <w:tc>
          <w:tcPr>
            <w:tcW w:w="1025" w:type="pct"/>
            <w:tcBorders>
              <w:tl2br w:val="nil"/>
              <w:tr2bl w:val="nil"/>
            </w:tcBorders>
            <w:shd w:val="clear" w:color="auto" w:fill="FFFFFF"/>
            <w:vAlign w:val="center"/>
          </w:tcPr>
          <w:p>
            <w:pPr>
              <w:pStyle w:val="10"/>
              <w:adjustRightInd w:val="0"/>
              <w:snapToGrid w:val="0"/>
              <w:spacing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氧气、氮气等放散管和液氧、液氮等排放管未引至室外安全处，放散管口距地面低于4.5m。</w:t>
            </w:r>
          </w:p>
        </w:tc>
        <w:tc>
          <w:tcPr>
            <w:tcW w:w="1394" w:type="pct"/>
            <w:tcBorders>
              <w:tl2br w:val="nil"/>
              <w:tr2bl w:val="nil"/>
            </w:tcBorders>
            <w:shd w:val="clear" w:color="auto" w:fill="FFFFFF"/>
            <w:vAlign w:val="center"/>
          </w:tcPr>
          <w:p>
            <w:pPr>
              <w:pStyle w:val="10"/>
              <w:adjustRightInd w:val="0"/>
              <w:snapToGrid w:val="0"/>
              <w:spacing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氧气、氮气等放散管和液氧、液氮等排放管应引至室外安全处，放散管口距地面不得低于4.5m。</w:t>
            </w:r>
          </w:p>
        </w:tc>
        <w:tc>
          <w:tcPr>
            <w:tcW w:w="1282"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《氧气站设计规范》（GB</w:t>
            </w:r>
            <w:r>
              <w:rPr>
                <w:rFonts w:hint="eastAsia" w:ascii="仿宋_GB2312" w:eastAsia="仿宋_GB2312" w:hAnsiTheme="minorEastAsia"/>
                <w:sz w:val="20"/>
                <w:szCs w:val="20"/>
                <w:lang w:val="en-US" w:eastAsia="zh-CN" w:bidi="ar"/>
              </w:rPr>
              <w:t xml:space="preserve"> </w:t>
            </w:r>
            <w:r>
              <w:rPr>
                <w:rFonts w:hint="eastAsia" w:ascii="仿宋_GB2312" w:eastAsia="仿宋_GB2312" w:hAnsiTheme="minorEastAsia"/>
                <w:sz w:val="20"/>
                <w:szCs w:val="20"/>
                <w:lang w:bidi="ar"/>
              </w:rPr>
              <w:t>50030-2013）第6.0.13条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adjustRightInd w:val="0"/>
              <w:snapToGrid w:val="0"/>
              <w:spacing w:after="0" w:line="240" w:lineRule="auto"/>
              <w:jc w:val="center"/>
              <w:rPr>
                <w:rFonts w:hint="eastAsia" w:ascii="仿宋_GB2312" w:eastAsia="仿宋_GB2312" w:hAnsiTheme="minorEastAsia"/>
                <w:sz w:val="20"/>
                <w:szCs w:val="20"/>
                <w:lang w:eastAsia="zh-CN"/>
              </w:rPr>
            </w:pPr>
            <w:r>
              <w:rPr>
                <w:rFonts w:hint="eastAsia" w:ascii="仿宋_GB2312" w:hAnsiTheme="minorEastAsia"/>
                <w:sz w:val="20"/>
                <w:szCs w:val="20"/>
              </w:rPr>
              <w:t>13.2.12.07</w:t>
            </w:r>
            <w:r>
              <w:rPr>
                <w:rFonts w:hint="eastAsia" w:ascii="仿宋_GB2312" w:hAnsiTheme="minorEastAsia"/>
                <w:sz w:val="20"/>
                <w:szCs w:val="20"/>
                <w:lang w:val="en-US" w:eastAsia="zh-CN"/>
              </w:rPr>
              <w:t>2</w:t>
            </w:r>
          </w:p>
        </w:tc>
        <w:tc>
          <w:tcPr>
            <w:tcW w:w="388"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设备设施及物料类</w:t>
            </w:r>
          </w:p>
        </w:tc>
        <w:tc>
          <w:tcPr>
            <w:tcW w:w="376"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危险化学品类</w:t>
            </w:r>
          </w:p>
        </w:tc>
        <w:tc>
          <w:tcPr>
            <w:tcW w:w="1025" w:type="pct"/>
            <w:tcBorders>
              <w:tl2br w:val="nil"/>
              <w:tr2bl w:val="nil"/>
            </w:tcBorders>
            <w:shd w:val="clear" w:color="auto" w:fill="FFFFFF"/>
            <w:vAlign w:val="center"/>
          </w:tcPr>
          <w:p>
            <w:pPr>
              <w:pStyle w:val="10"/>
              <w:adjustRightInd w:val="0"/>
              <w:snapToGrid w:val="0"/>
              <w:spacing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氧气、氢气管道穿过不使用氧气、氢气的房间。</w:t>
            </w:r>
          </w:p>
        </w:tc>
        <w:tc>
          <w:tcPr>
            <w:tcW w:w="1394" w:type="pct"/>
            <w:tcBorders>
              <w:tl2br w:val="nil"/>
              <w:tr2bl w:val="nil"/>
            </w:tcBorders>
            <w:shd w:val="clear" w:color="auto" w:fill="FFFFFF"/>
            <w:vAlign w:val="center"/>
          </w:tcPr>
          <w:p>
            <w:pPr>
              <w:pStyle w:val="10"/>
              <w:adjustRightInd w:val="0"/>
              <w:snapToGrid w:val="0"/>
              <w:spacing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氧气、氢气管道不应穿过不使用氧气、氢气的房间。</w:t>
            </w:r>
          </w:p>
        </w:tc>
        <w:tc>
          <w:tcPr>
            <w:tcW w:w="1282"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《氧气站设计规范》（GB 50030-2013）第11.0.4条；</w:t>
            </w:r>
          </w:p>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《氢气站设计规范》（GB 50177-2005）第12.0.10条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adjustRightInd w:val="0"/>
              <w:snapToGrid w:val="0"/>
              <w:spacing w:after="0" w:line="240" w:lineRule="auto"/>
              <w:jc w:val="center"/>
              <w:rPr>
                <w:rFonts w:hint="eastAsia" w:ascii="仿宋_GB2312" w:eastAsia="仿宋_GB2312" w:hAnsiTheme="minorEastAsia"/>
                <w:sz w:val="20"/>
                <w:szCs w:val="20"/>
                <w:lang w:eastAsia="zh-CN"/>
              </w:rPr>
            </w:pPr>
            <w:r>
              <w:rPr>
                <w:rFonts w:hint="eastAsia" w:ascii="仿宋_GB2312" w:hAnsiTheme="minorEastAsia"/>
                <w:sz w:val="20"/>
                <w:szCs w:val="20"/>
              </w:rPr>
              <w:t>13.2.12.07</w:t>
            </w:r>
            <w:r>
              <w:rPr>
                <w:rFonts w:hint="eastAsia" w:ascii="仿宋_GB2312" w:hAnsiTheme="minorEastAsia"/>
                <w:sz w:val="20"/>
                <w:szCs w:val="20"/>
                <w:lang w:val="en-US" w:eastAsia="zh-CN"/>
              </w:rPr>
              <w:t>3</w:t>
            </w:r>
          </w:p>
        </w:tc>
        <w:tc>
          <w:tcPr>
            <w:tcW w:w="388"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设备设施及物料类</w:t>
            </w:r>
          </w:p>
        </w:tc>
        <w:tc>
          <w:tcPr>
            <w:tcW w:w="376"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危险化学品类</w:t>
            </w:r>
          </w:p>
        </w:tc>
        <w:tc>
          <w:tcPr>
            <w:tcW w:w="1025" w:type="pct"/>
            <w:tcBorders>
              <w:tl2br w:val="nil"/>
              <w:tr2bl w:val="nil"/>
            </w:tcBorders>
            <w:shd w:val="clear" w:color="auto" w:fill="FFFFFF"/>
            <w:vAlign w:val="center"/>
          </w:tcPr>
          <w:p>
            <w:pPr>
              <w:pStyle w:val="10"/>
              <w:adjustRightInd w:val="0"/>
              <w:snapToGrid w:val="0"/>
              <w:spacing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气瓶缺少追溯标签。</w:t>
            </w:r>
          </w:p>
        </w:tc>
        <w:tc>
          <w:tcPr>
            <w:tcW w:w="1394"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气瓶追溯标识应清晰、完整，气瓶追溯标识编码应具有唯一性。</w:t>
            </w:r>
          </w:p>
        </w:tc>
        <w:tc>
          <w:tcPr>
            <w:tcW w:w="1282"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《危险化学品气瓶追溯技术规范》（DB11/T 1530-2018）第4.6条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adjustRightInd w:val="0"/>
              <w:snapToGrid w:val="0"/>
              <w:spacing w:after="0" w:line="240" w:lineRule="auto"/>
              <w:jc w:val="center"/>
              <w:rPr>
                <w:rFonts w:hint="eastAsia" w:ascii="仿宋_GB2312" w:eastAsia="仿宋_GB2312" w:hAnsiTheme="minorEastAsia"/>
                <w:sz w:val="20"/>
                <w:szCs w:val="20"/>
                <w:lang w:eastAsia="zh-CN"/>
              </w:rPr>
            </w:pPr>
            <w:r>
              <w:rPr>
                <w:rFonts w:hint="eastAsia" w:ascii="仿宋_GB2312" w:hAnsiTheme="minorEastAsia"/>
                <w:sz w:val="20"/>
                <w:szCs w:val="20"/>
              </w:rPr>
              <w:t>13.2.12.07</w:t>
            </w:r>
            <w:r>
              <w:rPr>
                <w:rFonts w:hint="eastAsia" w:ascii="仿宋_GB2312" w:hAnsiTheme="minorEastAsia"/>
                <w:sz w:val="20"/>
                <w:szCs w:val="20"/>
                <w:lang w:val="en-US" w:eastAsia="zh-CN"/>
              </w:rPr>
              <w:t>4</w:t>
            </w:r>
          </w:p>
        </w:tc>
        <w:tc>
          <w:tcPr>
            <w:tcW w:w="388"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设备设施及物料类</w:t>
            </w:r>
          </w:p>
        </w:tc>
        <w:tc>
          <w:tcPr>
            <w:tcW w:w="376"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危险化学品类</w:t>
            </w:r>
          </w:p>
        </w:tc>
        <w:tc>
          <w:tcPr>
            <w:tcW w:w="2881" w:type="dxa"/>
            <w:tcBorders>
              <w:tl2br w:val="nil"/>
              <w:tr2bl w:val="nil"/>
            </w:tcBorders>
            <w:shd w:val="clear" w:color="auto" w:fill="FFFFFF"/>
            <w:vAlign w:val="center"/>
          </w:tcPr>
          <w:p>
            <w:pPr>
              <w:widowControl/>
              <w:adjustRightInd w:val="0"/>
              <w:snapToGrid w:val="0"/>
              <w:spacing w:after="0" w:line="240" w:lineRule="auto"/>
              <w:jc w:val="left"/>
              <w:rPr>
                <w:rFonts w:hint="eastAsia" w:ascii="仿宋_GB2312" w:eastAsia="仿宋_GB2312" w:hAnsiTheme="minorEastAsia"/>
                <w:sz w:val="20"/>
                <w:szCs w:val="20"/>
                <w:lang w:bidi="ar"/>
              </w:rPr>
            </w:pPr>
            <w:r>
              <w:rPr>
                <w:rFonts w:hint="eastAsia" w:ascii="仿宋_GB2312" w:hAnsi="宋体" w:cs="宋体"/>
                <w:kern w:val="0"/>
                <w:sz w:val="20"/>
                <w:szCs w:val="20"/>
              </w:rPr>
              <w:t>未对物理危险性不明的化学品进行物理危险性鉴定与分类。</w:t>
            </w:r>
          </w:p>
        </w:tc>
        <w:tc>
          <w:tcPr>
            <w:tcW w:w="3919" w:type="dxa"/>
            <w:tcBorders>
              <w:tl2br w:val="nil"/>
              <w:tr2bl w:val="nil"/>
            </w:tcBorders>
            <w:shd w:val="clear" w:color="auto" w:fill="FFFFFF"/>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hAnsi="宋体" w:cs="宋体"/>
                <w:kern w:val="0"/>
                <w:sz w:val="20"/>
                <w:szCs w:val="20"/>
              </w:rPr>
              <w:t>应对物理危险性不明的化学品进行物理危险性鉴定与分类。</w:t>
            </w:r>
          </w:p>
        </w:tc>
        <w:tc>
          <w:tcPr>
            <w:tcW w:w="1282" w:type="pct"/>
            <w:tcBorders>
              <w:tl2br w:val="nil"/>
              <w:tr2bl w:val="nil"/>
            </w:tcBorders>
            <w:shd w:val="clear" w:color="auto" w:fill="FFFFFF"/>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eastAsia="zh-CN" w:bidi="ar"/>
              </w:rPr>
              <w:t>《化工和危险化学品生产经营企业重大生产安全事故隐患判定准则》（AQ 3067-2026）</w:t>
            </w:r>
            <w:r>
              <w:rPr>
                <w:rFonts w:hint="eastAsia" w:ascii="仿宋_GB2312" w:cs="宋体" w:hAnsiTheme="minorEastAsia"/>
                <w:kern w:val="0"/>
                <w:sz w:val="20"/>
                <w:szCs w:val="20"/>
                <w:lang w:bidi="ar"/>
              </w:rPr>
              <w:t>第5.7.2条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bidi="ar"/>
              </w:rPr>
            </w:pPr>
            <w:r>
              <w:rPr>
                <w:rFonts w:hint="eastAsia" w:ascii="仿宋_GB2312"/>
                <w:sz w:val="20"/>
                <w:szCs w:val="2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adjustRightInd w:val="0"/>
              <w:snapToGrid w:val="0"/>
              <w:spacing w:after="0" w:line="240" w:lineRule="auto"/>
              <w:jc w:val="center"/>
              <w:rPr>
                <w:rFonts w:hint="eastAsia" w:ascii="仿宋_GB2312" w:eastAsia="仿宋_GB2312" w:hAnsiTheme="minorEastAsia"/>
                <w:sz w:val="20"/>
                <w:szCs w:val="20"/>
                <w:lang w:eastAsia="zh-CN"/>
              </w:rPr>
            </w:pPr>
            <w:r>
              <w:rPr>
                <w:rFonts w:hint="eastAsia" w:ascii="仿宋_GB2312" w:hAnsiTheme="minorEastAsia"/>
                <w:sz w:val="20"/>
                <w:szCs w:val="20"/>
              </w:rPr>
              <w:t>13.2.12.07</w:t>
            </w:r>
            <w:r>
              <w:rPr>
                <w:rFonts w:hint="eastAsia" w:ascii="仿宋_GB2312" w:hAnsiTheme="minorEastAsia"/>
                <w:sz w:val="20"/>
                <w:szCs w:val="20"/>
                <w:lang w:val="en-US" w:eastAsia="zh-CN"/>
              </w:rPr>
              <w:t>5</w:t>
            </w:r>
          </w:p>
        </w:tc>
        <w:tc>
          <w:tcPr>
            <w:tcW w:w="388"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设备设施及物料类</w:t>
            </w:r>
          </w:p>
        </w:tc>
        <w:tc>
          <w:tcPr>
            <w:tcW w:w="376"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bidi="ar"/>
              </w:rPr>
            </w:pPr>
            <w:r>
              <w:rPr>
                <w:rFonts w:hint="eastAsia" w:ascii="仿宋_GB2312" w:eastAsia="仿宋_GB2312" w:hAnsiTheme="minorEastAsia"/>
                <w:sz w:val="20"/>
                <w:szCs w:val="20"/>
                <w:lang w:eastAsia="zh-TW" w:bidi="ar"/>
              </w:rPr>
              <w:t>危险化学品类</w:t>
            </w:r>
          </w:p>
        </w:tc>
        <w:tc>
          <w:tcPr>
            <w:tcW w:w="1025" w:type="pct"/>
            <w:tcBorders>
              <w:tl2br w:val="nil"/>
              <w:tr2bl w:val="nil"/>
            </w:tcBorders>
            <w:shd w:val="clear" w:color="auto" w:fill="FFFFFF"/>
            <w:vAlign w:val="center"/>
          </w:tcPr>
          <w:p>
            <w:pPr>
              <w:pStyle w:val="10"/>
              <w:adjustRightInd w:val="0"/>
              <w:snapToGrid w:val="0"/>
              <w:spacing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危险化学品储存柜不具有强制通风和吸收净化功能，存放易燃易爆危险化学品的储存柜缺少导出静电的接地装置并接地措施。</w:t>
            </w:r>
          </w:p>
        </w:tc>
        <w:tc>
          <w:tcPr>
            <w:tcW w:w="1394" w:type="pct"/>
            <w:tcBorders>
              <w:tl2br w:val="nil"/>
              <w:tr2bl w:val="nil"/>
            </w:tcBorders>
            <w:shd w:val="clear" w:color="auto" w:fill="FFFFFF"/>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危险化学品储存柜应具有强制通风和吸收净化功能，存放易燃易爆危险化学品的储存柜应有导出静电的接地装置并接地。</w:t>
            </w:r>
          </w:p>
        </w:tc>
        <w:tc>
          <w:tcPr>
            <w:tcW w:w="1282" w:type="pct"/>
            <w:tcBorders>
              <w:tl2br w:val="nil"/>
              <w:tr2bl w:val="nil"/>
            </w:tcBorders>
            <w:shd w:val="clear" w:color="auto" w:fill="FFFFFF"/>
            <w:vAlign w:val="center"/>
          </w:tcPr>
          <w:p>
            <w:pPr>
              <w:pStyle w:val="10"/>
              <w:adjustRightInd w:val="0"/>
              <w:snapToGrid w:val="0"/>
              <w:spacing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《危险化学品储存场所建设及储存安全要求》（DB11/T 755）第4.1.3.11条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adjustRightInd w:val="0"/>
              <w:snapToGrid w:val="0"/>
              <w:spacing w:after="0" w:line="240" w:lineRule="auto"/>
              <w:jc w:val="center"/>
              <w:rPr>
                <w:rFonts w:hint="eastAsia" w:ascii="仿宋_GB2312" w:eastAsia="仿宋_GB2312" w:hAnsiTheme="minorEastAsia"/>
                <w:sz w:val="20"/>
                <w:szCs w:val="20"/>
                <w:lang w:eastAsia="zh-CN"/>
              </w:rPr>
            </w:pPr>
            <w:r>
              <w:rPr>
                <w:rFonts w:hint="eastAsia" w:ascii="仿宋_GB2312" w:hAnsiTheme="minorEastAsia"/>
                <w:sz w:val="20"/>
                <w:szCs w:val="20"/>
              </w:rPr>
              <w:t>13.2.12.07</w:t>
            </w:r>
            <w:r>
              <w:rPr>
                <w:rFonts w:hint="eastAsia" w:ascii="仿宋_GB2312" w:hAnsiTheme="minorEastAsia"/>
                <w:sz w:val="20"/>
                <w:szCs w:val="20"/>
                <w:lang w:val="en-US" w:eastAsia="zh-CN"/>
              </w:rPr>
              <w:t>6</w:t>
            </w:r>
          </w:p>
        </w:tc>
        <w:tc>
          <w:tcPr>
            <w:tcW w:w="388"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设备设施及物料类</w:t>
            </w:r>
          </w:p>
        </w:tc>
        <w:tc>
          <w:tcPr>
            <w:tcW w:w="376"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bidi="ar"/>
              </w:rPr>
            </w:pPr>
            <w:r>
              <w:rPr>
                <w:rFonts w:hint="eastAsia" w:ascii="仿宋_GB2312" w:eastAsia="仿宋_GB2312" w:hAnsiTheme="minorEastAsia"/>
                <w:sz w:val="20"/>
                <w:szCs w:val="20"/>
                <w:lang w:eastAsia="zh-TW" w:bidi="ar"/>
              </w:rPr>
              <w:t>危险化学品类</w:t>
            </w:r>
          </w:p>
        </w:tc>
        <w:tc>
          <w:tcPr>
            <w:tcW w:w="1025" w:type="pct"/>
            <w:tcBorders>
              <w:tl2br w:val="nil"/>
              <w:tr2bl w:val="nil"/>
            </w:tcBorders>
            <w:shd w:val="clear" w:color="auto" w:fill="FFFFFF"/>
            <w:vAlign w:val="center"/>
          </w:tcPr>
          <w:p>
            <w:pPr>
              <w:pStyle w:val="10"/>
              <w:adjustRightInd w:val="0"/>
              <w:snapToGrid w:val="0"/>
              <w:spacing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危险化学品仓库的配电箱及照明、通风等电气设备的开关未设置在仓库外。</w:t>
            </w:r>
          </w:p>
        </w:tc>
        <w:tc>
          <w:tcPr>
            <w:tcW w:w="1394" w:type="pct"/>
            <w:tcBorders>
              <w:tl2br w:val="nil"/>
              <w:tr2bl w:val="nil"/>
            </w:tcBorders>
            <w:shd w:val="clear" w:color="auto" w:fill="FFFFFF"/>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危险化学品仓库的配电箱及照明、通风等电气设备的开关应设置在仓库外。</w:t>
            </w:r>
          </w:p>
        </w:tc>
        <w:tc>
          <w:tcPr>
            <w:tcW w:w="1282" w:type="pct"/>
            <w:tcBorders>
              <w:tl2br w:val="nil"/>
              <w:tr2bl w:val="nil"/>
            </w:tcBorders>
            <w:shd w:val="clear" w:color="auto" w:fill="FFFFFF"/>
            <w:vAlign w:val="center"/>
          </w:tcPr>
          <w:p>
            <w:pPr>
              <w:pStyle w:val="10"/>
              <w:adjustRightInd w:val="0"/>
              <w:snapToGrid w:val="0"/>
              <w:spacing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《危险化学品储存场所建设及储存安全要求》（DB11/T 755）第4.2.10条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adjustRightInd w:val="0"/>
              <w:snapToGrid w:val="0"/>
              <w:spacing w:after="0" w:line="240" w:lineRule="auto"/>
              <w:jc w:val="center"/>
              <w:rPr>
                <w:rFonts w:hint="eastAsia" w:ascii="仿宋_GB2312" w:eastAsia="仿宋_GB2312" w:hAnsiTheme="minorEastAsia"/>
                <w:sz w:val="20"/>
                <w:szCs w:val="20"/>
                <w:lang w:eastAsia="zh-CN"/>
              </w:rPr>
            </w:pPr>
            <w:r>
              <w:rPr>
                <w:rFonts w:hint="eastAsia" w:ascii="仿宋_GB2312" w:hAnsiTheme="minorEastAsia"/>
                <w:sz w:val="20"/>
                <w:szCs w:val="20"/>
              </w:rPr>
              <w:t>13.2.12.07</w:t>
            </w:r>
            <w:r>
              <w:rPr>
                <w:rFonts w:hint="eastAsia" w:ascii="仿宋_GB2312" w:hAnsiTheme="minorEastAsia"/>
                <w:sz w:val="20"/>
                <w:szCs w:val="20"/>
                <w:lang w:val="en-US" w:eastAsia="zh-CN"/>
              </w:rPr>
              <w:t>7</w:t>
            </w:r>
          </w:p>
        </w:tc>
        <w:tc>
          <w:tcPr>
            <w:tcW w:w="388"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设备设施及物料类</w:t>
            </w:r>
          </w:p>
        </w:tc>
        <w:tc>
          <w:tcPr>
            <w:tcW w:w="376"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危险化学品类</w:t>
            </w:r>
          </w:p>
        </w:tc>
        <w:tc>
          <w:tcPr>
            <w:tcW w:w="1025" w:type="pct"/>
            <w:tcBorders>
              <w:tl2br w:val="nil"/>
              <w:tr2bl w:val="nil"/>
            </w:tcBorders>
            <w:shd w:val="clear" w:color="auto" w:fill="FFFFFF"/>
            <w:vAlign w:val="center"/>
          </w:tcPr>
          <w:p>
            <w:pPr>
              <w:pStyle w:val="10"/>
              <w:adjustRightInd w:val="0"/>
              <w:snapToGrid w:val="0"/>
              <w:spacing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厂房内甲、乙类中间仓库储量超过1昼夜的需要量。</w:t>
            </w:r>
          </w:p>
        </w:tc>
        <w:tc>
          <w:tcPr>
            <w:tcW w:w="1394"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厂房内甲、乙类中间仓库储量不应超过1昼夜的需要量。</w:t>
            </w:r>
          </w:p>
        </w:tc>
        <w:tc>
          <w:tcPr>
            <w:tcW w:w="1282"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《建筑设计防火规范（2018年版）》（GB 50016-2014）第3.3.6条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adjustRightInd w:val="0"/>
              <w:snapToGrid w:val="0"/>
              <w:spacing w:after="0" w:line="240" w:lineRule="auto"/>
              <w:jc w:val="center"/>
              <w:rPr>
                <w:rFonts w:hint="eastAsia" w:ascii="仿宋_GB2312" w:hAnsiTheme="minorEastAsia"/>
                <w:sz w:val="20"/>
                <w:szCs w:val="20"/>
              </w:rPr>
            </w:pPr>
            <w:r>
              <w:rPr>
                <w:rFonts w:hint="eastAsia" w:ascii="仿宋_GB2312" w:hAnsiTheme="minorEastAsia"/>
                <w:sz w:val="20"/>
                <w:szCs w:val="20"/>
              </w:rPr>
              <w:t>13.2.12.0</w:t>
            </w:r>
            <w:r>
              <w:rPr>
                <w:rFonts w:hint="eastAsia" w:ascii="仿宋_GB2312" w:hAnsiTheme="minorEastAsia"/>
                <w:sz w:val="20"/>
                <w:szCs w:val="20"/>
                <w:lang w:val="en-US" w:eastAsia="zh-CN"/>
              </w:rPr>
              <w:t>78</w:t>
            </w:r>
          </w:p>
        </w:tc>
        <w:tc>
          <w:tcPr>
            <w:tcW w:w="388"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cs="仿宋_GB2312"/>
                <w:sz w:val="20"/>
                <w:szCs w:val="20"/>
                <w:lang w:bidi="ar"/>
              </w:rPr>
              <w:t>设备设施及物料类</w:t>
            </w:r>
          </w:p>
        </w:tc>
        <w:tc>
          <w:tcPr>
            <w:tcW w:w="376"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危险化学品类</w:t>
            </w:r>
          </w:p>
        </w:tc>
        <w:tc>
          <w:tcPr>
            <w:tcW w:w="1025" w:type="pct"/>
            <w:tcBorders>
              <w:tl2br w:val="nil"/>
              <w:tr2bl w:val="nil"/>
            </w:tcBorders>
            <w:vAlign w:val="center"/>
          </w:tcPr>
          <w:p>
            <w:pPr>
              <w:pStyle w:val="10"/>
              <w:adjustRightInd w:val="0"/>
              <w:snapToGrid w:val="0"/>
              <w:spacing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危险化学品储存场所未设置温、湿度检测仪。</w:t>
            </w:r>
          </w:p>
        </w:tc>
        <w:tc>
          <w:tcPr>
            <w:tcW w:w="1394" w:type="pct"/>
            <w:tcBorders>
              <w:tl2br w:val="nil"/>
              <w:tr2bl w:val="nil"/>
            </w:tcBorders>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储存场所应设置温、湿度检测仪。</w:t>
            </w:r>
          </w:p>
        </w:tc>
        <w:tc>
          <w:tcPr>
            <w:tcW w:w="1282" w:type="pct"/>
            <w:tcBorders>
              <w:tl2br w:val="nil"/>
              <w:tr2bl w:val="nil"/>
            </w:tcBorders>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《危险化学品储存场所建设及储存安全要求》（DB11/T 755）第4.1.3.5条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adjustRightInd w:val="0"/>
              <w:snapToGrid w:val="0"/>
              <w:spacing w:after="0" w:line="240" w:lineRule="auto"/>
              <w:jc w:val="center"/>
              <w:rPr>
                <w:rFonts w:hint="eastAsia" w:ascii="仿宋_GB2312" w:hAnsiTheme="minorEastAsia"/>
                <w:sz w:val="20"/>
                <w:szCs w:val="20"/>
              </w:rPr>
            </w:pPr>
            <w:r>
              <w:rPr>
                <w:rFonts w:hint="eastAsia" w:ascii="仿宋_GB2312" w:hAnsiTheme="minorEastAsia"/>
                <w:sz w:val="20"/>
                <w:szCs w:val="20"/>
              </w:rPr>
              <w:t>13.2.12.0</w:t>
            </w:r>
            <w:r>
              <w:rPr>
                <w:rFonts w:hint="eastAsia" w:ascii="仿宋_GB2312" w:hAnsiTheme="minorEastAsia"/>
                <w:sz w:val="20"/>
                <w:szCs w:val="20"/>
                <w:lang w:val="en-US" w:eastAsia="zh-CN"/>
              </w:rPr>
              <w:t>79</w:t>
            </w:r>
          </w:p>
        </w:tc>
        <w:tc>
          <w:tcPr>
            <w:tcW w:w="388"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cs="仿宋_GB2312"/>
                <w:sz w:val="20"/>
                <w:szCs w:val="20"/>
                <w:lang w:bidi="ar"/>
              </w:rPr>
              <w:t>设备设施及物料类</w:t>
            </w:r>
          </w:p>
        </w:tc>
        <w:tc>
          <w:tcPr>
            <w:tcW w:w="376"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危险化学品类</w:t>
            </w:r>
          </w:p>
        </w:tc>
        <w:tc>
          <w:tcPr>
            <w:tcW w:w="1025" w:type="pct"/>
            <w:tcBorders>
              <w:tl2br w:val="nil"/>
              <w:tr2bl w:val="nil"/>
            </w:tcBorders>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甲类、乙类、丙类液体的储存场所未设置防止液体流散的设施；遇湿会发生燃烧爆炸的物品储存场所未采取防止水浸渍的措施。</w:t>
            </w:r>
          </w:p>
        </w:tc>
        <w:tc>
          <w:tcPr>
            <w:tcW w:w="1394" w:type="pct"/>
            <w:tcBorders>
              <w:tl2br w:val="nil"/>
              <w:tr2bl w:val="nil"/>
            </w:tcBorders>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甲类、乙类、丙类液体的储存场所应设置防止液体流散的设施。遇湿会发生燃烧爆炸的物品储存场所应采取防止水浸渍的措施。</w:t>
            </w:r>
          </w:p>
        </w:tc>
        <w:tc>
          <w:tcPr>
            <w:tcW w:w="1282" w:type="pct"/>
            <w:tcBorders>
              <w:tl2br w:val="nil"/>
              <w:tr2bl w:val="nil"/>
            </w:tcBorders>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《危险化学品储存场所建设及储存安全要求》（DB11/T 755）第4.1.3.6、4.1.3.7条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adjustRightInd w:val="0"/>
              <w:snapToGrid w:val="0"/>
              <w:spacing w:after="0" w:line="240" w:lineRule="auto"/>
              <w:jc w:val="center"/>
              <w:rPr>
                <w:rFonts w:hint="eastAsia" w:ascii="仿宋_GB2312" w:hAnsiTheme="minorEastAsia"/>
                <w:sz w:val="20"/>
                <w:szCs w:val="20"/>
              </w:rPr>
            </w:pPr>
            <w:r>
              <w:rPr>
                <w:rFonts w:hint="eastAsia" w:ascii="仿宋_GB2312" w:hAnsiTheme="minorEastAsia"/>
                <w:sz w:val="20"/>
                <w:szCs w:val="20"/>
              </w:rPr>
              <w:t>13.2.12.08</w:t>
            </w:r>
            <w:r>
              <w:rPr>
                <w:rFonts w:hint="eastAsia" w:ascii="仿宋_GB2312" w:hAnsiTheme="minorEastAsia"/>
                <w:sz w:val="20"/>
                <w:szCs w:val="20"/>
                <w:lang w:val="en-US" w:eastAsia="zh-CN"/>
              </w:rPr>
              <w:t>0</w:t>
            </w:r>
          </w:p>
        </w:tc>
        <w:tc>
          <w:tcPr>
            <w:tcW w:w="388"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cs="仿宋_GB2312"/>
                <w:sz w:val="20"/>
                <w:szCs w:val="20"/>
                <w:lang w:bidi="ar"/>
              </w:rPr>
              <w:t>设备设施及物料类</w:t>
            </w:r>
          </w:p>
        </w:tc>
        <w:tc>
          <w:tcPr>
            <w:tcW w:w="376"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危险化学品类</w:t>
            </w:r>
          </w:p>
        </w:tc>
        <w:tc>
          <w:tcPr>
            <w:tcW w:w="1025" w:type="pct"/>
            <w:tcBorders>
              <w:tl2br w:val="nil"/>
              <w:tr2bl w:val="nil"/>
            </w:tcBorders>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存在毒性、腐蚀性、刺激性危害的储存场所未设置淋洗器、洗眼器等安全冲洗装置。</w:t>
            </w:r>
          </w:p>
        </w:tc>
        <w:tc>
          <w:tcPr>
            <w:tcW w:w="1394" w:type="pct"/>
            <w:tcBorders>
              <w:tl2br w:val="nil"/>
              <w:tr2bl w:val="nil"/>
            </w:tcBorders>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存在毒性、腐蚀性、刺激性危害的储存场所应设置淋洗器、洗眼器等安全冲洗装置，安全冲洗装置的服务半径不应大于15m，洗消水应有收集设施。</w:t>
            </w:r>
          </w:p>
        </w:tc>
        <w:tc>
          <w:tcPr>
            <w:tcW w:w="1282" w:type="pct"/>
            <w:tcBorders>
              <w:tl2br w:val="nil"/>
              <w:tr2bl w:val="nil"/>
            </w:tcBorders>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《危险化学品储存场所建设及储存安全要求》（DB11/T 755）第4.1.3.8条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adjustRightInd w:val="0"/>
              <w:snapToGrid w:val="0"/>
              <w:spacing w:after="0" w:line="240" w:lineRule="auto"/>
              <w:jc w:val="center"/>
              <w:rPr>
                <w:rFonts w:hint="eastAsia" w:ascii="仿宋_GB2312" w:hAnsiTheme="minorEastAsia"/>
                <w:sz w:val="20"/>
                <w:szCs w:val="20"/>
              </w:rPr>
            </w:pPr>
            <w:r>
              <w:rPr>
                <w:rFonts w:hint="eastAsia" w:ascii="仿宋_GB2312" w:hAnsiTheme="minorEastAsia"/>
                <w:sz w:val="20"/>
                <w:szCs w:val="20"/>
              </w:rPr>
              <w:t>13.2.12.08</w:t>
            </w:r>
            <w:r>
              <w:rPr>
                <w:rFonts w:hint="eastAsia" w:ascii="仿宋_GB2312" w:hAnsiTheme="minorEastAsia"/>
                <w:sz w:val="20"/>
                <w:szCs w:val="20"/>
                <w:lang w:val="en-US" w:eastAsia="zh-CN"/>
              </w:rPr>
              <w:t>1</w:t>
            </w:r>
          </w:p>
        </w:tc>
        <w:tc>
          <w:tcPr>
            <w:tcW w:w="388"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cs="仿宋_GB2312"/>
                <w:sz w:val="20"/>
                <w:szCs w:val="20"/>
                <w:lang w:bidi="ar"/>
              </w:rPr>
              <w:t>设备设施及物料类</w:t>
            </w:r>
          </w:p>
        </w:tc>
        <w:tc>
          <w:tcPr>
            <w:tcW w:w="376"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eastAsia="zh-TW" w:bidi="ar"/>
              </w:rPr>
              <w:t>危险化学品类</w:t>
            </w:r>
          </w:p>
        </w:tc>
        <w:tc>
          <w:tcPr>
            <w:tcW w:w="1025" w:type="pct"/>
            <w:tcBorders>
              <w:tl2br w:val="nil"/>
              <w:tr2bl w:val="nil"/>
            </w:tcBorders>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储存易燃易爆危险化学品的储存场所的防静电措施应满足GB 12158的要求，入口外应设置人体静电释放装置。</w:t>
            </w:r>
          </w:p>
        </w:tc>
        <w:tc>
          <w:tcPr>
            <w:tcW w:w="1394" w:type="pct"/>
            <w:tcBorders>
              <w:tl2br w:val="nil"/>
              <w:tr2bl w:val="nil"/>
            </w:tcBorders>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储存易燃易爆危险化学品的储存场所的防静电措施应满足GB 12158的要求，入口外应设置人体静电释放装置。</w:t>
            </w:r>
          </w:p>
        </w:tc>
        <w:tc>
          <w:tcPr>
            <w:tcW w:w="1282" w:type="pct"/>
            <w:tcBorders>
              <w:tl2br w:val="nil"/>
              <w:tr2bl w:val="nil"/>
            </w:tcBorders>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《危险化学品储存场所建设及储存安全要求》（DB11/T 755）第4.1.2.3条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hAnsiTheme="minorEastAsia"/>
                <w:sz w:val="20"/>
                <w:szCs w:val="20"/>
              </w:rPr>
            </w:pPr>
            <w:r>
              <w:rPr>
                <w:rFonts w:hint="eastAsia" w:ascii="仿宋_GB2312" w:hAnsiTheme="minorEastAsia"/>
                <w:sz w:val="20"/>
                <w:szCs w:val="20"/>
              </w:rPr>
              <w:t>13.2.13.08</w:t>
            </w:r>
            <w:r>
              <w:rPr>
                <w:rFonts w:hint="eastAsia" w:ascii="仿宋_GB2312" w:hAnsiTheme="minorEastAsia"/>
                <w:sz w:val="20"/>
                <w:szCs w:val="20"/>
                <w:lang w:val="en-US" w:eastAsia="zh-CN"/>
              </w:rPr>
              <w:t>2</w:t>
            </w:r>
          </w:p>
        </w:tc>
        <w:tc>
          <w:tcPr>
            <w:tcW w:w="388" w:type="pct"/>
            <w:tcBorders>
              <w:tl2br w:val="nil"/>
              <w:tr2bl w:val="nil"/>
            </w:tcBorders>
            <w:vAlign w:val="center"/>
          </w:tcPr>
          <w:p>
            <w:pPr>
              <w:widowControl/>
              <w:adjustRightInd w:val="0"/>
              <w:snapToGrid w:val="0"/>
              <w:spacing w:after="0" w:line="240" w:lineRule="auto"/>
              <w:jc w:val="center"/>
              <w:textAlignment w:val="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设备设施及物料类</w:t>
            </w:r>
          </w:p>
        </w:tc>
        <w:tc>
          <w:tcPr>
            <w:tcW w:w="376" w:type="pct"/>
            <w:tcBorders>
              <w:tl2br w:val="nil"/>
              <w:tr2bl w:val="nil"/>
            </w:tcBorders>
            <w:vAlign w:val="center"/>
          </w:tcPr>
          <w:p>
            <w:pPr>
              <w:widowControl/>
              <w:adjustRightInd w:val="0"/>
              <w:snapToGrid w:val="0"/>
              <w:spacing w:after="0" w:line="240" w:lineRule="auto"/>
              <w:jc w:val="center"/>
              <w:textAlignment w:val="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用电安全类</w:t>
            </w:r>
          </w:p>
        </w:tc>
        <w:tc>
          <w:tcPr>
            <w:tcW w:w="1025" w:type="pct"/>
            <w:tcBorders>
              <w:tl2br w:val="nil"/>
              <w:tr2bl w:val="nil"/>
            </w:tcBorders>
            <w:shd w:val="clear" w:color="auto" w:fill="FFFFFF"/>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cs="宋体" w:hAnsiTheme="minorEastAsia"/>
                <w:kern w:val="0"/>
                <w:sz w:val="20"/>
                <w:szCs w:val="20"/>
                <w:lang w:bidi="ar"/>
              </w:rPr>
              <w:t>爆炸危险场所未按标准规范要求安装使用防爆电气设备。</w:t>
            </w:r>
          </w:p>
        </w:tc>
        <w:tc>
          <w:tcPr>
            <w:tcW w:w="1394" w:type="pct"/>
            <w:tcBorders>
              <w:tl2br w:val="nil"/>
              <w:tr2bl w:val="nil"/>
            </w:tcBorders>
            <w:shd w:val="clear" w:color="auto" w:fill="FFFFFF"/>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爆炸危险场所应按标准规范要求安装使用防爆电气设备。</w:t>
            </w:r>
          </w:p>
        </w:tc>
        <w:tc>
          <w:tcPr>
            <w:tcW w:w="1282" w:type="pct"/>
            <w:tcBorders>
              <w:tl2br w:val="nil"/>
              <w:tr2bl w:val="nil"/>
            </w:tcBorders>
            <w:shd w:val="clear" w:color="auto" w:fill="FFFFFF"/>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eastAsia="zh-CN" w:bidi="ar"/>
              </w:rPr>
              <w:t>《化工和危险化学品生产经营企业重大生产安全事故隐患判定准则》（AQ 3067-2026）</w:t>
            </w:r>
            <w:r>
              <w:rPr>
                <w:rFonts w:hint="eastAsia" w:ascii="仿宋_GB2312" w:cs="宋体" w:hAnsiTheme="minorEastAsia"/>
                <w:kern w:val="0"/>
                <w:sz w:val="20"/>
                <w:szCs w:val="20"/>
                <w:lang w:bidi="ar"/>
              </w:rPr>
              <w:t>第5.4.3条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bidi="ar"/>
              </w:rPr>
            </w:pPr>
            <w:r>
              <w:rPr>
                <w:rFonts w:hint="eastAsia" w:ascii="仿宋_GB2312"/>
                <w:sz w:val="20"/>
                <w:szCs w:val="2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adjustRightInd w:val="0"/>
              <w:snapToGrid w:val="0"/>
              <w:spacing w:after="0" w:line="240" w:lineRule="auto"/>
              <w:jc w:val="center"/>
              <w:rPr>
                <w:rFonts w:hint="eastAsia" w:ascii="仿宋_GB2312" w:eastAsia="仿宋_GB2312" w:hAnsiTheme="minorEastAsia"/>
                <w:sz w:val="20"/>
                <w:szCs w:val="20"/>
                <w:lang w:eastAsia="zh-CN"/>
              </w:rPr>
            </w:pPr>
            <w:r>
              <w:rPr>
                <w:rFonts w:hint="eastAsia" w:ascii="仿宋_GB2312" w:hAnsiTheme="minorEastAsia"/>
                <w:sz w:val="20"/>
                <w:szCs w:val="20"/>
              </w:rPr>
              <w:t>13.2.13.08</w:t>
            </w:r>
            <w:r>
              <w:rPr>
                <w:rFonts w:hint="eastAsia" w:ascii="仿宋_GB2312" w:hAnsiTheme="minorEastAsia"/>
                <w:sz w:val="20"/>
                <w:szCs w:val="20"/>
                <w:lang w:val="en-US" w:eastAsia="zh-CN"/>
              </w:rPr>
              <w:t>3</w:t>
            </w:r>
          </w:p>
        </w:tc>
        <w:tc>
          <w:tcPr>
            <w:tcW w:w="388" w:type="pct"/>
            <w:tcBorders>
              <w:tl2br w:val="nil"/>
              <w:tr2bl w:val="nil"/>
            </w:tcBorders>
            <w:shd w:val="clear" w:color="auto" w:fill="FFFFFF"/>
            <w:vAlign w:val="center"/>
          </w:tcPr>
          <w:p>
            <w:pPr>
              <w:widowControl/>
              <w:adjustRightInd w:val="0"/>
              <w:snapToGrid w:val="0"/>
              <w:spacing w:after="0" w:line="240" w:lineRule="auto"/>
              <w:jc w:val="center"/>
              <w:textAlignment w:val="auto"/>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设备设施及物料类</w:t>
            </w:r>
          </w:p>
        </w:tc>
        <w:tc>
          <w:tcPr>
            <w:tcW w:w="376" w:type="pct"/>
            <w:tcBorders>
              <w:tl2br w:val="nil"/>
              <w:tr2bl w:val="nil"/>
            </w:tcBorders>
            <w:shd w:val="clear" w:color="auto" w:fill="FFFFFF"/>
            <w:vAlign w:val="center"/>
          </w:tcPr>
          <w:p>
            <w:pPr>
              <w:widowControl/>
              <w:adjustRightInd w:val="0"/>
              <w:snapToGrid w:val="0"/>
              <w:spacing w:after="0" w:line="240" w:lineRule="auto"/>
              <w:jc w:val="center"/>
              <w:textAlignment w:val="auto"/>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用电安全类</w:t>
            </w:r>
          </w:p>
        </w:tc>
        <w:tc>
          <w:tcPr>
            <w:tcW w:w="1025" w:type="pct"/>
            <w:tcBorders>
              <w:tl2br w:val="nil"/>
              <w:tr2bl w:val="nil"/>
            </w:tcBorders>
            <w:shd w:val="clear" w:color="auto" w:fill="FFFFFF"/>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对爆炸危险场所的生产设备及其他能产生静电危险的生产设备,缺少相应的接地、中和和跨接等消除静电危险的措施。</w:t>
            </w:r>
          </w:p>
        </w:tc>
        <w:tc>
          <w:tcPr>
            <w:tcW w:w="1394" w:type="pct"/>
            <w:tcBorders>
              <w:tl2br w:val="nil"/>
              <w:tr2bl w:val="nil"/>
            </w:tcBorders>
            <w:shd w:val="clear" w:color="auto" w:fill="FFFFFF"/>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对爆炸危险场所的生产设备及其他能产生静电危险的生产设备,应采取相应的接地、中和和跨接等消除静电危险的措施。设备、机组、贮罐、管道等的防静电接地线，应单独与接地体或接地干线相连，除并列管道外不得互相串联接地。</w:t>
            </w:r>
          </w:p>
        </w:tc>
        <w:tc>
          <w:tcPr>
            <w:tcW w:w="1282" w:type="pct"/>
            <w:tcBorders>
              <w:tl2br w:val="nil"/>
              <w:tr2bl w:val="nil"/>
            </w:tcBorders>
            <w:shd w:val="clear" w:color="auto" w:fill="FFFFFF"/>
            <w:vAlign w:val="center"/>
          </w:tcPr>
          <w:p>
            <w:pPr>
              <w:widowControl/>
              <w:adjustRightInd w:val="0"/>
              <w:snapToGrid w:val="0"/>
              <w:spacing w:after="0" w:line="240" w:lineRule="auto"/>
              <w:jc w:val="left"/>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cs="宋体" w:hAnsiTheme="minorEastAsia"/>
                <w:kern w:val="0"/>
                <w:sz w:val="20"/>
                <w:szCs w:val="20"/>
                <w:lang w:bidi="ar"/>
              </w:rPr>
              <w:t>《生产设备安全卫生设计总则》（GB</w:t>
            </w:r>
            <w:r>
              <w:rPr>
                <w:rFonts w:hint="default" w:ascii="仿宋_GB2312" w:cs="宋体" w:hAnsiTheme="minorEastAsia"/>
                <w:kern w:val="0"/>
                <w:sz w:val="20"/>
                <w:szCs w:val="20"/>
                <w:lang w:val="en" w:bidi="ar"/>
              </w:rPr>
              <w:t xml:space="preserve"> </w:t>
            </w:r>
            <w:r>
              <w:rPr>
                <w:rFonts w:hint="eastAsia" w:ascii="仿宋_GB2312" w:cs="宋体" w:hAnsiTheme="minorEastAsia"/>
                <w:kern w:val="0"/>
                <w:sz w:val="20"/>
                <w:szCs w:val="20"/>
                <w:lang w:bidi="ar"/>
              </w:rPr>
              <w:t>5083-2023）</w:t>
            </w:r>
            <w:r>
              <w:rPr>
                <w:rFonts w:hint="eastAsia" w:ascii="仿宋_GB2312" w:cs="宋体" w:hAnsiTheme="minorEastAsia"/>
                <w:sz w:val="20"/>
                <w:szCs w:val="20"/>
                <w:lang w:bidi="ar"/>
              </w:rPr>
              <w:t>第</w:t>
            </w:r>
            <w:r>
              <w:rPr>
                <w:rFonts w:hint="eastAsia" w:ascii="仿宋_GB2312" w:hAnsi="仿宋_GB2312" w:cs="仿宋_GB2312"/>
                <w:color w:val="000000" w:themeColor="text1"/>
                <w:kern w:val="0"/>
                <w:sz w:val="20"/>
                <w:szCs w:val="20"/>
                <w:lang w:bidi="ar"/>
                <w14:textFill>
                  <w14:solidFill>
                    <w14:schemeClr w14:val="tx1"/>
                  </w14:solidFill>
                </w14:textFill>
              </w:rPr>
              <w:t>6.10.2条；</w:t>
            </w:r>
          </w:p>
          <w:p>
            <w:pPr>
              <w:widowControl/>
              <w:adjustRightInd w:val="0"/>
              <w:snapToGrid w:val="0"/>
              <w:spacing w:after="0" w:line="240" w:lineRule="auto"/>
              <w:jc w:val="left"/>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《电气装置安装工程 爆炸和火灾危险环境电气装置 施工及验收规范》（GB 50257-2014）第7.2.1条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adjustRightInd w:val="0"/>
              <w:snapToGrid w:val="0"/>
              <w:spacing w:after="0" w:line="240" w:lineRule="auto"/>
              <w:jc w:val="center"/>
              <w:rPr>
                <w:rFonts w:hint="eastAsia" w:ascii="仿宋_GB2312" w:eastAsia="仿宋_GB2312" w:hAnsiTheme="minorEastAsia"/>
                <w:sz w:val="20"/>
                <w:szCs w:val="20"/>
                <w:lang w:eastAsia="zh-CN"/>
              </w:rPr>
            </w:pPr>
            <w:r>
              <w:rPr>
                <w:rFonts w:hint="eastAsia" w:ascii="仿宋_GB2312" w:hAnsiTheme="minorEastAsia"/>
                <w:sz w:val="20"/>
                <w:szCs w:val="20"/>
              </w:rPr>
              <w:t>13.2.13.08</w:t>
            </w:r>
            <w:r>
              <w:rPr>
                <w:rFonts w:hint="eastAsia" w:ascii="仿宋_GB2312" w:hAnsiTheme="minorEastAsia"/>
                <w:sz w:val="20"/>
                <w:szCs w:val="20"/>
                <w:lang w:val="en-US" w:eastAsia="zh-CN"/>
              </w:rPr>
              <w:t>4</w:t>
            </w:r>
          </w:p>
        </w:tc>
        <w:tc>
          <w:tcPr>
            <w:tcW w:w="388" w:type="pct"/>
            <w:tcBorders>
              <w:tl2br w:val="nil"/>
              <w:tr2bl w:val="nil"/>
            </w:tcBorders>
            <w:shd w:val="clear" w:color="auto" w:fill="FFFFFF"/>
            <w:vAlign w:val="center"/>
          </w:tcPr>
          <w:p>
            <w:pPr>
              <w:widowControl/>
              <w:adjustRightInd w:val="0"/>
              <w:snapToGrid w:val="0"/>
              <w:spacing w:after="0" w:line="240" w:lineRule="auto"/>
              <w:jc w:val="center"/>
              <w:textAlignment w:val="auto"/>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设备设施及物料类</w:t>
            </w:r>
          </w:p>
        </w:tc>
        <w:tc>
          <w:tcPr>
            <w:tcW w:w="376" w:type="pct"/>
            <w:tcBorders>
              <w:tl2br w:val="nil"/>
              <w:tr2bl w:val="nil"/>
            </w:tcBorders>
            <w:shd w:val="clear" w:color="auto" w:fill="FFFFFF"/>
            <w:vAlign w:val="center"/>
          </w:tcPr>
          <w:p>
            <w:pPr>
              <w:widowControl/>
              <w:adjustRightInd w:val="0"/>
              <w:snapToGrid w:val="0"/>
              <w:spacing w:after="0" w:line="240" w:lineRule="auto"/>
              <w:jc w:val="center"/>
              <w:textAlignment w:val="auto"/>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用电安全类</w:t>
            </w:r>
          </w:p>
        </w:tc>
        <w:tc>
          <w:tcPr>
            <w:tcW w:w="1025" w:type="pct"/>
            <w:tcBorders>
              <w:tl2br w:val="nil"/>
              <w:tr2bl w:val="nil"/>
            </w:tcBorders>
            <w:shd w:val="clear" w:color="auto" w:fill="FFFFFF"/>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需要接地的电器金属外壳、框架缺少可靠接地。</w:t>
            </w:r>
          </w:p>
        </w:tc>
        <w:tc>
          <w:tcPr>
            <w:tcW w:w="1394" w:type="pct"/>
            <w:tcBorders>
              <w:tl2br w:val="nil"/>
              <w:tr2bl w:val="nil"/>
            </w:tcBorders>
            <w:shd w:val="clear" w:color="auto" w:fill="FFFFFF"/>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需要接地的电器金属外壳、框架必须可靠接地。</w:t>
            </w:r>
          </w:p>
        </w:tc>
        <w:tc>
          <w:tcPr>
            <w:tcW w:w="1282" w:type="pct"/>
            <w:tcBorders>
              <w:tl2br w:val="nil"/>
              <w:tr2bl w:val="nil"/>
            </w:tcBorders>
            <w:shd w:val="clear" w:color="auto" w:fill="FFFFFF"/>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《电气装置安装工程低压电器施工及验收规范》（GB 50254-2014）第3.0.16条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adjustRightInd w:val="0"/>
              <w:snapToGrid w:val="0"/>
              <w:spacing w:after="0" w:line="240" w:lineRule="auto"/>
              <w:jc w:val="center"/>
              <w:rPr>
                <w:rFonts w:hint="eastAsia" w:ascii="仿宋_GB2312" w:eastAsia="仿宋_GB2312" w:hAnsiTheme="minorEastAsia"/>
                <w:sz w:val="20"/>
                <w:szCs w:val="20"/>
                <w:lang w:eastAsia="zh-CN"/>
              </w:rPr>
            </w:pPr>
            <w:r>
              <w:rPr>
                <w:rFonts w:hint="eastAsia" w:ascii="仿宋_GB2312" w:hAnsiTheme="minorEastAsia"/>
                <w:sz w:val="20"/>
                <w:szCs w:val="20"/>
              </w:rPr>
              <w:t>13.2.13.08</w:t>
            </w:r>
            <w:r>
              <w:rPr>
                <w:rFonts w:hint="eastAsia" w:ascii="仿宋_GB2312" w:hAnsiTheme="minorEastAsia"/>
                <w:sz w:val="20"/>
                <w:szCs w:val="20"/>
                <w:lang w:val="en-US" w:eastAsia="zh-CN"/>
              </w:rPr>
              <w:t>5</w:t>
            </w:r>
          </w:p>
        </w:tc>
        <w:tc>
          <w:tcPr>
            <w:tcW w:w="388" w:type="pct"/>
            <w:tcBorders>
              <w:tl2br w:val="nil"/>
              <w:tr2bl w:val="nil"/>
            </w:tcBorders>
            <w:shd w:val="clear" w:color="auto" w:fill="FFFFFF"/>
            <w:vAlign w:val="center"/>
          </w:tcPr>
          <w:p>
            <w:pPr>
              <w:widowControl/>
              <w:adjustRightInd w:val="0"/>
              <w:snapToGrid w:val="0"/>
              <w:spacing w:after="0" w:line="240" w:lineRule="auto"/>
              <w:jc w:val="center"/>
              <w:textAlignment w:val="auto"/>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设备设施及物料类</w:t>
            </w:r>
          </w:p>
        </w:tc>
        <w:tc>
          <w:tcPr>
            <w:tcW w:w="376" w:type="pct"/>
            <w:tcBorders>
              <w:tl2br w:val="nil"/>
              <w:tr2bl w:val="nil"/>
            </w:tcBorders>
            <w:shd w:val="clear" w:color="auto" w:fill="FFFFFF"/>
            <w:vAlign w:val="center"/>
          </w:tcPr>
          <w:p>
            <w:pPr>
              <w:widowControl/>
              <w:adjustRightInd w:val="0"/>
              <w:snapToGrid w:val="0"/>
              <w:spacing w:after="0" w:line="240" w:lineRule="auto"/>
              <w:jc w:val="center"/>
              <w:textAlignment w:val="auto"/>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用电安全类</w:t>
            </w:r>
          </w:p>
        </w:tc>
        <w:tc>
          <w:tcPr>
            <w:tcW w:w="1025" w:type="pct"/>
            <w:tcBorders>
              <w:tl2br w:val="nil"/>
              <w:tr2bl w:val="nil"/>
            </w:tcBorders>
            <w:shd w:val="clear" w:color="auto" w:fill="FFFFFF"/>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长度大于7m的配电室未设两个安全出口，出入口缺少防小动物挡板。</w:t>
            </w:r>
          </w:p>
        </w:tc>
        <w:tc>
          <w:tcPr>
            <w:tcW w:w="1394" w:type="pct"/>
            <w:tcBorders>
              <w:tl2br w:val="nil"/>
              <w:tr2bl w:val="nil"/>
            </w:tcBorders>
            <w:shd w:val="clear" w:color="auto" w:fill="FFFFFF"/>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长度大于7m的配电室应设两个安全出口，并宜布置在配电室的两端。配电室门、窗及安全出口的设置应符合 GB 50053、GB 50352 等的要求，出入口应设置高度不低于</w:t>
            </w:r>
          </w:p>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400mm 的防小动物挡板并采取其他防鼠措施。</w:t>
            </w:r>
          </w:p>
        </w:tc>
        <w:tc>
          <w:tcPr>
            <w:tcW w:w="1282" w:type="pct"/>
            <w:tcBorders>
              <w:tl2br w:val="nil"/>
              <w:tr2bl w:val="nil"/>
            </w:tcBorders>
            <w:shd w:val="clear" w:color="auto" w:fill="FFFFFF"/>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《20kV及以下变电所设计规范》（GB</w:t>
            </w:r>
            <w:r>
              <w:rPr>
                <w:rFonts w:hint="default" w:ascii="仿宋_GB2312" w:cs="宋体" w:hAnsiTheme="minorEastAsia"/>
                <w:kern w:val="0"/>
                <w:sz w:val="20"/>
                <w:szCs w:val="20"/>
                <w:lang w:val="en" w:bidi="ar"/>
              </w:rPr>
              <w:t xml:space="preserve"> </w:t>
            </w:r>
            <w:r>
              <w:rPr>
                <w:rFonts w:hint="eastAsia" w:ascii="仿宋_GB2312" w:cs="宋体" w:hAnsiTheme="minorEastAsia"/>
                <w:kern w:val="0"/>
                <w:sz w:val="20"/>
                <w:szCs w:val="20"/>
                <w:lang w:bidi="ar"/>
              </w:rPr>
              <w:t>50053-2013）第6.2.6、6.4.1条；</w:t>
            </w:r>
          </w:p>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《配电室安全管理规范》（DB11</w:t>
            </w:r>
            <w:r>
              <w:rPr>
                <w:rFonts w:hint="default" w:ascii="仿宋_GB2312" w:cs="宋体" w:hAnsiTheme="minorEastAsia"/>
                <w:kern w:val="0"/>
                <w:sz w:val="20"/>
                <w:szCs w:val="20"/>
                <w:lang w:val="en" w:bidi="ar"/>
              </w:rPr>
              <w:t>/</w:t>
            </w:r>
            <w:r>
              <w:rPr>
                <w:rFonts w:hint="eastAsia" w:ascii="仿宋_GB2312" w:cs="宋体" w:hAnsiTheme="minorEastAsia"/>
                <w:kern w:val="0"/>
                <w:sz w:val="20"/>
                <w:szCs w:val="20"/>
                <w:lang w:bidi="ar"/>
              </w:rPr>
              <w:t>T 527-2021）第6.3.9条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adjustRightInd w:val="0"/>
              <w:snapToGrid w:val="0"/>
              <w:spacing w:after="0" w:line="240" w:lineRule="auto"/>
              <w:jc w:val="center"/>
              <w:rPr>
                <w:rFonts w:hint="eastAsia" w:ascii="仿宋_GB2312" w:eastAsia="仿宋_GB2312" w:hAnsiTheme="minorEastAsia"/>
                <w:sz w:val="20"/>
                <w:szCs w:val="20"/>
                <w:lang w:eastAsia="zh-CN"/>
              </w:rPr>
            </w:pPr>
            <w:r>
              <w:rPr>
                <w:rFonts w:hint="eastAsia" w:ascii="仿宋_GB2312" w:hAnsiTheme="minorEastAsia"/>
                <w:sz w:val="20"/>
                <w:szCs w:val="20"/>
              </w:rPr>
              <w:t>13.2.13.08</w:t>
            </w:r>
            <w:r>
              <w:rPr>
                <w:rFonts w:hint="eastAsia" w:ascii="仿宋_GB2312" w:hAnsiTheme="minorEastAsia"/>
                <w:sz w:val="20"/>
                <w:szCs w:val="20"/>
                <w:lang w:val="en-US" w:eastAsia="zh-CN"/>
              </w:rPr>
              <w:t>6</w:t>
            </w:r>
          </w:p>
        </w:tc>
        <w:tc>
          <w:tcPr>
            <w:tcW w:w="388" w:type="pct"/>
            <w:tcBorders>
              <w:tl2br w:val="nil"/>
              <w:tr2bl w:val="nil"/>
            </w:tcBorders>
            <w:shd w:val="clear" w:color="auto" w:fill="FFFFFF"/>
            <w:vAlign w:val="center"/>
          </w:tcPr>
          <w:p>
            <w:pPr>
              <w:widowControl/>
              <w:adjustRightInd w:val="0"/>
              <w:snapToGrid w:val="0"/>
              <w:spacing w:after="0" w:line="240" w:lineRule="auto"/>
              <w:jc w:val="center"/>
              <w:textAlignment w:val="auto"/>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设备设施及物料类</w:t>
            </w:r>
          </w:p>
        </w:tc>
        <w:tc>
          <w:tcPr>
            <w:tcW w:w="376" w:type="pct"/>
            <w:tcBorders>
              <w:tl2br w:val="nil"/>
              <w:tr2bl w:val="nil"/>
            </w:tcBorders>
            <w:shd w:val="clear" w:color="auto" w:fill="FFFFFF"/>
            <w:vAlign w:val="center"/>
          </w:tcPr>
          <w:p>
            <w:pPr>
              <w:widowControl/>
              <w:adjustRightInd w:val="0"/>
              <w:snapToGrid w:val="0"/>
              <w:spacing w:after="0" w:line="240" w:lineRule="auto"/>
              <w:jc w:val="center"/>
              <w:textAlignment w:val="auto"/>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用电安全类</w:t>
            </w:r>
          </w:p>
        </w:tc>
        <w:tc>
          <w:tcPr>
            <w:tcW w:w="1025" w:type="pct"/>
            <w:tcBorders>
              <w:tl2br w:val="nil"/>
              <w:tr2bl w:val="nil"/>
            </w:tcBorders>
            <w:shd w:val="clear" w:color="auto" w:fill="FFFFFF"/>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配电室未配置温湿度计。</w:t>
            </w:r>
          </w:p>
        </w:tc>
        <w:tc>
          <w:tcPr>
            <w:tcW w:w="1394" w:type="pct"/>
            <w:tcBorders>
              <w:tl2br w:val="nil"/>
              <w:tr2bl w:val="nil"/>
            </w:tcBorders>
            <w:shd w:val="clear" w:color="auto" w:fill="FFFFFF"/>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设备区域内应配有温、湿度计。</w:t>
            </w:r>
          </w:p>
        </w:tc>
        <w:tc>
          <w:tcPr>
            <w:tcW w:w="1282" w:type="pct"/>
            <w:tcBorders>
              <w:tl2br w:val="nil"/>
              <w:tr2bl w:val="nil"/>
            </w:tcBorders>
            <w:shd w:val="clear" w:color="auto" w:fill="FFFFFF"/>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《配电室安全管理规范》（DB11</w:t>
            </w:r>
            <w:r>
              <w:rPr>
                <w:rFonts w:hint="default" w:ascii="仿宋_GB2312" w:cs="宋体" w:hAnsiTheme="minorEastAsia"/>
                <w:kern w:val="0"/>
                <w:sz w:val="20"/>
                <w:szCs w:val="20"/>
                <w:lang w:val="en" w:bidi="ar"/>
              </w:rPr>
              <w:t>/</w:t>
            </w:r>
            <w:r>
              <w:rPr>
                <w:rFonts w:hint="eastAsia" w:ascii="仿宋_GB2312" w:cs="宋体" w:hAnsiTheme="minorEastAsia"/>
                <w:kern w:val="0"/>
                <w:sz w:val="20"/>
                <w:szCs w:val="20"/>
                <w:lang w:bidi="ar"/>
              </w:rPr>
              <w:t>T 527-2021）第6.3.1条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adjustRightInd w:val="0"/>
              <w:snapToGrid w:val="0"/>
              <w:spacing w:after="0" w:line="240" w:lineRule="auto"/>
              <w:jc w:val="center"/>
              <w:rPr>
                <w:rFonts w:hint="eastAsia" w:ascii="仿宋_GB2312" w:eastAsia="仿宋_GB2312" w:hAnsiTheme="minorEastAsia"/>
                <w:sz w:val="20"/>
                <w:szCs w:val="20"/>
                <w:lang w:eastAsia="zh-CN"/>
              </w:rPr>
            </w:pPr>
            <w:r>
              <w:rPr>
                <w:rFonts w:hint="eastAsia" w:ascii="仿宋_GB2312" w:hAnsiTheme="minorEastAsia"/>
                <w:sz w:val="20"/>
                <w:szCs w:val="20"/>
              </w:rPr>
              <w:t>13.2.13.08</w:t>
            </w:r>
            <w:r>
              <w:rPr>
                <w:rFonts w:hint="eastAsia" w:ascii="仿宋_GB2312" w:hAnsiTheme="minorEastAsia"/>
                <w:sz w:val="20"/>
                <w:szCs w:val="20"/>
                <w:lang w:val="en-US" w:eastAsia="zh-CN"/>
              </w:rPr>
              <w:t>7</w:t>
            </w:r>
          </w:p>
        </w:tc>
        <w:tc>
          <w:tcPr>
            <w:tcW w:w="388" w:type="pct"/>
            <w:tcBorders>
              <w:tl2br w:val="nil"/>
              <w:tr2bl w:val="nil"/>
            </w:tcBorders>
            <w:shd w:val="clear" w:color="auto" w:fill="FFFFFF"/>
            <w:vAlign w:val="center"/>
          </w:tcPr>
          <w:p>
            <w:pPr>
              <w:widowControl/>
              <w:adjustRightInd w:val="0"/>
              <w:snapToGrid w:val="0"/>
              <w:spacing w:after="0" w:line="240" w:lineRule="auto"/>
              <w:jc w:val="center"/>
              <w:textAlignment w:val="auto"/>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设备设施及物料类</w:t>
            </w:r>
          </w:p>
        </w:tc>
        <w:tc>
          <w:tcPr>
            <w:tcW w:w="376" w:type="pct"/>
            <w:tcBorders>
              <w:tl2br w:val="nil"/>
              <w:tr2bl w:val="nil"/>
            </w:tcBorders>
            <w:shd w:val="clear" w:color="auto" w:fill="FFFFFF"/>
            <w:vAlign w:val="center"/>
          </w:tcPr>
          <w:p>
            <w:pPr>
              <w:widowControl/>
              <w:adjustRightInd w:val="0"/>
              <w:snapToGrid w:val="0"/>
              <w:spacing w:after="0" w:line="240" w:lineRule="auto"/>
              <w:jc w:val="center"/>
              <w:textAlignment w:val="auto"/>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用电安全类</w:t>
            </w:r>
          </w:p>
        </w:tc>
        <w:tc>
          <w:tcPr>
            <w:tcW w:w="1025" w:type="pct"/>
            <w:tcBorders>
              <w:tl2br w:val="nil"/>
              <w:tr2bl w:val="nil"/>
            </w:tcBorders>
            <w:shd w:val="clear" w:color="auto" w:fill="FFFFFF"/>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室内变压器、高压配电装置、低压配电装置的操作区、维护通道未铺设绝缘胶垫。</w:t>
            </w:r>
          </w:p>
        </w:tc>
        <w:tc>
          <w:tcPr>
            <w:tcW w:w="1394" w:type="pct"/>
            <w:tcBorders>
              <w:tl2br w:val="nil"/>
              <w:tr2bl w:val="nil"/>
            </w:tcBorders>
            <w:shd w:val="clear" w:color="auto" w:fill="FFFFFF"/>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室内变压器、高压配电装置、低压配电装置的操作区、维护通道应铺设绝缘胶垫。</w:t>
            </w:r>
          </w:p>
        </w:tc>
        <w:tc>
          <w:tcPr>
            <w:tcW w:w="1282" w:type="pct"/>
            <w:tcBorders>
              <w:tl2br w:val="nil"/>
              <w:tr2bl w:val="nil"/>
            </w:tcBorders>
            <w:shd w:val="clear" w:color="auto" w:fill="FFFFFF"/>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《配电室安全管理规范》（DB11</w:t>
            </w:r>
            <w:r>
              <w:rPr>
                <w:rFonts w:hint="default" w:ascii="仿宋_GB2312" w:cs="宋体" w:hAnsiTheme="minorEastAsia"/>
                <w:kern w:val="0"/>
                <w:sz w:val="20"/>
                <w:szCs w:val="20"/>
                <w:lang w:val="en" w:bidi="ar"/>
              </w:rPr>
              <w:t>/</w:t>
            </w:r>
            <w:r>
              <w:rPr>
                <w:rFonts w:hint="eastAsia" w:ascii="仿宋_GB2312" w:cs="宋体" w:hAnsiTheme="minorEastAsia"/>
                <w:kern w:val="0"/>
                <w:sz w:val="20"/>
                <w:szCs w:val="20"/>
                <w:lang w:bidi="ar"/>
              </w:rPr>
              <w:t>T 527-2021）第6.3.2条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adjustRightInd w:val="0"/>
              <w:snapToGrid w:val="0"/>
              <w:spacing w:after="0" w:line="240" w:lineRule="auto"/>
              <w:jc w:val="center"/>
              <w:rPr>
                <w:rFonts w:hint="eastAsia" w:ascii="仿宋_GB2312" w:hAnsiTheme="minorEastAsia"/>
                <w:sz w:val="20"/>
                <w:szCs w:val="20"/>
              </w:rPr>
            </w:pPr>
            <w:r>
              <w:rPr>
                <w:rFonts w:hint="eastAsia" w:ascii="仿宋_GB2312" w:hAnsiTheme="minorEastAsia"/>
                <w:sz w:val="20"/>
                <w:szCs w:val="20"/>
              </w:rPr>
              <w:t>13.2.13.0</w:t>
            </w:r>
            <w:r>
              <w:rPr>
                <w:rFonts w:hint="eastAsia" w:ascii="仿宋_GB2312" w:hAnsiTheme="minorEastAsia"/>
                <w:sz w:val="20"/>
                <w:szCs w:val="20"/>
                <w:lang w:val="en-US" w:eastAsia="zh-CN"/>
              </w:rPr>
              <w:t>88</w:t>
            </w:r>
          </w:p>
        </w:tc>
        <w:tc>
          <w:tcPr>
            <w:tcW w:w="388" w:type="pct"/>
            <w:tcBorders>
              <w:tl2br w:val="nil"/>
              <w:tr2bl w:val="nil"/>
            </w:tcBorders>
            <w:shd w:val="clear" w:color="auto" w:fill="FFFFFF"/>
            <w:vAlign w:val="center"/>
          </w:tcPr>
          <w:p>
            <w:pPr>
              <w:widowControl/>
              <w:adjustRightInd w:val="0"/>
              <w:snapToGrid w:val="0"/>
              <w:spacing w:after="0" w:line="240" w:lineRule="auto"/>
              <w:jc w:val="center"/>
              <w:textAlignment w:val="auto"/>
              <w:rPr>
                <w:rFonts w:hint="eastAsia" w:ascii="仿宋_GB2312" w:cs="Times New Roman" w:hAnsiTheme="minorEastAsia"/>
                <w:sz w:val="20"/>
                <w:szCs w:val="20"/>
              </w:rPr>
            </w:pPr>
            <w:r>
              <w:rPr>
                <w:rFonts w:hint="eastAsia" w:ascii="仿宋_GB2312" w:hAnsi="仿宋_GB2312" w:cs="仿宋_GB2312"/>
                <w:color w:val="000000" w:themeColor="text1"/>
                <w:kern w:val="0"/>
                <w:sz w:val="20"/>
                <w:szCs w:val="20"/>
                <w:lang w:bidi="ar"/>
                <w14:textFill>
                  <w14:solidFill>
                    <w14:schemeClr w14:val="tx1"/>
                  </w14:solidFill>
                </w14:textFill>
              </w:rPr>
              <w:t>设备设施及物料类</w:t>
            </w:r>
          </w:p>
        </w:tc>
        <w:tc>
          <w:tcPr>
            <w:tcW w:w="376" w:type="pct"/>
            <w:tcBorders>
              <w:tl2br w:val="nil"/>
              <w:tr2bl w:val="nil"/>
            </w:tcBorders>
            <w:shd w:val="clear" w:color="auto" w:fill="FFFFFF"/>
            <w:vAlign w:val="center"/>
          </w:tcPr>
          <w:p>
            <w:pPr>
              <w:widowControl/>
              <w:adjustRightInd w:val="0"/>
              <w:snapToGrid w:val="0"/>
              <w:spacing w:after="0" w:line="240" w:lineRule="auto"/>
              <w:jc w:val="center"/>
              <w:textAlignment w:val="auto"/>
              <w:rPr>
                <w:rFonts w:hint="eastAsia" w:ascii="仿宋_GB2312" w:cs="Times New Roman" w:hAnsiTheme="minorEastAsia"/>
                <w:sz w:val="20"/>
                <w:szCs w:val="20"/>
              </w:rPr>
            </w:pPr>
            <w:r>
              <w:rPr>
                <w:rFonts w:hint="eastAsia" w:ascii="仿宋_GB2312" w:hAnsi="仿宋_GB2312" w:cs="仿宋_GB2312"/>
                <w:color w:val="000000" w:themeColor="text1"/>
                <w:kern w:val="0"/>
                <w:sz w:val="20"/>
                <w:szCs w:val="20"/>
                <w:lang w:bidi="ar"/>
                <w14:textFill>
                  <w14:solidFill>
                    <w14:schemeClr w14:val="tx1"/>
                  </w14:solidFill>
                </w14:textFill>
              </w:rPr>
              <w:t>用电安全类</w:t>
            </w:r>
          </w:p>
        </w:tc>
        <w:tc>
          <w:tcPr>
            <w:tcW w:w="1025" w:type="pct"/>
            <w:tcBorders>
              <w:tl2br w:val="nil"/>
              <w:tr2bl w:val="nil"/>
            </w:tcBorders>
            <w:shd w:val="clear" w:color="auto" w:fill="FFFFFF"/>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建(构)筑物缺少雷电防护装置。</w:t>
            </w:r>
          </w:p>
        </w:tc>
        <w:tc>
          <w:tcPr>
            <w:tcW w:w="1394" w:type="pct"/>
            <w:tcBorders>
              <w:tl2br w:val="nil"/>
              <w:tr2bl w:val="nil"/>
            </w:tcBorders>
            <w:shd w:val="clear" w:color="auto" w:fill="FFFFFF"/>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建(构)筑物应按照 GB50057的规定设置雷电防护装置。</w:t>
            </w:r>
          </w:p>
        </w:tc>
        <w:tc>
          <w:tcPr>
            <w:tcW w:w="1282" w:type="pct"/>
            <w:tcBorders>
              <w:tl2br w:val="nil"/>
              <w:tr2bl w:val="nil"/>
            </w:tcBorders>
            <w:shd w:val="clear" w:color="auto" w:fill="FFFFFF"/>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《生产过程安全基本要求》</w:t>
            </w:r>
            <w:r>
              <w:rPr>
                <w:rFonts w:hint="eastAsia" w:ascii="仿宋_GB2312" w:cs="宋体" w:hAnsiTheme="minorEastAsia"/>
                <w:kern w:val="0"/>
                <w:sz w:val="20"/>
                <w:szCs w:val="20"/>
                <w:lang w:eastAsia="zh-CN" w:bidi="ar"/>
              </w:rPr>
              <w:t>（GB 12801-2025）</w:t>
            </w:r>
            <w:r>
              <w:rPr>
                <w:rFonts w:hint="eastAsia" w:ascii="仿宋_GB2312" w:cs="宋体" w:hAnsiTheme="minorEastAsia"/>
                <w:sz w:val="20"/>
                <w:szCs w:val="20"/>
                <w:lang w:bidi="ar"/>
              </w:rPr>
              <w:t>第</w:t>
            </w:r>
            <w:r>
              <w:rPr>
                <w:rFonts w:hint="eastAsia" w:ascii="仿宋_GB2312" w:hAnsi="仿宋_GB2312" w:cs="仿宋_GB2312"/>
                <w:color w:val="000000" w:themeColor="text1"/>
                <w:kern w:val="0"/>
                <w:sz w:val="20"/>
                <w:szCs w:val="20"/>
                <w:lang w:bidi="ar"/>
                <w14:textFill>
                  <w14:solidFill>
                    <w14:schemeClr w14:val="tx1"/>
                  </w14:solidFill>
                </w14:textFill>
              </w:rPr>
              <w:t>4.6.5条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hAnsiTheme="minorEastAsia"/>
                <w:sz w:val="20"/>
                <w:szCs w:val="20"/>
              </w:rPr>
            </w:pPr>
            <w:r>
              <w:rPr>
                <w:rFonts w:hint="eastAsia" w:ascii="仿宋_GB2312" w:hAnsiTheme="minorEastAsia"/>
                <w:sz w:val="20"/>
                <w:szCs w:val="20"/>
              </w:rPr>
              <w:t>13.3.01.0</w:t>
            </w:r>
            <w:r>
              <w:rPr>
                <w:rFonts w:hint="eastAsia" w:ascii="仿宋_GB2312" w:hAnsiTheme="minorEastAsia"/>
                <w:sz w:val="20"/>
                <w:szCs w:val="20"/>
                <w:lang w:val="en-US" w:eastAsia="zh-CN"/>
              </w:rPr>
              <w:t>89</w:t>
            </w:r>
          </w:p>
        </w:tc>
        <w:tc>
          <w:tcPr>
            <w:tcW w:w="388" w:type="pct"/>
            <w:tcBorders>
              <w:tl2br w:val="nil"/>
              <w:tr2bl w:val="nil"/>
            </w:tcBorders>
            <w:shd w:val="clear" w:color="auto" w:fill="FFFFFF"/>
            <w:vAlign w:val="center"/>
          </w:tcPr>
          <w:p>
            <w:pPr>
              <w:pStyle w:val="10"/>
              <w:adjustRightInd w:val="0"/>
              <w:snapToGrid w:val="0"/>
              <w:spacing w:before="0" w:beforeAutospacing="0" w:after="0" w:afterAutospacing="0"/>
              <w:jc w:val="center"/>
              <w:rPr>
                <w:rFonts w:hint="eastAsia" w:ascii="仿宋_GB2312" w:eastAsia="仿宋_GB2312" w:cs="Times New Roman" w:hAnsiTheme="minorEastAsia"/>
                <w:sz w:val="20"/>
                <w:szCs w:val="20"/>
              </w:rPr>
            </w:pPr>
            <w:r>
              <w:rPr>
                <w:rFonts w:hint="eastAsia" w:ascii="仿宋_GB2312" w:eastAsia="仿宋_GB2312" w:cs="Times New Roman" w:hAnsiTheme="minorEastAsia"/>
                <w:sz w:val="20"/>
                <w:szCs w:val="20"/>
              </w:rPr>
              <w:t>人员类</w:t>
            </w:r>
          </w:p>
        </w:tc>
        <w:tc>
          <w:tcPr>
            <w:tcW w:w="376" w:type="pct"/>
            <w:tcBorders>
              <w:tl2br w:val="nil"/>
              <w:tr2bl w:val="nil"/>
            </w:tcBorders>
            <w:shd w:val="clear" w:color="auto" w:fill="FFFFFF"/>
            <w:vAlign w:val="center"/>
          </w:tcPr>
          <w:p>
            <w:pPr>
              <w:pStyle w:val="10"/>
              <w:adjustRightInd w:val="0"/>
              <w:snapToGrid w:val="0"/>
              <w:spacing w:before="0" w:beforeAutospacing="0" w:after="0" w:afterAutospacing="0"/>
              <w:jc w:val="center"/>
              <w:rPr>
                <w:rFonts w:hint="eastAsia" w:ascii="仿宋_GB2312" w:eastAsia="仿宋_GB2312" w:cs="Times New Roman" w:hAnsiTheme="minorEastAsia"/>
                <w:sz w:val="20"/>
                <w:szCs w:val="20"/>
              </w:rPr>
            </w:pPr>
            <w:r>
              <w:rPr>
                <w:rFonts w:hint="eastAsia" w:ascii="仿宋_GB2312" w:eastAsia="仿宋_GB2312" w:cs="Times New Roman" w:hAnsiTheme="minorEastAsia"/>
                <w:sz w:val="20"/>
                <w:szCs w:val="20"/>
              </w:rPr>
              <w:t>资格资质类</w:t>
            </w:r>
          </w:p>
        </w:tc>
        <w:tc>
          <w:tcPr>
            <w:tcW w:w="2881" w:type="dxa"/>
            <w:tcBorders>
              <w:tl2br w:val="nil"/>
              <w:tr2bl w:val="nil"/>
            </w:tcBorders>
            <w:shd w:val="clear" w:color="auto" w:fill="FFFFFF"/>
            <w:vAlign w:val="center"/>
          </w:tcPr>
          <w:p>
            <w:pPr>
              <w:pStyle w:val="10"/>
              <w:widowControl/>
              <w:adjustRightInd w:val="0"/>
              <w:snapToGrid w:val="0"/>
              <w:spacing w:after="0"/>
              <w:jc w:val="left"/>
              <w:rPr>
                <w:rFonts w:hint="eastAsia" w:ascii="仿宋_GB2312" w:eastAsia="仿宋_GB2312" w:cs="Times New Roman" w:hAnsiTheme="minorEastAsia"/>
                <w:sz w:val="20"/>
                <w:szCs w:val="20"/>
              </w:rPr>
            </w:pPr>
            <w:r>
              <w:rPr>
                <w:rFonts w:hint="eastAsia" w:ascii="仿宋_GB2312" w:eastAsia="仿宋_GB2312" w:cs="宋体" w:hAnsiTheme="minorEastAsia"/>
                <w:kern w:val="0"/>
                <w:sz w:val="20"/>
                <w:szCs w:val="20"/>
                <w:lang w:bidi="ar"/>
              </w:rPr>
              <w:t>主要负责人</w:t>
            </w:r>
            <w:r>
              <w:rPr>
                <w:rFonts w:hint="eastAsia" w:ascii="仿宋_GB2312" w:eastAsia="仿宋_GB2312" w:cs="宋体" w:hAnsiTheme="minorEastAsia"/>
                <w:kern w:val="0"/>
                <w:sz w:val="20"/>
                <w:szCs w:val="20"/>
                <w:lang w:val="en-US" w:eastAsia="zh-CN" w:bidi="ar"/>
              </w:rPr>
              <w:t>和</w:t>
            </w:r>
            <w:r>
              <w:rPr>
                <w:rFonts w:hint="eastAsia" w:ascii="仿宋_GB2312" w:eastAsia="仿宋_GB2312" w:cs="宋体" w:hAnsiTheme="minorEastAsia"/>
                <w:kern w:val="0"/>
                <w:sz w:val="20"/>
                <w:szCs w:val="20"/>
                <w:lang w:bidi="ar"/>
              </w:rPr>
              <w:t>安全生产管理人员</w:t>
            </w:r>
            <w:r>
              <w:rPr>
                <w:rFonts w:hint="eastAsia" w:ascii="仿宋_GB2312" w:eastAsia="仿宋_GB2312" w:cs="宋体" w:hAnsiTheme="minorEastAsia"/>
                <w:kern w:val="0"/>
                <w:sz w:val="20"/>
                <w:szCs w:val="20"/>
                <w:lang w:val="en-US" w:eastAsia="zh-CN" w:bidi="ar"/>
              </w:rPr>
              <w:t>不</w:t>
            </w:r>
            <w:r>
              <w:rPr>
                <w:rFonts w:hint="eastAsia" w:ascii="仿宋_GB2312" w:eastAsia="仿宋_GB2312" w:hAnsiTheme="minorEastAsia"/>
                <w:sz w:val="20"/>
                <w:szCs w:val="20"/>
                <w:lang w:bidi="ar"/>
              </w:rPr>
              <w:t>具备与本单位所从事的生产经营活动相应的安全生产知识和管理能力。</w:t>
            </w:r>
          </w:p>
        </w:tc>
        <w:tc>
          <w:tcPr>
            <w:tcW w:w="3919" w:type="dxa"/>
            <w:tcBorders>
              <w:tl2br w:val="nil"/>
              <w:tr2bl w:val="nil"/>
            </w:tcBorders>
            <w:shd w:val="clear" w:color="auto" w:fill="FFFFFF"/>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hAnsi="宋体" w:cs="宋体"/>
                <w:kern w:val="0"/>
                <w:sz w:val="20"/>
                <w:szCs w:val="20"/>
              </w:rPr>
              <w:t>生产经营单位的主要负责人和安全生产管理人员必须具备与本单位所从事的生产经营活动相应的安全生产知识和管理能力。</w:t>
            </w:r>
          </w:p>
        </w:tc>
        <w:tc>
          <w:tcPr>
            <w:tcW w:w="3605" w:type="dxa"/>
            <w:tcBorders>
              <w:tl2br w:val="nil"/>
              <w:tr2bl w:val="nil"/>
            </w:tcBorders>
            <w:shd w:val="clear" w:color="auto" w:fill="FFFFFF"/>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《中华人民共和国安全生产法》第二十七条</w:t>
            </w:r>
          </w:p>
          <w:p>
            <w:pPr>
              <w:widowControl/>
              <w:adjustRightInd w:val="0"/>
              <w:snapToGrid w:val="0"/>
              <w:spacing w:after="0" w:line="240" w:lineRule="auto"/>
              <w:jc w:val="left"/>
              <w:rPr>
                <w:rFonts w:hint="eastAsia" w:ascii="仿宋_GB2312" w:cs="宋体" w:hAnsiTheme="minorEastAsia"/>
                <w:kern w:val="0"/>
                <w:sz w:val="20"/>
                <w:szCs w:val="20"/>
                <w:lang w:bidi="ar"/>
              </w:rPr>
            </w:pP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hAnsiTheme="minorEastAsia"/>
                <w:sz w:val="20"/>
                <w:szCs w:val="20"/>
              </w:rPr>
            </w:pPr>
            <w:r>
              <w:rPr>
                <w:rFonts w:hint="eastAsia" w:ascii="仿宋_GB2312" w:hAnsiTheme="minorEastAsia"/>
                <w:sz w:val="20"/>
                <w:szCs w:val="20"/>
              </w:rPr>
              <w:t>13.3.01.0</w:t>
            </w:r>
            <w:r>
              <w:rPr>
                <w:rFonts w:hint="eastAsia" w:ascii="仿宋_GB2312" w:hAnsiTheme="minorEastAsia"/>
                <w:sz w:val="20"/>
                <w:szCs w:val="20"/>
                <w:lang w:val="en-US" w:eastAsia="zh-CN"/>
              </w:rPr>
              <w:t>90</w:t>
            </w:r>
          </w:p>
        </w:tc>
        <w:tc>
          <w:tcPr>
            <w:tcW w:w="388" w:type="pct"/>
            <w:tcBorders>
              <w:tl2br w:val="nil"/>
              <w:tr2bl w:val="nil"/>
            </w:tcBorders>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人员类</w:t>
            </w:r>
          </w:p>
        </w:tc>
        <w:tc>
          <w:tcPr>
            <w:tcW w:w="376" w:type="pct"/>
            <w:tcBorders>
              <w:tl2br w:val="nil"/>
              <w:tr2bl w:val="nil"/>
            </w:tcBorders>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资格资质类</w:t>
            </w:r>
          </w:p>
        </w:tc>
        <w:tc>
          <w:tcPr>
            <w:tcW w:w="2881" w:type="dxa"/>
            <w:tcBorders>
              <w:tl2br w:val="nil"/>
              <w:tr2bl w:val="nil"/>
            </w:tcBorders>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特种作业人员未持证上岗。</w:t>
            </w:r>
          </w:p>
        </w:tc>
        <w:tc>
          <w:tcPr>
            <w:tcW w:w="3919" w:type="dxa"/>
            <w:tcBorders>
              <w:tl2br w:val="nil"/>
              <w:tr2bl w:val="nil"/>
            </w:tcBorders>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特种作业人员</w:t>
            </w:r>
            <w:r>
              <w:rPr>
                <w:rFonts w:hint="eastAsia" w:ascii="仿宋_GB2312" w:hAnsi="等线" w:cs="宋体"/>
                <w:kern w:val="0"/>
                <w:sz w:val="20"/>
                <w:szCs w:val="20"/>
              </w:rPr>
              <w:t>应</w:t>
            </w:r>
            <w:r>
              <w:rPr>
                <w:rFonts w:hint="eastAsia" w:ascii="仿宋_GB2312" w:hAnsi="宋体" w:cs="宋体"/>
                <w:kern w:val="0"/>
                <w:sz w:val="20"/>
                <w:szCs w:val="20"/>
              </w:rPr>
              <w:t>持证上岗。</w:t>
            </w:r>
          </w:p>
        </w:tc>
        <w:tc>
          <w:tcPr>
            <w:tcW w:w="3605" w:type="dxa"/>
            <w:tcBorders>
              <w:tl2br w:val="nil"/>
              <w:tr2bl w:val="nil"/>
            </w:tcBorders>
            <w:vAlign w:val="center"/>
          </w:tcPr>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《中华人民共和国安全生产法》第二十八条、第三十条；</w:t>
            </w:r>
          </w:p>
          <w:p>
            <w:pPr>
              <w:widowControl/>
              <w:adjustRightInd w:val="0"/>
              <w:snapToGrid w:val="0"/>
              <w:spacing w:after="0" w:line="240" w:lineRule="auto"/>
              <w:jc w:val="left"/>
              <w:rPr>
                <w:rFonts w:hint="eastAsia" w:ascii="仿宋_GB2312" w:hAnsi="宋体" w:eastAsia="仿宋_GB2312" w:cs="宋体"/>
                <w:kern w:val="0"/>
                <w:sz w:val="20"/>
                <w:szCs w:val="20"/>
                <w:lang w:eastAsia="zh-CN"/>
              </w:rPr>
            </w:pPr>
            <w:r>
              <w:rPr>
                <w:rFonts w:hint="eastAsia" w:ascii="仿宋_GB2312" w:hAnsi="宋体" w:cs="宋体"/>
                <w:kern w:val="0"/>
                <w:sz w:val="20"/>
                <w:szCs w:val="20"/>
              </w:rPr>
              <w:t>《特种作业人员安全技术培训考核管理规定》</w:t>
            </w:r>
            <w:r>
              <w:rPr>
                <w:rFonts w:hint="eastAsia" w:ascii="仿宋_GB2312" w:hAnsi="宋体" w:cs="宋体"/>
                <w:kern w:val="0"/>
                <w:sz w:val="20"/>
                <w:szCs w:val="20"/>
                <w:lang w:eastAsia="zh-CN"/>
              </w:rPr>
              <w:t>；</w:t>
            </w:r>
          </w:p>
          <w:p>
            <w:pPr>
              <w:widowControl/>
              <w:adjustRightInd w:val="0"/>
              <w:snapToGrid w:val="0"/>
              <w:spacing w:after="0" w:line="240" w:lineRule="auto"/>
              <w:jc w:val="left"/>
              <w:rPr>
                <w:rFonts w:hint="eastAsia" w:ascii="仿宋_GB2312" w:hAnsi="宋体" w:cs="宋体"/>
                <w:kern w:val="0"/>
                <w:sz w:val="20"/>
                <w:szCs w:val="20"/>
              </w:rPr>
            </w:pPr>
            <w:r>
              <w:rPr>
                <w:rFonts w:hint="eastAsia" w:ascii="仿宋_GB2312" w:hAnsi="宋体" w:cs="宋体"/>
                <w:kern w:val="0"/>
                <w:sz w:val="20"/>
                <w:szCs w:val="20"/>
              </w:rPr>
              <w:t>《化工和危险化学品生产经营企业重大生产安全事故隐患判定准则》（AQ 3067-2026）第5.1.4条</w:t>
            </w:r>
          </w:p>
        </w:tc>
        <w:tc>
          <w:tcPr>
            <w:tcW w:w="587" w:type="dxa"/>
            <w:tcBorders>
              <w:tl2br w:val="nil"/>
              <w:tr2bl w:val="nil"/>
            </w:tcBorders>
            <w:vAlign w:val="center"/>
          </w:tcPr>
          <w:p>
            <w:pPr>
              <w:widowControl/>
              <w:adjustRightInd w:val="0"/>
              <w:snapToGrid w:val="0"/>
              <w:spacing w:after="0" w:line="240" w:lineRule="auto"/>
              <w:jc w:val="center"/>
              <w:rPr>
                <w:rFonts w:hint="eastAsia" w:ascii="仿宋_GB2312" w:hAnsi="宋体" w:cs="宋体"/>
                <w:kern w:val="0"/>
                <w:sz w:val="20"/>
                <w:szCs w:val="20"/>
              </w:rPr>
            </w:pPr>
            <w:r>
              <w:rPr>
                <w:rFonts w:hint="eastAsia" w:ascii="仿宋_GB2312"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hAnsiTheme="minorEastAsia"/>
                <w:sz w:val="20"/>
                <w:szCs w:val="20"/>
              </w:rPr>
            </w:pPr>
            <w:r>
              <w:rPr>
                <w:rFonts w:hint="eastAsia" w:ascii="仿宋_GB2312" w:hAnsiTheme="minorEastAsia"/>
                <w:sz w:val="20"/>
                <w:szCs w:val="20"/>
              </w:rPr>
              <w:t>13.3.02.09</w:t>
            </w:r>
            <w:r>
              <w:rPr>
                <w:rFonts w:hint="eastAsia" w:ascii="仿宋_GB2312" w:hAnsiTheme="minorEastAsia"/>
                <w:sz w:val="20"/>
                <w:szCs w:val="20"/>
                <w:lang w:val="en-US" w:eastAsia="zh-CN"/>
              </w:rPr>
              <w:t>1</w:t>
            </w:r>
          </w:p>
        </w:tc>
        <w:tc>
          <w:tcPr>
            <w:tcW w:w="388" w:type="pct"/>
            <w:tcBorders>
              <w:tl2br w:val="nil"/>
              <w:tr2bl w:val="nil"/>
            </w:tcBorders>
            <w:vAlign w:val="center"/>
          </w:tcPr>
          <w:p>
            <w:pPr>
              <w:pStyle w:val="10"/>
              <w:adjustRightInd w:val="0"/>
              <w:snapToGrid w:val="0"/>
              <w:spacing w:before="0" w:beforeAutospacing="0" w:after="0" w:afterAutospacing="0"/>
              <w:jc w:val="center"/>
              <w:rPr>
                <w:rFonts w:hint="eastAsia" w:ascii="仿宋_GB2312" w:eastAsia="仿宋_GB2312" w:cs="Times New Roman" w:hAnsiTheme="minorEastAsia"/>
                <w:sz w:val="20"/>
                <w:szCs w:val="20"/>
              </w:rPr>
            </w:pPr>
            <w:r>
              <w:rPr>
                <w:rFonts w:hint="eastAsia" w:ascii="仿宋_GB2312" w:eastAsia="仿宋_GB2312" w:cs="Times New Roman" w:hAnsiTheme="minorEastAsia"/>
                <w:sz w:val="20"/>
                <w:szCs w:val="20"/>
              </w:rPr>
              <w:t>人员类</w:t>
            </w:r>
          </w:p>
        </w:tc>
        <w:tc>
          <w:tcPr>
            <w:tcW w:w="376" w:type="pct"/>
            <w:tcBorders>
              <w:tl2br w:val="nil"/>
              <w:tr2bl w:val="nil"/>
            </w:tcBorders>
            <w:vAlign w:val="center"/>
          </w:tcPr>
          <w:p>
            <w:pPr>
              <w:pStyle w:val="10"/>
              <w:adjustRightInd w:val="0"/>
              <w:snapToGrid w:val="0"/>
              <w:spacing w:before="0" w:beforeAutospacing="0" w:after="0" w:afterAutospacing="0"/>
              <w:jc w:val="center"/>
              <w:rPr>
                <w:rFonts w:hint="eastAsia" w:ascii="仿宋_GB2312" w:eastAsia="仿宋_GB2312" w:cs="Times New Roman" w:hAnsiTheme="minorEastAsia"/>
                <w:sz w:val="20"/>
                <w:szCs w:val="20"/>
              </w:rPr>
            </w:pPr>
            <w:r>
              <w:rPr>
                <w:rFonts w:hint="eastAsia" w:ascii="仿宋_GB2312" w:eastAsia="仿宋_GB2312" w:cs="Times New Roman" w:hAnsiTheme="minorEastAsia"/>
                <w:sz w:val="20"/>
                <w:szCs w:val="20"/>
              </w:rPr>
              <w:t>操作行为类</w:t>
            </w:r>
          </w:p>
        </w:tc>
        <w:tc>
          <w:tcPr>
            <w:tcW w:w="1025" w:type="pct"/>
            <w:tcBorders>
              <w:tl2br w:val="nil"/>
              <w:tr2bl w:val="nil"/>
            </w:tcBorders>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未按照操作规程即时响应和处置重要工艺报警或气体检测报警。</w:t>
            </w:r>
          </w:p>
        </w:tc>
        <w:tc>
          <w:tcPr>
            <w:tcW w:w="1394" w:type="pct"/>
            <w:tcBorders>
              <w:tl2br w:val="nil"/>
              <w:tr2bl w:val="nil"/>
            </w:tcBorders>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应按照操作规程即时响应和处置重要工艺报警或气体检测报警。</w:t>
            </w:r>
          </w:p>
        </w:tc>
        <w:tc>
          <w:tcPr>
            <w:tcW w:w="1282" w:type="pct"/>
            <w:tcBorders>
              <w:tl2br w:val="nil"/>
              <w:tr2bl w:val="nil"/>
            </w:tcBorders>
            <w:vAlign w:val="center"/>
          </w:tcPr>
          <w:p>
            <w:pPr>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eastAsia="zh-CN" w:bidi="ar"/>
              </w:rPr>
              <w:t>《化工和危险化学品生产经营企业重大生产安全事故隐患判定准则》（AQ 3067-2026）</w:t>
            </w:r>
            <w:r>
              <w:rPr>
                <w:rFonts w:hint="eastAsia" w:ascii="仿宋_GB2312" w:cs="宋体" w:hAnsiTheme="minorEastAsia"/>
                <w:kern w:val="0"/>
                <w:sz w:val="20"/>
                <w:szCs w:val="20"/>
                <w:lang w:bidi="ar"/>
              </w:rPr>
              <w:t>第5.5.2条</w:t>
            </w:r>
          </w:p>
        </w:tc>
        <w:tc>
          <w:tcPr>
            <w:tcW w:w="209" w:type="pct"/>
            <w:tcBorders>
              <w:tl2br w:val="nil"/>
              <w:tr2bl w:val="nil"/>
            </w:tcBorders>
            <w:vAlign w:val="center"/>
          </w:tcPr>
          <w:p>
            <w:pPr>
              <w:widowControl/>
              <w:adjustRightInd w:val="0"/>
              <w:snapToGrid w:val="0"/>
              <w:spacing w:after="0" w:line="240" w:lineRule="auto"/>
              <w:jc w:val="center"/>
              <w:rPr>
                <w:rFonts w:hint="eastAsia" w:ascii="仿宋_GB2312" w:hAnsi="宋体" w:cs="宋体"/>
                <w:kern w:val="0"/>
                <w:sz w:val="20"/>
                <w:szCs w:val="20"/>
                <w:lang w:eastAsia="zh-TW"/>
              </w:rPr>
            </w:pPr>
            <w:r>
              <w:rPr>
                <w:rFonts w:hint="eastAsia" w:ascii="仿宋_GB2312"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hAnsiTheme="minorEastAsia"/>
                <w:sz w:val="20"/>
                <w:szCs w:val="20"/>
              </w:rPr>
            </w:pPr>
            <w:r>
              <w:rPr>
                <w:rFonts w:hint="eastAsia" w:ascii="仿宋_GB2312" w:hAnsiTheme="minorEastAsia"/>
                <w:sz w:val="20"/>
                <w:szCs w:val="20"/>
              </w:rPr>
              <w:t>13.3.02.09</w:t>
            </w:r>
            <w:r>
              <w:rPr>
                <w:rFonts w:hint="eastAsia" w:ascii="仿宋_GB2312" w:hAnsiTheme="minorEastAsia"/>
                <w:sz w:val="20"/>
                <w:szCs w:val="20"/>
                <w:lang w:val="en-US" w:eastAsia="zh-CN"/>
              </w:rPr>
              <w:t>2</w:t>
            </w:r>
          </w:p>
        </w:tc>
        <w:tc>
          <w:tcPr>
            <w:tcW w:w="388"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cs="Times New Roman" w:hAnsiTheme="minorEastAsia"/>
                <w:sz w:val="20"/>
                <w:szCs w:val="20"/>
              </w:rPr>
              <w:t>人员类</w:t>
            </w:r>
          </w:p>
        </w:tc>
        <w:tc>
          <w:tcPr>
            <w:tcW w:w="376"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bidi="ar"/>
              </w:rPr>
              <w:t>操作行为类</w:t>
            </w:r>
          </w:p>
        </w:tc>
        <w:tc>
          <w:tcPr>
            <w:tcW w:w="1025" w:type="pct"/>
            <w:tcBorders>
              <w:tl2br w:val="nil"/>
              <w:tr2bl w:val="nil"/>
            </w:tcBorders>
            <w:shd w:val="clear" w:color="auto" w:fill="FFFFFF"/>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进行爆破、吊装、挖掘、悬吊、建设工程拆除等危险作业，以及在有限空间内作业、动火作业、高处作业、带电作业、临近高压输电线路作业，未遵守下列规定：</w:t>
            </w:r>
          </w:p>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（一）制定作业方案，按照本单位内部批准权限审批；</w:t>
            </w:r>
          </w:p>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（二）安排负责现场管理的专门人员，确认现场作业条件、作业人员的上岗资质、身体状况符合安全作业要求，监督作业人员遵守操作规程，落实安全措施；</w:t>
            </w:r>
          </w:p>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（三）落实安全交底和技术交底，向作业人员详细说明作业内容、主要危险因素、作业安全要求和应急措施等内容；</w:t>
            </w:r>
          </w:p>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（四）配备与现场作业活动相适应的劳动防护用品，以及相应的安全警示标志、安全防护设备、应急救援装备；</w:t>
            </w:r>
          </w:p>
          <w:p>
            <w:pPr>
              <w:pStyle w:val="10"/>
              <w:widowControl w:val="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（五）发现直接危及人身安全的紧急情况，立即采取应急措施，停止作业或者撤出作业人员。</w:t>
            </w:r>
          </w:p>
        </w:tc>
        <w:tc>
          <w:tcPr>
            <w:tcW w:w="1394"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进行爆破、吊装、挖掘、悬吊、建设工程拆除等危险作业，以及在有限空间内作业、动火作业、高处作业、带电作业、临近高压输电线路作业，应遵守下列规定：</w:t>
            </w:r>
          </w:p>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（一）制定作业方案，按照本单位内部批准权限审批；</w:t>
            </w:r>
          </w:p>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（二）安排负责现场管理的专门人员，确认现场作业条件、作业人员的上岗资质、身体状况符合安全作业要求，监督作业人员遵守操作规程，落实安全措施；</w:t>
            </w:r>
          </w:p>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（三）落实安全交底和技术交底，向作业人员详细说明作业内容、主要危险因素、作业安全要求和应急措施等内容；</w:t>
            </w:r>
          </w:p>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（四）配备与现场作业活动相适应的劳动防护用品，以及相应的安全警示标志、安全防护设备、应急救援装备；</w:t>
            </w:r>
          </w:p>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（五）发现直接危及人身安全的紧急情况，立即采取应急措施，停止作业或者撤出作业人员。</w:t>
            </w:r>
          </w:p>
        </w:tc>
        <w:tc>
          <w:tcPr>
            <w:tcW w:w="1282"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《中华人民共和国安全生产法》第四十三条；</w:t>
            </w:r>
          </w:p>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《北京市安全生产条例》第二十八条、第二十九条、第三十八条；</w:t>
            </w:r>
          </w:p>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《北京市生产经营单位安全生产主体责任规定》第二十五条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hAnsiTheme="minorEastAsia"/>
                <w:sz w:val="20"/>
                <w:szCs w:val="20"/>
              </w:rPr>
            </w:pPr>
            <w:r>
              <w:rPr>
                <w:rFonts w:hint="eastAsia" w:ascii="仿宋_GB2312" w:hAnsiTheme="minorEastAsia"/>
                <w:sz w:val="20"/>
                <w:szCs w:val="20"/>
              </w:rPr>
              <w:t>13.3.02.09</w:t>
            </w:r>
            <w:r>
              <w:rPr>
                <w:rFonts w:hint="eastAsia" w:ascii="仿宋_GB2312" w:hAnsiTheme="minorEastAsia"/>
                <w:sz w:val="20"/>
                <w:szCs w:val="20"/>
                <w:lang w:val="en-US" w:eastAsia="zh-CN"/>
              </w:rPr>
              <w:t>3</w:t>
            </w:r>
          </w:p>
        </w:tc>
        <w:tc>
          <w:tcPr>
            <w:tcW w:w="388"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eastAsia="仿宋_GB2312" w:cs="Times New Roman" w:hAnsiTheme="minorEastAsia"/>
                <w:sz w:val="20"/>
                <w:szCs w:val="20"/>
                <w:lang w:eastAsia="zh-TW"/>
              </w:rPr>
            </w:pPr>
            <w:r>
              <w:rPr>
                <w:rFonts w:hint="eastAsia" w:ascii="仿宋_GB2312" w:eastAsia="仿宋_GB2312" w:cs="Times New Roman" w:hAnsiTheme="minorEastAsia"/>
                <w:sz w:val="20"/>
                <w:szCs w:val="20"/>
              </w:rPr>
              <w:t>人员类</w:t>
            </w:r>
          </w:p>
        </w:tc>
        <w:tc>
          <w:tcPr>
            <w:tcW w:w="376" w:type="pct"/>
            <w:tcBorders>
              <w:tl2br w:val="nil"/>
              <w:tr2bl w:val="nil"/>
            </w:tcBorders>
            <w:vAlign w:val="center"/>
          </w:tcPr>
          <w:p>
            <w:pPr>
              <w:pStyle w:val="10"/>
              <w:widowControl w:val="0"/>
              <w:adjustRightInd w:val="0"/>
              <w:snapToGrid w:val="0"/>
              <w:spacing w:before="0" w:beforeAutospacing="0" w:after="0" w:afterAutospacing="0"/>
              <w:jc w:val="center"/>
              <w:rPr>
                <w:rFonts w:hint="eastAsia" w:ascii="仿宋_GB2312" w:eastAsia="仿宋_GB2312" w:cs="Times New Roman" w:hAnsiTheme="minorEastAsia"/>
                <w:sz w:val="20"/>
                <w:szCs w:val="20"/>
                <w:lang w:eastAsia="zh-TW"/>
              </w:rPr>
            </w:pPr>
            <w:r>
              <w:rPr>
                <w:rFonts w:hint="eastAsia" w:ascii="仿宋_GB2312" w:eastAsia="仿宋_GB2312" w:cs="Times New Roman" w:hAnsiTheme="minorEastAsia"/>
                <w:sz w:val="20"/>
                <w:szCs w:val="20"/>
              </w:rPr>
              <w:t>操作行为类</w:t>
            </w:r>
          </w:p>
        </w:tc>
        <w:tc>
          <w:tcPr>
            <w:tcW w:w="2881" w:type="dxa"/>
            <w:tcBorders>
              <w:tl2br w:val="nil"/>
              <w:tr2bl w:val="nil"/>
            </w:tcBorders>
            <w:vAlign w:val="center"/>
          </w:tcPr>
          <w:p>
            <w:pPr>
              <w:widowControl/>
              <w:adjustRightInd w:val="0"/>
              <w:snapToGrid w:val="0"/>
              <w:spacing w:after="0" w:line="240" w:lineRule="auto"/>
              <w:jc w:val="left"/>
              <w:rPr>
                <w:rFonts w:hint="eastAsia" w:ascii="仿宋_GB2312" w:eastAsia="仿宋_GB2312" w:hAnsiTheme="minorEastAsia"/>
                <w:sz w:val="20"/>
                <w:szCs w:val="20"/>
                <w:lang w:bidi="ar"/>
              </w:rPr>
            </w:pPr>
            <w:r>
              <w:rPr>
                <w:rFonts w:hint="eastAsia" w:ascii="仿宋_GB2312" w:hAnsi="宋体" w:cs="宋体"/>
                <w:kern w:val="0"/>
                <w:sz w:val="20"/>
                <w:szCs w:val="20"/>
              </w:rPr>
              <w:t>未履行审批手续开展特殊作业，动火作业未按GB30871要求进行</w:t>
            </w:r>
            <w:r>
              <w:rPr>
                <w:rFonts w:hint="eastAsia" w:ascii="仿宋_GB2312" w:hAnsi="宋体" w:cs="宋体"/>
                <w:kern w:val="0"/>
                <w:sz w:val="20"/>
                <w:szCs w:val="20"/>
                <w:lang w:val="en-US" w:eastAsia="zh-CN"/>
              </w:rPr>
              <w:t>升级</w:t>
            </w:r>
            <w:r>
              <w:rPr>
                <w:rFonts w:hint="eastAsia" w:ascii="仿宋_GB2312" w:hAnsi="宋体" w:cs="宋体"/>
                <w:kern w:val="0"/>
                <w:sz w:val="20"/>
                <w:szCs w:val="20"/>
              </w:rPr>
              <w:t>管理</w:t>
            </w:r>
            <w:r>
              <w:rPr>
                <w:rFonts w:hint="eastAsia" w:ascii="仿宋_GB2312" w:hAnsi="宋体" w:cs="宋体"/>
                <w:kern w:val="0"/>
                <w:sz w:val="20"/>
                <w:szCs w:val="20"/>
                <w:lang w:eastAsia="zh-CN"/>
              </w:rPr>
              <w:t>。</w:t>
            </w:r>
            <w:r>
              <w:rPr>
                <w:rFonts w:hint="eastAsia" w:ascii="仿宋_GB2312" w:hAnsi="宋体" w:cs="宋体"/>
                <w:kern w:val="0"/>
                <w:sz w:val="20"/>
                <w:szCs w:val="20"/>
              </w:rPr>
              <w:t>涉及易燃易爆或有毒有害介质的设备管道动火作业前或受限空间作业前，未采取隔离措施或未确认设备、工艺处置结果满足安全作业要求。动火作业或受限空间作业未按照要求进行气体分析</w:t>
            </w:r>
            <w:r>
              <w:rPr>
                <w:rFonts w:hint="eastAsia" w:ascii="仿宋_GB2312" w:hAnsi="宋体" w:cs="宋体"/>
                <w:kern w:val="0"/>
                <w:sz w:val="20"/>
                <w:szCs w:val="20"/>
                <w:lang w:eastAsia="zh-CN"/>
              </w:rPr>
              <w:t>；</w:t>
            </w:r>
            <w:r>
              <w:rPr>
                <w:rFonts w:hint="eastAsia" w:ascii="仿宋_GB2312" w:hAnsi="宋体" w:cs="宋体"/>
                <w:kern w:val="0"/>
                <w:sz w:val="20"/>
                <w:szCs w:val="20"/>
              </w:rPr>
              <w:t>受限空间作业未连续监测可燃气体、有毒气体及氧气浓度</w:t>
            </w:r>
            <w:r>
              <w:rPr>
                <w:rFonts w:hint="eastAsia" w:ascii="仿宋_GB2312" w:hAnsi="宋体" w:cs="宋体"/>
                <w:kern w:val="0"/>
                <w:sz w:val="20"/>
                <w:szCs w:val="20"/>
                <w:lang w:eastAsia="zh-CN"/>
              </w:rPr>
              <w:t>；</w:t>
            </w:r>
            <w:r>
              <w:rPr>
                <w:rFonts w:hint="eastAsia" w:ascii="仿宋_GB2312" w:hAnsi="宋体" w:cs="宋体"/>
                <w:kern w:val="0"/>
                <w:sz w:val="20"/>
                <w:szCs w:val="20"/>
              </w:rPr>
              <w:t>特级动火作业未实现全过程视频监控</w:t>
            </w:r>
            <w:r>
              <w:rPr>
                <w:rFonts w:hint="eastAsia" w:ascii="仿宋_GB2312" w:hAnsi="宋体" w:cs="宋体"/>
                <w:kern w:val="0"/>
                <w:sz w:val="20"/>
                <w:szCs w:val="20"/>
                <w:lang w:eastAsia="zh-CN"/>
              </w:rPr>
              <w:t>。</w:t>
            </w:r>
            <w:r>
              <w:rPr>
                <w:rFonts w:hint="eastAsia" w:ascii="仿宋_GB2312" w:hAnsi="宋体" w:cs="宋体"/>
                <w:kern w:val="0"/>
                <w:sz w:val="20"/>
                <w:szCs w:val="20"/>
              </w:rPr>
              <w:t>未对</w:t>
            </w:r>
            <w:r>
              <w:rPr>
                <w:rFonts w:hint="eastAsia" w:ascii="仿宋_GB2312" w:hAnsi="宋体" w:cs="宋体"/>
                <w:kern w:val="0"/>
                <w:sz w:val="20"/>
                <w:szCs w:val="20"/>
                <w:lang w:val="en-US" w:eastAsia="zh-CN"/>
              </w:rPr>
              <w:t>生产区</w:t>
            </w:r>
            <w:r>
              <w:rPr>
                <w:rFonts w:hint="eastAsia" w:ascii="仿宋_GB2312" w:hAnsi="宋体" w:cs="宋体"/>
                <w:kern w:val="0"/>
                <w:sz w:val="20"/>
                <w:szCs w:val="20"/>
              </w:rPr>
              <w:t>作业人员进行入厂安全教育；作业前未对特殊作业人员进行安全交底；实施特殊作业时，企业未对作业实施管理和检查。</w:t>
            </w:r>
          </w:p>
        </w:tc>
        <w:tc>
          <w:tcPr>
            <w:tcW w:w="3919" w:type="dxa"/>
            <w:tcBorders>
              <w:tl2br w:val="nil"/>
              <w:tr2bl w:val="nil"/>
            </w:tcBorders>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hAnsi="等线" w:cs="宋体"/>
                <w:kern w:val="0"/>
                <w:sz w:val="20"/>
                <w:szCs w:val="20"/>
              </w:rPr>
              <w:t>应</w:t>
            </w:r>
            <w:r>
              <w:rPr>
                <w:rFonts w:hint="eastAsia" w:ascii="仿宋_GB2312" w:hAnsi="宋体" w:cs="宋体"/>
                <w:kern w:val="0"/>
                <w:sz w:val="20"/>
                <w:szCs w:val="20"/>
              </w:rPr>
              <w:t>履行审批手续开展特殊作业，动火作业</w:t>
            </w:r>
            <w:r>
              <w:rPr>
                <w:rFonts w:hint="eastAsia" w:ascii="仿宋_GB2312" w:hAnsi="等线" w:cs="宋体"/>
                <w:kern w:val="0"/>
                <w:sz w:val="20"/>
                <w:szCs w:val="20"/>
              </w:rPr>
              <w:t>应</w:t>
            </w:r>
            <w:r>
              <w:rPr>
                <w:rFonts w:hint="eastAsia" w:ascii="仿宋_GB2312" w:hAnsi="宋体" w:cs="宋体"/>
                <w:kern w:val="0"/>
                <w:sz w:val="20"/>
                <w:szCs w:val="20"/>
              </w:rPr>
              <w:t>按GB30871要求进行</w:t>
            </w:r>
            <w:r>
              <w:rPr>
                <w:rFonts w:hint="eastAsia" w:ascii="仿宋_GB2312" w:hAnsi="宋体" w:cs="宋体"/>
                <w:kern w:val="0"/>
                <w:sz w:val="20"/>
                <w:szCs w:val="20"/>
                <w:lang w:val="en-US" w:eastAsia="zh-CN"/>
              </w:rPr>
              <w:t>升级</w:t>
            </w:r>
            <w:r>
              <w:rPr>
                <w:rFonts w:hint="eastAsia" w:ascii="仿宋_GB2312" w:hAnsi="宋体" w:cs="宋体"/>
                <w:kern w:val="0"/>
                <w:sz w:val="20"/>
                <w:szCs w:val="20"/>
              </w:rPr>
              <w:t>管理</w:t>
            </w:r>
            <w:r>
              <w:rPr>
                <w:rFonts w:hint="eastAsia" w:ascii="仿宋_GB2312" w:hAnsi="等线" w:cs="宋体"/>
                <w:kern w:val="0"/>
                <w:sz w:val="20"/>
                <w:szCs w:val="20"/>
              </w:rPr>
              <w:t>。涉及易燃易爆或有毒有害介质的设备管道动火作业前或受限空间作业前，</w:t>
            </w:r>
            <w:r>
              <w:rPr>
                <w:rFonts w:hint="eastAsia" w:ascii="仿宋_GB2312" w:hAnsi="等线" w:cs="宋体"/>
                <w:kern w:val="0"/>
                <w:sz w:val="20"/>
                <w:szCs w:val="20"/>
                <w:lang w:val="en-US" w:eastAsia="zh-CN"/>
              </w:rPr>
              <w:t>应</w:t>
            </w:r>
            <w:r>
              <w:rPr>
                <w:rFonts w:hint="eastAsia" w:ascii="仿宋_GB2312" w:hAnsi="等线" w:cs="宋体"/>
                <w:kern w:val="0"/>
                <w:sz w:val="20"/>
                <w:szCs w:val="20"/>
              </w:rPr>
              <w:t>采取隔离措施或未确认设备、工艺处置结果满足安全作业要求。动火作业或受限空间作业</w:t>
            </w:r>
            <w:r>
              <w:rPr>
                <w:rFonts w:hint="eastAsia" w:ascii="仿宋_GB2312" w:hAnsi="等线" w:cs="宋体"/>
                <w:kern w:val="0"/>
                <w:sz w:val="20"/>
                <w:szCs w:val="20"/>
                <w:lang w:val="en-US" w:eastAsia="zh-CN"/>
              </w:rPr>
              <w:t>应</w:t>
            </w:r>
            <w:r>
              <w:rPr>
                <w:rFonts w:hint="eastAsia" w:ascii="仿宋_GB2312" w:hAnsi="等线" w:cs="宋体"/>
                <w:kern w:val="0"/>
                <w:sz w:val="20"/>
                <w:szCs w:val="20"/>
              </w:rPr>
              <w:t>按照要求进行气体分析；受限空间作业</w:t>
            </w:r>
            <w:r>
              <w:rPr>
                <w:rFonts w:hint="eastAsia" w:ascii="仿宋_GB2312" w:hAnsi="等线" w:cs="宋体"/>
                <w:kern w:val="0"/>
                <w:sz w:val="20"/>
                <w:szCs w:val="20"/>
                <w:lang w:val="en-US" w:eastAsia="zh-CN"/>
              </w:rPr>
              <w:t>应</w:t>
            </w:r>
            <w:r>
              <w:rPr>
                <w:rFonts w:hint="eastAsia" w:ascii="仿宋_GB2312" w:hAnsi="等线" w:cs="宋体"/>
                <w:kern w:val="0"/>
                <w:sz w:val="20"/>
                <w:szCs w:val="20"/>
              </w:rPr>
              <w:t>连续监测可燃气体、有毒气体及氧气浓度；特级动火作业</w:t>
            </w:r>
            <w:r>
              <w:rPr>
                <w:rFonts w:hint="eastAsia" w:ascii="仿宋_GB2312" w:hAnsi="等线" w:cs="宋体"/>
                <w:kern w:val="0"/>
                <w:sz w:val="20"/>
                <w:szCs w:val="20"/>
                <w:lang w:val="en-US" w:eastAsia="zh-CN"/>
              </w:rPr>
              <w:t>应</w:t>
            </w:r>
            <w:r>
              <w:rPr>
                <w:rFonts w:hint="eastAsia" w:ascii="仿宋_GB2312" w:hAnsi="等线" w:cs="宋体"/>
                <w:kern w:val="0"/>
                <w:sz w:val="20"/>
                <w:szCs w:val="20"/>
              </w:rPr>
              <w:t>实现全过程视频监控。应</w:t>
            </w:r>
            <w:r>
              <w:rPr>
                <w:rFonts w:hint="eastAsia" w:ascii="仿宋_GB2312" w:hAnsi="宋体" w:cs="宋体"/>
                <w:kern w:val="0"/>
                <w:sz w:val="20"/>
                <w:szCs w:val="20"/>
              </w:rPr>
              <w:t>对生产区作业人员进行入厂安全教育；作业前</w:t>
            </w:r>
            <w:r>
              <w:rPr>
                <w:rFonts w:hint="eastAsia" w:ascii="仿宋_GB2312" w:hAnsi="等线" w:cs="宋体"/>
                <w:kern w:val="0"/>
                <w:sz w:val="20"/>
                <w:szCs w:val="20"/>
              </w:rPr>
              <w:t>应</w:t>
            </w:r>
            <w:r>
              <w:rPr>
                <w:rFonts w:hint="eastAsia" w:ascii="仿宋_GB2312" w:hAnsi="宋体" w:cs="宋体"/>
                <w:kern w:val="0"/>
                <w:sz w:val="20"/>
                <w:szCs w:val="20"/>
              </w:rPr>
              <w:t>对特殊作业人员进行安全交底；实施特殊作业时，企业</w:t>
            </w:r>
            <w:r>
              <w:rPr>
                <w:rFonts w:hint="eastAsia" w:ascii="仿宋_GB2312" w:hAnsi="等线" w:cs="宋体"/>
                <w:kern w:val="0"/>
                <w:sz w:val="20"/>
                <w:szCs w:val="20"/>
              </w:rPr>
              <w:t>应</w:t>
            </w:r>
            <w:r>
              <w:rPr>
                <w:rFonts w:hint="eastAsia" w:ascii="仿宋_GB2312" w:hAnsi="宋体" w:cs="宋体"/>
                <w:kern w:val="0"/>
                <w:sz w:val="20"/>
                <w:szCs w:val="20"/>
              </w:rPr>
              <w:t>对作业实施管理和检查。</w:t>
            </w:r>
          </w:p>
        </w:tc>
        <w:tc>
          <w:tcPr>
            <w:tcW w:w="1282" w:type="pct"/>
            <w:tcBorders>
              <w:tl2br w:val="nil"/>
              <w:tr2bl w:val="nil"/>
            </w:tcBorders>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eastAsia="zh-CN" w:bidi="ar"/>
              </w:rPr>
              <w:t>《化工和危险化学品生产经营企业重大生产安全事故隐患判定准则》（AQ 3067-2026）</w:t>
            </w:r>
            <w:r>
              <w:rPr>
                <w:rFonts w:hint="eastAsia" w:ascii="仿宋_GB2312" w:cs="宋体" w:hAnsiTheme="minorEastAsia"/>
                <w:kern w:val="0"/>
                <w:sz w:val="20"/>
                <w:szCs w:val="20"/>
                <w:lang w:bidi="ar"/>
              </w:rPr>
              <w:t>第5.6条</w:t>
            </w:r>
          </w:p>
        </w:tc>
        <w:tc>
          <w:tcPr>
            <w:tcW w:w="209" w:type="pct"/>
            <w:tcBorders>
              <w:tl2br w:val="nil"/>
              <w:tr2bl w:val="nil"/>
            </w:tcBorders>
            <w:vAlign w:val="center"/>
          </w:tcPr>
          <w:p>
            <w:pPr>
              <w:widowControl/>
              <w:adjustRightInd w:val="0"/>
              <w:snapToGrid w:val="0"/>
              <w:spacing w:after="0" w:line="240" w:lineRule="auto"/>
              <w:jc w:val="center"/>
              <w:rPr>
                <w:rFonts w:hint="eastAsia" w:ascii="仿宋_GB2312" w:hAnsi="宋体" w:eastAsia="宋体" w:cs="宋体"/>
                <w:kern w:val="0"/>
                <w:sz w:val="20"/>
                <w:szCs w:val="20"/>
                <w:lang w:eastAsia="zh-TW"/>
              </w:rPr>
            </w:pPr>
            <w:r>
              <w:rPr>
                <w:rFonts w:hint="eastAsia" w:ascii="仿宋_GB2312"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eastAsia="仿宋_GB2312" w:hAnsiTheme="minorEastAsia"/>
                <w:sz w:val="20"/>
                <w:szCs w:val="20"/>
                <w:lang w:eastAsia="zh-CN"/>
              </w:rPr>
            </w:pPr>
            <w:r>
              <w:rPr>
                <w:rFonts w:hint="eastAsia" w:ascii="仿宋_GB2312" w:hAnsiTheme="minorEastAsia"/>
                <w:sz w:val="20"/>
                <w:szCs w:val="20"/>
              </w:rPr>
              <w:t>13.3.02.09</w:t>
            </w:r>
            <w:r>
              <w:rPr>
                <w:rFonts w:hint="eastAsia" w:ascii="仿宋_GB2312" w:hAnsiTheme="minorEastAsia"/>
                <w:sz w:val="20"/>
                <w:szCs w:val="20"/>
                <w:lang w:val="en-US" w:eastAsia="zh-CN"/>
              </w:rPr>
              <w:t>4</w:t>
            </w:r>
          </w:p>
        </w:tc>
        <w:tc>
          <w:tcPr>
            <w:tcW w:w="388"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cs="Times New Roman" w:hAnsiTheme="minorEastAsia"/>
                <w:sz w:val="20"/>
                <w:szCs w:val="20"/>
              </w:rPr>
              <w:t>人员类</w:t>
            </w:r>
          </w:p>
        </w:tc>
        <w:tc>
          <w:tcPr>
            <w:tcW w:w="376"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cs="Times New Roman" w:hAnsiTheme="minorEastAsia"/>
                <w:sz w:val="20"/>
                <w:szCs w:val="20"/>
              </w:rPr>
              <w:t>操作行为类</w:t>
            </w:r>
          </w:p>
        </w:tc>
        <w:tc>
          <w:tcPr>
            <w:tcW w:w="1025" w:type="pct"/>
            <w:tcBorders>
              <w:tl2br w:val="nil"/>
              <w:tr2bl w:val="nil"/>
            </w:tcBorders>
            <w:shd w:val="clear" w:color="auto" w:fill="FFFFFF"/>
            <w:vAlign w:val="center"/>
          </w:tcPr>
          <w:p>
            <w:pPr>
              <w:pStyle w:val="10"/>
              <w:widowControl w:val="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危险化学品储存场所所在单位未在储存场所的显著位置张贴或悬挂操作规程和现场处置方案。</w:t>
            </w:r>
          </w:p>
        </w:tc>
        <w:tc>
          <w:tcPr>
            <w:tcW w:w="1394"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储存场所所在单位应在储存场所的显著位置张贴或悬挂操作规程和现场处置方案。</w:t>
            </w:r>
          </w:p>
        </w:tc>
        <w:tc>
          <w:tcPr>
            <w:tcW w:w="1282"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《危险化学品储存场所建设及储存安全要求》（DB11/T 755）第5.1.2.5条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eastAsia="仿宋_GB2312" w:hAnsiTheme="minorEastAsia"/>
                <w:sz w:val="20"/>
                <w:szCs w:val="20"/>
                <w:lang w:eastAsia="zh-CN"/>
              </w:rPr>
            </w:pPr>
            <w:r>
              <w:rPr>
                <w:rFonts w:hint="eastAsia" w:ascii="仿宋_GB2312" w:hAnsiTheme="minorEastAsia"/>
                <w:sz w:val="20"/>
                <w:szCs w:val="20"/>
              </w:rPr>
              <w:t>13.3.02.09</w:t>
            </w:r>
            <w:r>
              <w:rPr>
                <w:rFonts w:hint="eastAsia" w:ascii="仿宋_GB2312" w:hAnsiTheme="minorEastAsia"/>
                <w:sz w:val="20"/>
                <w:szCs w:val="20"/>
                <w:lang w:val="en-US" w:eastAsia="zh-CN"/>
              </w:rPr>
              <w:t>5</w:t>
            </w:r>
          </w:p>
        </w:tc>
        <w:tc>
          <w:tcPr>
            <w:tcW w:w="388"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cs="Times New Roman" w:hAnsiTheme="minorEastAsia"/>
                <w:sz w:val="20"/>
                <w:szCs w:val="20"/>
              </w:rPr>
              <w:t>人员类</w:t>
            </w:r>
          </w:p>
        </w:tc>
        <w:tc>
          <w:tcPr>
            <w:tcW w:w="376"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cs="Times New Roman" w:hAnsiTheme="minorEastAsia"/>
                <w:sz w:val="20"/>
                <w:szCs w:val="20"/>
              </w:rPr>
              <w:t>操作行为类</w:t>
            </w:r>
          </w:p>
        </w:tc>
        <w:tc>
          <w:tcPr>
            <w:tcW w:w="1025" w:type="pct"/>
            <w:tcBorders>
              <w:tl2br w:val="nil"/>
              <w:tr2bl w:val="nil"/>
            </w:tcBorders>
            <w:shd w:val="clear" w:color="auto" w:fill="FFFFFF"/>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野蛮装卸、搬运危险化学品。</w:t>
            </w:r>
          </w:p>
        </w:tc>
        <w:tc>
          <w:tcPr>
            <w:tcW w:w="1394"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装卸、搬运危险化学品时应轻装、轻卸，不应摔、碰、撞击、拖拉、摩擦、倾倒和滚动。</w:t>
            </w:r>
          </w:p>
        </w:tc>
        <w:tc>
          <w:tcPr>
            <w:tcW w:w="1282"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《危险化学品储存场所建设及储存安全要求》（DB11/T 755）第5.1.2.11条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eastAsia="仿宋_GB2312" w:hAnsiTheme="minorEastAsia"/>
                <w:sz w:val="20"/>
                <w:szCs w:val="20"/>
                <w:lang w:eastAsia="zh-CN"/>
              </w:rPr>
            </w:pPr>
            <w:r>
              <w:rPr>
                <w:rFonts w:hint="eastAsia" w:ascii="仿宋_GB2312" w:hAnsiTheme="minorEastAsia"/>
                <w:sz w:val="20"/>
                <w:szCs w:val="20"/>
              </w:rPr>
              <w:t>13.3.02.09</w:t>
            </w:r>
            <w:r>
              <w:rPr>
                <w:rFonts w:hint="eastAsia" w:ascii="仿宋_GB2312" w:hAnsiTheme="minorEastAsia"/>
                <w:sz w:val="20"/>
                <w:szCs w:val="20"/>
                <w:lang w:val="en-US" w:eastAsia="zh-CN"/>
              </w:rPr>
              <w:t>6</w:t>
            </w:r>
          </w:p>
        </w:tc>
        <w:tc>
          <w:tcPr>
            <w:tcW w:w="388"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cs="Times New Roman" w:hAnsiTheme="minorEastAsia"/>
                <w:sz w:val="20"/>
                <w:szCs w:val="20"/>
              </w:rPr>
              <w:t>人员类</w:t>
            </w:r>
          </w:p>
        </w:tc>
        <w:tc>
          <w:tcPr>
            <w:tcW w:w="376"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cs="Times New Roman" w:hAnsiTheme="minorEastAsia"/>
                <w:sz w:val="20"/>
                <w:szCs w:val="20"/>
              </w:rPr>
              <w:t>操作行为类</w:t>
            </w:r>
          </w:p>
        </w:tc>
        <w:tc>
          <w:tcPr>
            <w:tcW w:w="1025" w:type="pct"/>
            <w:tcBorders>
              <w:tl2br w:val="nil"/>
              <w:tr2bl w:val="nil"/>
            </w:tcBorders>
            <w:shd w:val="clear" w:color="auto" w:fill="FFFFFF"/>
            <w:vAlign w:val="center"/>
          </w:tcPr>
          <w:p>
            <w:pPr>
              <w:pStyle w:val="10"/>
              <w:widowControl w:val="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在储存场所内对危险化学品进行分装、改装和堆积可燃性物品。</w:t>
            </w:r>
          </w:p>
        </w:tc>
        <w:tc>
          <w:tcPr>
            <w:tcW w:w="1394"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不应在储存场所内对危险化学品进行分装、改装和堆积可燃性物品。</w:t>
            </w:r>
          </w:p>
        </w:tc>
        <w:tc>
          <w:tcPr>
            <w:tcW w:w="1282"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《危险化学品储存场所建设及储存安全要求》（DB11/T 755）第5.1.2.14条</w:t>
            </w:r>
          </w:p>
        </w:tc>
        <w:tc>
          <w:tcPr>
            <w:tcW w:w="209" w:type="pct"/>
            <w:tcBorders>
              <w:tl2br w:val="nil"/>
              <w:tr2bl w:val="nil"/>
            </w:tcBorders>
            <w:shd w:val="clear" w:color="auto" w:fill="FFFFFF"/>
            <w:vAlign w:val="center"/>
          </w:tcPr>
          <w:p>
            <w:pPr>
              <w:pStyle w:val="10"/>
              <w:widowControl w:val="0"/>
              <w:adjustRightInd w:val="0"/>
              <w:snapToGrid w:val="0"/>
              <w:spacing w:before="0" w:beforeAutospacing="0" w:after="0" w:afterAutospacing="0"/>
              <w:jc w:val="center"/>
              <w:rPr>
                <w:rFonts w:hint="eastAsia" w:ascii="仿宋_GB2312" w:eastAsia="仿宋_GB2312" w:hAnsiTheme="minorEastAsia"/>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eastAsia="仿宋_GB2312" w:hAnsiTheme="minorEastAsia"/>
                <w:sz w:val="20"/>
                <w:szCs w:val="20"/>
                <w:lang w:eastAsia="zh-CN"/>
              </w:rPr>
            </w:pPr>
            <w:r>
              <w:rPr>
                <w:rFonts w:hint="eastAsia" w:ascii="仿宋_GB2312" w:hAnsiTheme="minorEastAsia"/>
                <w:sz w:val="20"/>
                <w:szCs w:val="20"/>
              </w:rPr>
              <w:t>13.3.03.09</w:t>
            </w:r>
            <w:r>
              <w:rPr>
                <w:rFonts w:hint="eastAsia" w:ascii="仿宋_GB2312" w:hAnsiTheme="minorEastAsia"/>
                <w:sz w:val="20"/>
                <w:szCs w:val="20"/>
                <w:lang w:val="en-US" w:eastAsia="zh-CN"/>
              </w:rPr>
              <w:t>7</w:t>
            </w:r>
          </w:p>
        </w:tc>
        <w:tc>
          <w:tcPr>
            <w:tcW w:w="388" w:type="pct"/>
            <w:tcBorders>
              <w:tl2br w:val="nil"/>
              <w:tr2bl w:val="nil"/>
            </w:tcBorders>
            <w:vAlign w:val="center"/>
          </w:tcPr>
          <w:p>
            <w:pPr>
              <w:pStyle w:val="10"/>
              <w:adjustRightInd w:val="0"/>
              <w:snapToGrid w:val="0"/>
              <w:spacing w:before="0" w:beforeAutospacing="0" w:after="0" w:afterAutospacing="0"/>
              <w:jc w:val="center"/>
              <w:rPr>
                <w:rFonts w:hint="eastAsia" w:ascii="仿宋_GB2312" w:eastAsia="仿宋_GB2312" w:cs="Times New Roman" w:hAnsiTheme="minorEastAsia"/>
                <w:sz w:val="20"/>
                <w:szCs w:val="20"/>
              </w:rPr>
            </w:pPr>
            <w:r>
              <w:rPr>
                <w:rFonts w:hint="eastAsia" w:ascii="仿宋_GB2312" w:eastAsia="仿宋_GB2312" w:cs="Times New Roman" w:hAnsiTheme="minorEastAsia"/>
                <w:sz w:val="20"/>
                <w:szCs w:val="20"/>
              </w:rPr>
              <w:t>人员类</w:t>
            </w:r>
          </w:p>
        </w:tc>
        <w:tc>
          <w:tcPr>
            <w:tcW w:w="376" w:type="pct"/>
            <w:tcBorders>
              <w:tl2br w:val="nil"/>
              <w:tr2bl w:val="nil"/>
            </w:tcBorders>
            <w:vAlign w:val="center"/>
          </w:tcPr>
          <w:p>
            <w:pPr>
              <w:pStyle w:val="10"/>
              <w:adjustRightInd w:val="0"/>
              <w:snapToGrid w:val="0"/>
              <w:spacing w:before="0" w:beforeAutospacing="0" w:after="0" w:afterAutospacing="0"/>
              <w:jc w:val="center"/>
              <w:rPr>
                <w:rFonts w:hint="eastAsia" w:ascii="仿宋_GB2312" w:eastAsia="仿宋_GB2312" w:cs="Times New Roman" w:hAnsiTheme="minorEastAsia"/>
                <w:sz w:val="20"/>
                <w:szCs w:val="20"/>
              </w:rPr>
            </w:pPr>
            <w:r>
              <w:rPr>
                <w:rFonts w:hint="eastAsia" w:ascii="仿宋_GB2312" w:eastAsia="仿宋_GB2312" w:cs="Times New Roman" w:hAnsiTheme="minorEastAsia"/>
                <w:sz w:val="20"/>
                <w:szCs w:val="20"/>
              </w:rPr>
              <w:t>个人防护用品使用类</w:t>
            </w:r>
          </w:p>
        </w:tc>
        <w:tc>
          <w:tcPr>
            <w:tcW w:w="1025" w:type="pct"/>
            <w:tcBorders>
              <w:tl2br w:val="nil"/>
              <w:tr2bl w:val="nil"/>
            </w:tcBorders>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hAnsi="仿宋_GB2312" w:eastAsia="仿宋_GB2312" w:cs="仿宋_GB2312"/>
                <w:sz w:val="20"/>
                <w:szCs w:val="20"/>
              </w:rPr>
              <w:t>未为从业人员提供符合国家标准或者行业标准的劳动防护用品，未监督、教育从业人员按照使用规则佩戴、使用。</w:t>
            </w:r>
          </w:p>
        </w:tc>
        <w:tc>
          <w:tcPr>
            <w:tcW w:w="1394" w:type="pct"/>
            <w:tcBorders>
              <w:tl2br w:val="nil"/>
              <w:tr2bl w:val="nil"/>
            </w:tcBorders>
            <w:vAlign w:val="center"/>
          </w:tcPr>
          <w:p>
            <w:pPr>
              <w:widowControl/>
              <w:adjustRightInd w:val="0"/>
              <w:snapToGrid w:val="0"/>
              <w:spacing w:after="0" w:line="240" w:lineRule="auto"/>
              <w:textAlignment w:val="auto"/>
              <w:rPr>
                <w:rFonts w:hint="eastAsia" w:ascii="仿宋_GB2312" w:hAnsi="仿宋_GB2312" w:cs="仿宋_GB2312"/>
                <w:kern w:val="0"/>
                <w:sz w:val="20"/>
                <w:szCs w:val="20"/>
              </w:rPr>
            </w:pPr>
            <w:r>
              <w:rPr>
                <w:rFonts w:hint="eastAsia" w:ascii="仿宋_GB2312" w:hAnsi="仿宋_GB2312" w:cs="仿宋_GB2312"/>
                <w:kern w:val="0"/>
                <w:sz w:val="20"/>
                <w:szCs w:val="20"/>
              </w:rPr>
              <w:t>生产经营单位必须为从业人员提供符合国家标准或者行业标准的劳动防护用品，并监督、教育从业人员按照使用规则佩戴、使用。</w:t>
            </w:r>
          </w:p>
        </w:tc>
        <w:tc>
          <w:tcPr>
            <w:tcW w:w="1282" w:type="pct"/>
            <w:tcBorders>
              <w:tl2br w:val="nil"/>
              <w:tr2bl w:val="nil"/>
            </w:tcBorders>
            <w:vAlign w:val="center"/>
          </w:tcPr>
          <w:p>
            <w:pPr>
              <w:widowControl/>
              <w:adjustRightInd w:val="0"/>
              <w:snapToGrid w:val="0"/>
              <w:spacing w:after="0" w:line="240" w:lineRule="auto"/>
              <w:textAlignment w:val="auto"/>
              <w:rPr>
                <w:rFonts w:hint="eastAsia" w:ascii="仿宋_GB2312" w:hAnsi="仿宋_GB2312" w:cs="仿宋_GB2312"/>
                <w:kern w:val="0"/>
                <w:sz w:val="20"/>
                <w:szCs w:val="20"/>
              </w:rPr>
            </w:pPr>
            <w:r>
              <w:rPr>
                <w:rFonts w:hint="eastAsia" w:ascii="仿宋_GB2312" w:hAnsi="仿宋_GB2312" w:cs="仿宋_GB2312"/>
                <w:kern w:val="0"/>
                <w:sz w:val="20"/>
                <w:szCs w:val="20"/>
              </w:rPr>
              <w:t>《中华人民共和国安全生产法》第四十五条；</w:t>
            </w:r>
            <w:r>
              <w:rPr>
                <w:rFonts w:hint="eastAsia" w:ascii="仿宋_GB2312" w:hAnsi="仿宋_GB2312" w:cs="仿宋_GB2312"/>
                <w:kern w:val="0"/>
                <w:sz w:val="20"/>
                <w:szCs w:val="20"/>
              </w:rPr>
              <w:br w:type="textWrapping"/>
            </w:r>
            <w:r>
              <w:rPr>
                <w:rFonts w:hint="eastAsia" w:ascii="仿宋_GB2312" w:hAnsi="仿宋_GB2312" w:cs="仿宋_GB2312"/>
                <w:kern w:val="0"/>
                <w:sz w:val="20"/>
                <w:szCs w:val="20"/>
              </w:rPr>
              <w:t>《个体防护装备配备规范 第1部分：总则》（GB 39800.1-2020）</w:t>
            </w:r>
          </w:p>
        </w:tc>
        <w:tc>
          <w:tcPr>
            <w:tcW w:w="209" w:type="pct"/>
            <w:tcBorders>
              <w:tl2br w:val="nil"/>
              <w:tr2bl w:val="nil"/>
            </w:tcBorders>
            <w:vAlign w:val="center"/>
          </w:tcPr>
          <w:p>
            <w:pPr>
              <w:widowControl/>
              <w:adjustRightInd w:val="0"/>
              <w:snapToGrid w:val="0"/>
              <w:spacing w:after="0" w:line="240" w:lineRule="auto"/>
              <w:jc w:val="center"/>
              <w:rPr>
                <w:rFonts w:hint="eastAsia" w:ascii="仿宋_GB2312" w:hAnsi="宋体" w:eastAsia="宋体" w:cs="宋体"/>
                <w:kern w:val="0"/>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hAnsiTheme="minorEastAsia"/>
                <w:sz w:val="20"/>
                <w:szCs w:val="20"/>
              </w:rPr>
            </w:pPr>
            <w:r>
              <w:rPr>
                <w:rFonts w:hint="eastAsia" w:ascii="仿宋_GB2312" w:hAnsiTheme="minorEastAsia"/>
                <w:sz w:val="20"/>
                <w:szCs w:val="20"/>
              </w:rPr>
              <w:t>13.4.01.</w:t>
            </w:r>
            <w:r>
              <w:rPr>
                <w:rFonts w:hint="eastAsia" w:ascii="仿宋_GB2312" w:hAnsiTheme="minorEastAsia"/>
                <w:sz w:val="20"/>
                <w:szCs w:val="20"/>
                <w:lang w:val="en-US" w:eastAsia="zh-CN"/>
              </w:rPr>
              <w:t>098</w:t>
            </w:r>
          </w:p>
        </w:tc>
        <w:tc>
          <w:tcPr>
            <w:tcW w:w="388" w:type="pct"/>
            <w:tcBorders>
              <w:tl2br w:val="nil"/>
              <w:tr2bl w:val="nil"/>
            </w:tcBorders>
            <w:vAlign w:val="center"/>
          </w:tcPr>
          <w:p>
            <w:pPr>
              <w:pStyle w:val="10"/>
              <w:adjustRightInd w:val="0"/>
              <w:snapToGrid w:val="0"/>
              <w:spacing w:before="0" w:beforeAutospacing="0" w:after="0" w:afterAutospacing="0"/>
              <w:jc w:val="center"/>
              <w:rPr>
                <w:rFonts w:hint="eastAsia" w:ascii="仿宋_GB2312" w:eastAsia="仿宋_GB2312" w:cs="Times New Roman" w:hAnsiTheme="minorEastAsia"/>
                <w:sz w:val="20"/>
                <w:szCs w:val="20"/>
              </w:rPr>
            </w:pPr>
            <w:r>
              <w:rPr>
                <w:rFonts w:hint="eastAsia" w:ascii="仿宋_GB2312" w:eastAsia="仿宋_GB2312" w:cs="Times New Roman" w:hAnsiTheme="minorEastAsia"/>
                <w:sz w:val="20"/>
                <w:szCs w:val="20"/>
              </w:rPr>
              <w:t>场所环境类</w:t>
            </w:r>
          </w:p>
        </w:tc>
        <w:tc>
          <w:tcPr>
            <w:tcW w:w="376" w:type="pct"/>
            <w:tcBorders>
              <w:tl2br w:val="nil"/>
              <w:tr2bl w:val="nil"/>
            </w:tcBorders>
            <w:vAlign w:val="center"/>
          </w:tcPr>
          <w:p>
            <w:pPr>
              <w:pStyle w:val="10"/>
              <w:adjustRightInd w:val="0"/>
              <w:snapToGrid w:val="0"/>
              <w:spacing w:before="0" w:beforeAutospacing="0" w:after="0" w:afterAutospacing="0"/>
              <w:jc w:val="center"/>
              <w:rPr>
                <w:rFonts w:hint="eastAsia" w:ascii="仿宋_GB2312" w:eastAsia="仿宋_GB2312" w:cs="Times New Roman" w:hAnsiTheme="minorEastAsia"/>
                <w:sz w:val="20"/>
                <w:szCs w:val="20"/>
              </w:rPr>
            </w:pPr>
            <w:r>
              <w:rPr>
                <w:rFonts w:hint="eastAsia" w:ascii="仿宋_GB2312" w:eastAsia="仿宋_GB2312" w:cs="Times New Roman" w:hAnsiTheme="minorEastAsia"/>
                <w:sz w:val="20"/>
                <w:szCs w:val="20"/>
              </w:rPr>
              <w:t>平面布置类</w:t>
            </w:r>
          </w:p>
        </w:tc>
        <w:tc>
          <w:tcPr>
            <w:tcW w:w="1025" w:type="pct"/>
            <w:tcBorders>
              <w:tl2br w:val="nil"/>
              <w:tr2bl w:val="nil"/>
            </w:tcBorders>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企业总平面布置不符合 GB 50016、GB 50187、GB 50489、GB 51283、GB 55037 、GB51047、GB50030等相关标准要求。</w:t>
            </w:r>
          </w:p>
        </w:tc>
        <w:tc>
          <w:tcPr>
            <w:tcW w:w="1394" w:type="pct"/>
            <w:tcBorders>
              <w:tl2br w:val="nil"/>
              <w:tr2bl w:val="nil"/>
            </w:tcBorders>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企业总平面布置应符合 GB 50016、GB 50187、GB 50489、GB 51283、GB 55037 、GB51047、GB50030等相关标准要求。</w:t>
            </w:r>
          </w:p>
        </w:tc>
        <w:tc>
          <w:tcPr>
            <w:tcW w:w="1282" w:type="pct"/>
            <w:tcBorders>
              <w:tl2br w:val="nil"/>
              <w:tr2bl w:val="nil"/>
            </w:tcBorders>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《建筑设计防火规范（2018年版）》（GB 50016-2014）第3.4条、第3.5条、第4.2条；</w:t>
            </w:r>
          </w:p>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《工业企业总平面设计规范》（GB 50187-2012）；</w:t>
            </w:r>
          </w:p>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《化工企业总图运输设计规范》（GB 50489-2009）；</w:t>
            </w:r>
          </w:p>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《精细化工企业工程设计防火标准（2020年版）》（GB 51283-2020）；</w:t>
            </w:r>
          </w:p>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《建筑防火通用规范》（GB 55037-2022）；</w:t>
            </w:r>
          </w:p>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《医药工业总图运输设计规范》（GB 51047-2014）；</w:t>
            </w:r>
          </w:p>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《氧气站设计规范》（GB 50030-2013）</w:t>
            </w:r>
          </w:p>
        </w:tc>
        <w:tc>
          <w:tcPr>
            <w:tcW w:w="209" w:type="pct"/>
            <w:tcBorders>
              <w:tl2br w:val="nil"/>
              <w:tr2bl w:val="nil"/>
            </w:tcBorders>
            <w:vAlign w:val="center"/>
          </w:tcPr>
          <w:p>
            <w:pPr>
              <w:widowControl/>
              <w:adjustRightInd w:val="0"/>
              <w:snapToGrid w:val="0"/>
              <w:spacing w:after="0" w:line="240" w:lineRule="auto"/>
              <w:jc w:val="center"/>
              <w:rPr>
                <w:rFonts w:hint="eastAsia" w:ascii="仿宋_GB2312" w:hAnsi="宋体" w:eastAsia="宋体" w:cs="宋体"/>
                <w:kern w:val="0"/>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hAnsiTheme="minorEastAsia"/>
                <w:sz w:val="20"/>
                <w:szCs w:val="20"/>
              </w:rPr>
            </w:pPr>
            <w:r>
              <w:rPr>
                <w:rFonts w:hint="eastAsia" w:ascii="仿宋_GB2312" w:hAnsiTheme="minorEastAsia"/>
                <w:sz w:val="20"/>
                <w:szCs w:val="20"/>
              </w:rPr>
              <w:t>13.4.01.</w:t>
            </w:r>
            <w:r>
              <w:rPr>
                <w:rFonts w:hint="eastAsia" w:ascii="仿宋_GB2312" w:hAnsiTheme="minorEastAsia"/>
                <w:sz w:val="20"/>
                <w:szCs w:val="20"/>
                <w:lang w:val="en-US" w:eastAsia="zh-CN"/>
              </w:rPr>
              <w:t>099</w:t>
            </w:r>
          </w:p>
        </w:tc>
        <w:tc>
          <w:tcPr>
            <w:tcW w:w="388" w:type="pct"/>
            <w:tcBorders>
              <w:tl2br w:val="nil"/>
              <w:tr2bl w:val="nil"/>
            </w:tcBorders>
            <w:vAlign w:val="center"/>
          </w:tcPr>
          <w:p>
            <w:pPr>
              <w:pStyle w:val="10"/>
              <w:adjustRightInd w:val="0"/>
              <w:snapToGrid w:val="0"/>
              <w:spacing w:before="0" w:beforeAutospacing="0" w:after="0" w:afterAutospacing="0"/>
              <w:jc w:val="center"/>
              <w:rPr>
                <w:rFonts w:hint="eastAsia" w:ascii="仿宋_GB2312" w:eastAsia="仿宋_GB2312" w:cs="Times New Roman" w:hAnsiTheme="minorEastAsia"/>
                <w:sz w:val="20"/>
                <w:szCs w:val="20"/>
              </w:rPr>
            </w:pPr>
            <w:r>
              <w:rPr>
                <w:rFonts w:hint="eastAsia" w:ascii="仿宋_GB2312" w:eastAsia="仿宋_GB2312" w:cs="Times New Roman" w:hAnsiTheme="minorEastAsia"/>
                <w:sz w:val="20"/>
                <w:szCs w:val="20"/>
              </w:rPr>
              <w:t>场所环境类</w:t>
            </w:r>
          </w:p>
        </w:tc>
        <w:tc>
          <w:tcPr>
            <w:tcW w:w="376" w:type="pct"/>
            <w:tcBorders>
              <w:tl2br w:val="nil"/>
              <w:tr2bl w:val="nil"/>
            </w:tcBorders>
            <w:vAlign w:val="center"/>
          </w:tcPr>
          <w:p>
            <w:pPr>
              <w:pStyle w:val="10"/>
              <w:adjustRightInd w:val="0"/>
              <w:snapToGrid w:val="0"/>
              <w:spacing w:before="0" w:beforeAutospacing="0" w:after="0" w:afterAutospacing="0"/>
              <w:jc w:val="center"/>
              <w:rPr>
                <w:rFonts w:hint="eastAsia" w:ascii="仿宋_GB2312" w:eastAsia="仿宋_GB2312" w:cs="Times New Roman" w:hAnsiTheme="minorEastAsia"/>
                <w:sz w:val="20"/>
                <w:szCs w:val="20"/>
              </w:rPr>
            </w:pPr>
            <w:r>
              <w:rPr>
                <w:rFonts w:hint="eastAsia" w:ascii="仿宋_GB2312" w:eastAsia="仿宋_GB2312" w:cs="Times New Roman" w:hAnsiTheme="minorEastAsia"/>
                <w:sz w:val="20"/>
                <w:szCs w:val="20"/>
              </w:rPr>
              <w:t>平面布置类</w:t>
            </w:r>
          </w:p>
        </w:tc>
        <w:tc>
          <w:tcPr>
            <w:tcW w:w="1025" w:type="pct"/>
            <w:tcBorders>
              <w:tl2br w:val="nil"/>
              <w:tr2bl w:val="nil"/>
            </w:tcBorders>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附设在丙类仓库内的办公室、休息室、管理室、取样区、空调机房、冷冻机房、变配电间等，未采用耐火极限不低于2.5h的不燃烧体隔墙和不低于1.0h的楼板与库房隔开，未设置独立的安全出口。</w:t>
            </w:r>
          </w:p>
        </w:tc>
        <w:tc>
          <w:tcPr>
            <w:tcW w:w="1394" w:type="pct"/>
            <w:tcBorders>
              <w:tl2br w:val="nil"/>
              <w:tr2bl w:val="nil"/>
            </w:tcBorders>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附设在丙类仓库内的办公室、休息室、管理室、取样区、空调机房、冷冻机房、变配电间等，应采用耐火极限不低于2.5h的不燃烧体隔墙和不低于1.0h的楼板与库房隔开，应设置独立的安全出口。</w:t>
            </w:r>
          </w:p>
        </w:tc>
        <w:tc>
          <w:tcPr>
            <w:tcW w:w="1282" w:type="pct"/>
            <w:tcBorders>
              <w:tl2br w:val="nil"/>
              <w:tr2bl w:val="nil"/>
            </w:tcBorders>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《医药工业仓储工程设计规范》（GB 51073-2014）第6.2.3条</w:t>
            </w:r>
          </w:p>
        </w:tc>
        <w:tc>
          <w:tcPr>
            <w:tcW w:w="209" w:type="pct"/>
            <w:tcBorders>
              <w:tl2br w:val="nil"/>
              <w:tr2bl w:val="nil"/>
            </w:tcBorders>
            <w:vAlign w:val="center"/>
          </w:tcPr>
          <w:p>
            <w:pPr>
              <w:widowControl/>
              <w:adjustRightInd w:val="0"/>
              <w:snapToGrid w:val="0"/>
              <w:spacing w:after="0" w:line="240" w:lineRule="auto"/>
              <w:jc w:val="center"/>
              <w:rPr>
                <w:rFonts w:hint="eastAsia" w:ascii="仿宋_GB2312" w:hAnsi="宋体" w:eastAsia="宋体" w:cs="宋体"/>
                <w:kern w:val="0"/>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adjustRightInd w:val="0"/>
              <w:snapToGrid w:val="0"/>
              <w:spacing w:after="0" w:line="240" w:lineRule="auto"/>
              <w:jc w:val="center"/>
              <w:rPr>
                <w:rFonts w:hint="eastAsia" w:ascii="仿宋_GB2312" w:eastAsia="仿宋_GB2312" w:hAnsiTheme="minorEastAsia"/>
                <w:sz w:val="20"/>
                <w:szCs w:val="20"/>
                <w:lang w:eastAsia="zh-CN"/>
              </w:rPr>
            </w:pPr>
            <w:r>
              <w:rPr>
                <w:rFonts w:hint="eastAsia" w:ascii="仿宋_GB2312" w:hAnsiTheme="minorEastAsia"/>
                <w:sz w:val="20"/>
                <w:szCs w:val="20"/>
              </w:rPr>
              <w:t>13.4.01.10</w:t>
            </w:r>
            <w:r>
              <w:rPr>
                <w:rFonts w:hint="eastAsia" w:ascii="仿宋_GB2312" w:hAnsiTheme="minorEastAsia"/>
                <w:sz w:val="20"/>
                <w:szCs w:val="20"/>
                <w:lang w:val="en-US" w:eastAsia="zh-CN"/>
              </w:rPr>
              <w:t>0</w:t>
            </w:r>
          </w:p>
        </w:tc>
        <w:tc>
          <w:tcPr>
            <w:tcW w:w="388" w:type="pct"/>
            <w:tcBorders>
              <w:tl2br w:val="nil"/>
              <w:tr2bl w:val="nil"/>
            </w:tcBorders>
            <w:vAlign w:val="center"/>
          </w:tcPr>
          <w:p>
            <w:pPr>
              <w:pStyle w:val="10"/>
              <w:adjustRightInd w:val="0"/>
              <w:snapToGrid w:val="0"/>
              <w:spacing w:before="0" w:beforeAutospacing="0" w:after="0" w:afterAutospacing="0"/>
              <w:jc w:val="center"/>
              <w:rPr>
                <w:rFonts w:hint="eastAsia" w:ascii="仿宋_GB2312" w:eastAsia="仿宋_GB2312" w:cs="Times New Roman" w:hAnsiTheme="minorEastAsia"/>
                <w:sz w:val="20"/>
                <w:szCs w:val="20"/>
                <w:lang w:eastAsia="zh-TW"/>
              </w:rPr>
            </w:pPr>
            <w:r>
              <w:rPr>
                <w:rFonts w:hint="eastAsia" w:ascii="仿宋_GB2312" w:eastAsia="仿宋_GB2312" w:cs="Times New Roman" w:hAnsiTheme="minorEastAsia"/>
                <w:sz w:val="20"/>
                <w:szCs w:val="20"/>
              </w:rPr>
              <w:t>场所环境类</w:t>
            </w:r>
          </w:p>
        </w:tc>
        <w:tc>
          <w:tcPr>
            <w:tcW w:w="376" w:type="pct"/>
            <w:tcBorders>
              <w:tl2br w:val="nil"/>
              <w:tr2bl w:val="nil"/>
            </w:tcBorders>
            <w:vAlign w:val="center"/>
          </w:tcPr>
          <w:p>
            <w:pPr>
              <w:pStyle w:val="10"/>
              <w:adjustRightInd w:val="0"/>
              <w:snapToGrid w:val="0"/>
              <w:spacing w:before="0" w:beforeAutospacing="0" w:after="0" w:afterAutospacing="0"/>
              <w:jc w:val="center"/>
              <w:rPr>
                <w:rFonts w:hint="eastAsia" w:ascii="仿宋_GB2312" w:eastAsia="仿宋_GB2312" w:cs="Times New Roman" w:hAnsiTheme="minorEastAsia"/>
                <w:sz w:val="20"/>
                <w:szCs w:val="20"/>
                <w:lang w:eastAsia="zh-TW"/>
              </w:rPr>
            </w:pPr>
            <w:r>
              <w:rPr>
                <w:rFonts w:hint="eastAsia" w:ascii="仿宋_GB2312" w:eastAsia="仿宋_GB2312" w:cs="Times New Roman" w:hAnsiTheme="minorEastAsia"/>
                <w:sz w:val="20"/>
                <w:szCs w:val="20"/>
              </w:rPr>
              <w:t>平面布置类</w:t>
            </w:r>
          </w:p>
        </w:tc>
        <w:tc>
          <w:tcPr>
            <w:tcW w:w="1025" w:type="pct"/>
            <w:tcBorders>
              <w:tl2br w:val="nil"/>
              <w:tr2bl w:val="nil"/>
            </w:tcBorders>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危险化学品储存场所设置在地下或半地下建（构）筑物内，紧邻食堂、会议室、活动室等人员密集场所。</w:t>
            </w:r>
          </w:p>
        </w:tc>
        <w:tc>
          <w:tcPr>
            <w:tcW w:w="1394" w:type="pct"/>
            <w:tcBorders>
              <w:tl2br w:val="nil"/>
              <w:tr2bl w:val="nil"/>
            </w:tcBorders>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储存场所不应设置在地下或半地下建（构）筑物内。</w:t>
            </w:r>
          </w:p>
        </w:tc>
        <w:tc>
          <w:tcPr>
            <w:tcW w:w="1282" w:type="pct"/>
            <w:tcBorders>
              <w:tl2br w:val="nil"/>
              <w:tr2bl w:val="nil"/>
            </w:tcBorders>
            <w:vAlign w:val="center"/>
          </w:tcPr>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《建筑设计防火规范（2018年版）》（GB 50016-2014）第3.3.4条；</w:t>
            </w:r>
          </w:p>
          <w:p>
            <w:pPr>
              <w:pStyle w:val="10"/>
              <w:widowControl w:val="0"/>
              <w:adjustRightInd w:val="0"/>
              <w:snapToGrid w:val="0"/>
              <w:spacing w:before="0" w:beforeAutospacing="0" w:after="0" w:afterAutospacing="0"/>
              <w:jc w:val="both"/>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《危险化学品储存场所建设及储存安全要求》（DB11/T 755）第4.1.1条</w:t>
            </w:r>
          </w:p>
        </w:tc>
        <w:tc>
          <w:tcPr>
            <w:tcW w:w="209" w:type="pct"/>
            <w:tcBorders>
              <w:tl2br w:val="nil"/>
              <w:tr2bl w:val="nil"/>
            </w:tcBorders>
            <w:vAlign w:val="center"/>
          </w:tcPr>
          <w:p>
            <w:pPr>
              <w:widowControl/>
              <w:adjustRightInd w:val="0"/>
              <w:snapToGrid w:val="0"/>
              <w:spacing w:after="0" w:line="240" w:lineRule="auto"/>
              <w:jc w:val="center"/>
              <w:rPr>
                <w:rFonts w:hint="eastAsia" w:ascii="仿宋_GB2312" w:hAnsi="宋体" w:eastAsia="宋体" w:cs="宋体"/>
                <w:kern w:val="0"/>
                <w:sz w:val="20"/>
                <w:szCs w:val="20"/>
                <w:lang w:eastAsia="zh-T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adjustRightInd w:val="0"/>
              <w:snapToGrid w:val="0"/>
              <w:spacing w:after="0" w:line="240" w:lineRule="auto"/>
              <w:jc w:val="center"/>
              <w:rPr>
                <w:rFonts w:hint="eastAsia" w:ascii="仿宋_GB2312" w:hAnsiTheme="minorEastAsia"/>
                <w:sz w:val="20"/>
                <w:szCs w:val="20"/>
              </w:rPr>
            </w:pPr>
            <w:r>
              <w:rPr>
                <w:rFonts w:hint="eastAsia" w:ascii="仿宋_GB2312" w:hAnsiTheme="minorEastAsia"/>
                <w:sz w:val="20"/>
                <w:szCs w:val="20"/>
              </w:rPr>
              <w:t>13.4.01.10</w:t>
            </w:r>
            <w:r>
              <w:rPr>
                <w:rFonts w:hint="eastAsia" w:ascii="仿宋_GB2312" w:hAnsiTheme="minorEastAsia"/>
                <w:sz w:val="20"/>
                <w:szCs w:val="20"/>
                <w:lang w:val="en-US" w:eastAsia="zh-CN"/>
              </w:rPr>
              <w:t>1</w:t>
            </w:r>
          </w:p>
        </w:tc>
        <w:tc>
          <w:tcPr>
            <w:tcW w:w="388" w:type="pct"/>
            <w:tcBorders>
              <w:tl2br w:val="nil"/>
              <w:tr2bl w:val="nil"/>
            </w:tcBorders>
            <w:vAlign w:val="center"/>
          </w:tcPr>
          <w:p>
            <w:pPr>
              <w:pStyle w:val="10"/>
              <w:adjustRightInd w:val="0"/>
              <w:snapToGrid w:val="0"/>
              <w:spacing w:before="0" w:beforeAutospacing="0" w:after="0" w:afterAutospacing="0"/>
              <w:jc w:val="center"/>
              <w:rPr>
                <w:rFonts w:hint="eastAsia" w:ascii="仿宋_GB2312" w:eastAsia="仿宋_GB2312" w:cs="Times New Roman" w:hAnsiTheme="minorEastAsia"/>
                <w:sz w:val="20"/>
                <w:szCs w:val="20"/>
              </w:rPr>
            </w:pPr>
            <w:r>
              <w:rPr>
                <w:rFonts w:hint="eastAsia" w:ascii="仿宋_GB2312" w:eastAsia="仿宋_GB2312" w:cs="Times New Roman" w:hAnsiTheme="minorEastAsia"/>
                <w:sz w:val="20"/>
                <w:szCs w:val="20"/>
              </w:rPr>
              <w:t>场所环境类</w:t>
            </w:r>
          </w:p>
        </w:tc>
        <w:tc>
          <w:tcPr>
            <w:tcW w:w="376" w:type="pct"/>
            <w:tcBorders>
              <w:tl2br w:val="nil"/>
              <w:tr2bl w:val="nil"/>
            </w:tcBorders>
            <w:vAlign w:val="center"/>
          </w:tcPr>
          <w:p>
            <w:pPr>
              <w:pStyle w:val="10"/>
              <w:adjustRightInd w:val="0"/>
              <w:snapToGrid w:val="0"/>
              <w:spacing w:before="0" w:beforeAutospacing="0" w:after="0" w:afterAutospacing="0"/>
              <w:jc w:val="center"/>
              <w:rPr>
                <w:rFonts w:hint="eastAsia" w:ascii="仿宋_GB2312" w:eastAsia="仿宋_GB2312" w:cs="Times New Roman" w:hAnsiTheme="minorEastAsia"/>
                <w:sz w:val="20"/>
                <w:szCs w:val="20"/>
              </w:rPr>
            </w:pPr>
            <w:r>
              <w:rPr>
                <w:rFonts w:hint="eastAsia" w:ascii="仿宋_GB2312" w:eastAsia="仿宋_GB2312" w:cs="Times New Roman" w:hAnsiTheme="minorEastAsia"/>
                <w:sz w:val="20"/>
                <w:szCs w:val="20"/>
              </w:rPr>
              <w:t>平面布置类</w:t>
            </w:r>
          </w:p>
        </w:tc>
        <w:tc>
          <w:tcPr>
            <w:tcW w:w="2881" w:type="dxa"/>
            <w:tcBorders>
              <w:tl2br w:val="nil"/>
              <w:tr2bl w:val="nil"/>
            </w:tcBorders>
            <w:vAlign w:val="center"/>
          </w:tcPr>
          <w:p>
            <w:pPr>
              <w:widowControl/>
              <w:adjustRightInd w:val="0"/>
              <w:snapToGrid w:val="0"/>
              <w:spacing w:after="0" w:line="240" w:lineRule="auto"/>
              <w:jc w:val="left"/>
              <w:rPr>
                <w:rFonts w:hint="eastAsia" w:ascii="仿宋_GB2312" w:eastAsia="仿宋_GB2312" w:hAnsiTheme="minorEastAsia"/>
                <w:sz w:val="20"/>
                <w:szCs w:val="20"/>
                <w:lang w:bidi="ar"/>
              </w:rPr>
            </w:pPr>
            <w:r>
              <w:rPr>
                <w:rFonts w:hint="eastAsia" w:ascii="仿宋_GB2312" w:hAnsi="宋体" w:cs="宋体"/>
                <w:kern w:val="0"/>
                <w:sz w:val="20"/>
                <w:szCs w:val="20"/>
              </w:rPr>
              <w:t>输送甲、乙类火灾危险性、急性毒性(类别1、类别2)的物料管线或全厂性的公共管廊穿(跨)越与其无关的生产装置、储罐组。地区架空电力线路穿越生产区且不符合标准规范要求</w:t>
            </w:r>
            <w:r>
              <w:rPr>
                <w:rFonts w:hint="eastAsia" w:ascii="仿宋_GB2312" w:hAnsi="宋体" w:cs="宋体"/>
                <w:kern w:val="0"/>
                <w:sz w:val="20"/>
                <w:szCs w:val="20"/>
                <w:lang w:val="en-US" w:eastAsia="zh-CN"/>
              </w:rPr>
              <w:t>.</w:t>
            </w:r>
          </w:p>
        </w:tc>
        <w:tc>
          <w:tcPr>
            <w:tcW w:w="3919" w:type="dxa"/>
            <w:tcBorders>
              <w:tl2br w:val="nil"/>
              <w:tr2bl w:val="nil"/>
            </w:tcBorders>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hAnsi="宋体" w:cs="宋体"/>
                <w:kern w:val="0"/>
                <w:sz w:val="20"/>
                <w:szCs w:val="20"/>
              </w:rPr>
              <w:t>输送甲、乙类火灾危险性、急性毒性(类别1、类别2)的物料管线或全厂性的公共管廊</w:t>
            </w:r>
            <w:r>
              <w:rPr>
                <w:rFonts w:hint="eastAsia" w:ascii="仿宋_GB2312" w:hAnsi="宋体" w:cs="宋体"/>
                <w:kern w:val="0"/>
                <w:sz w:val="20"/>
                <w:szCs w:val="20"/>
                <w:lang w:val="en-US" w:eastAsia="zh-CN"/>
              </w:rPr>
              <w:t>不应</w:t>
            </w:r>
            <w:r>
              <w:rPr>
                <w:rFonts w:hint="eastAsia" w:ascii="仿宋_GB2312" w:hAnsi="宋体" w:cs="宋体"/>
                <w:kern w:val="0"/>
                <w:sz w:val="20"/>
                <w:szCs w:val="20"/>
              </w:rPr>
              <w:t>穿(跨)越与其无关的生产装置、储罐组。地区架空电力线路</w:t>
            </w:r>
            <w:r>
              <w:rPr>
                <w:rFonts w:hint="eastAsia" w:ascii="仿宋_GB2312" w:hAnsi="宋体" w:cs="宋体"/>
                <w:kern w:val="0"/>
                <w:sz w:val="20"/>
                <w:szCs w:val="20"/>
                <w:lang w:val="en-US" w:eastAsia="zh-CN"/>
              </w:rPr>
              <w:t>严禁</w:t>
            </w:r>
            <w:r>
              <w:rPr>
                <w:rFonts w:hint="eastAsia" w:ascii="仿宋_GB2312" w:hAnsi="宋体" w:cs="宋体"/>
                <w:kern w:val="0"/>
                <w:sz w:val="20"/>
                <w:szCs w:val="20"/>
              </w:rPr>
              <w:t>穿越生产</w:t>
            </w:r>
            <w:r>
              <w:rPr>
                <w:rFonts w:hint="eastAsia" w:ascii="仿宋_GB2312" w:hAnsi="宋体" w:cs="宋体"/>
                <w:kern w:val="0"/>
                <w:sz w:val="20"/>
                <w:szCs w:val="20"/>
                <w:lang w:eastAsia="zh-CN"/>
              </w:rPr>
              <w:t>。</w:t>
            </w:r>
            <w:r>
              <w:rPr>
                <w:rFonts w:hint="eastAsia" w:ascii="仿宋_GB2312" w:hAnsi="宋体" w:cs="宋体"/>
                <w:kern w:val="0"/>
                <w:sz w:val="20"/>
                <w:szCs w:val="20"/>
              </w:rPr>
              <w:t>架空电力线与甲、乙类厂房(仓库)，可燃材料堆垛，甲、乙、丙类液体储罐，液化石油气储罐，可燃、助燃气体储罐的最近水平距离</w:t>
            </w:r>
            <w:r>
              <w:rPr>
                <w:rFonts w:hint="eastAsia" w:ascii="仿宋_GB2312" w:hAnsi="宋体" w:cs="宋体"/>
                <w:kern w:val="0"/>
                <w:sz w:val="20"/>
                <w:szCs w:val="20"/>
                <w:lang w:val="en-US" w:eastAsia="zh-CN"/>
              </w:rPr>
              <w:t>应</w:t>
            </w:r>
            <w:r>
              <w:rPr>
                <w:rFonts w:hint="eastAsia" w:ascii="仿宋_GB2312" w:hAnsi="宋体" w:cs="宋体"/>
                <w:kern w:val="0"/>
                <w:sz w:val="20"/>
                <w:szCs w:val="20"/>
              </w:rPr>
              <w:t>符合标准规范要求</w:t>
            </w:r>
            <w:r>
              <w:rPr>
                <w:rFonts w:hint="eastAsia" w:ascii="仿宋_GB2312" w:hAnsi="宋体" w:cs="宋体"/>
                <w:kern w:val="0"/>
                <w:sz w:val="20"/>
                <w:szCs w:val="20"/>
                <w:lang w:eastAsia="zh-CN"/>
              </w:rPr>
              <w:t>。</w:t>
            </w:r>
          </w:p>
        </w:tc>
        <w:tc>
          <w:tcPr>
            <w:tcW w:w="3605" w:type="dxa"/>
            <w:tcBorders>
              <w:tl2br w:val="nil"/>
              <w:tr2bl w:val="nil"/>
            </w:tcBorders>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hAnsi="等线" w:cs="宋体"/>
                <w:kern w:val="0"/>
                <w:sz w:val="20"/>
                <w:szCs w:val="20"/>
                <w:lang w:eastAsia="zh-CN"/>
              </w:rPr>
              <w:t>《化工和危险化学品生产经营企业重大生产安全事故隐患判定准则》（AQ 3067-2026）</w:t>
            </w:r>
            <w:r>
              <w:rPr>
                <w:rFonts w:hint="eastAsia" w:ascii="仿宋_GB2312" w:hAnsi="等线" w:cs="宋体"/>
                <w:kern w:val="0"/>
                <w:sz w:val="20"/>
                <w:szCs w:val="20"/>
              </w:rPr>
              <w:t>第5.2.</w:t>
            </w:r>
            <w:r>
              <w:rPr>
                <w:rFonts w:hint="eastAsia" w:ascii="仿宋_GB2312" w:hAnsi="等线" w:cs="宋体"/>
                <w:kern w:val="0"/>
                <w:sz w:val="20"/>
                <w:szCs w:val="20"/>
                <w:lang w:val="en-US" w:eastAsia="zh-CN"/>
              </w:rPr>
              <w:t>3</w:t>
            </w:r>
            <w:r>
              <w:rPr>
                <w:rFonts w:hint="eastAsia" w:ascii="仿宋_GB2312" w:hAnsi="等线" w:cs="宋体"/>
                <w:kern w:val="0"/>
                <w:sz w:val="20"/>
                <w:szCs w:val="20"/>
              </w:rPr>
              <w:t>条</w:t>
            </w:r>
            <w:r>
              <w:rPr>
                <w:rFonts w:hint="eastAsia" w:ascii="仿宋_GB2312" w:hAnsi="等线" w:cs="宋体"/>
                <w:kern w:val="0"/>
                <w:sz w:val="20"/>
                <w:szCs w:val="20"/>
                <w:lang w:eastAsia="zh-CN"/>
              </w:rPr>
              <w:t>、</w:t>
            </w:r>
            <w:r>
              <w:rPr>
                <w:rFonts w:hint="eastAsia" w:ascii="仿宋_GB2312" w:hAnsi="等线" w:cs="宋体"/>
                <w:kern w:val="0"/>
                <w:sz w:val="20"/>
                <w:szCs w:val="20"/>
              </w:rPr>
              <w:t>第5.2.</w:t>
            </w:r>
            <w:r>
              <w:rPr>
                <w:rFonts w:hint="eastAsia" w:ascii="仿宋_GB2312" w:hAnsi="等线" w:cs="宋体"/>
                <w:kern w:val="0"/>
                <w:sz w:val="20"/>
                <w:szCs w:val="20"/>
                <w:lang w:val="en-US" w:eastAsia="zh-CN"/>
              </w:rPr>
              <w:t>5</w:t>
            </w:r>
            <w:r>
              <w:rPr>
                <w:rFonts w:hint="eastAsia" w:ascii="仿宋_GB2312" w:hAnsi="等线" w:cs="宋体"/>
                <w:kern w:val="0"/>
                <w:sz w:val="20"/>
                <w:szCs w:val="20"/>
              </w:rPr>
              <w:t>条</w:t>
            </w:r>
          </w:p>
        </w:tc>
        <w:tc>
          <w:tcPr>
            <w:tcW w:w="587" w:type="dxa"/>
            <w:tcBorders>
              <w:tl2br w:val="nil"/>
              <w:tr2bl w:val="nil"/>
            </w:tcBorders>
            <w:vAlign w:val="center"/>
          </w:tcPr>
          <w:p>
            <w:pPr>
              <w:widowControl/>
              <w:adjustRightInd w:val="0"/>
              <w:snapToGrid w:val="0"/>
              <w:spacing w:after="0" w:line="240" w:lineRule="auto"/>
              <w:jc w:val="center"/>
              <w:rPr>
                <w:rFonts w:hint="eastAsia" w:ascii="仿宋_GB2312" w:hAnsi="宋体" w:eastAsia="宋体" w:cs="宋体"/>
                <w:kern w:val="0"/>
                <w:sz w:val="20"/>
                <w:szCs w:val="20"/>
                <w:lang w:eastAsia="zh-TW"/>
              </w:rPr>
            </w:pPr>
            <w:r>
              <w:rPr>
                <w:rFonts w:hint="eastAsia" w:ascii="仿宋_GB2312"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adjustRightInd w:val="0"/>
              <w:snapToGrid w:val="0"/>
              <w:spacing w:after="0" w:line="240" w:lineRule="auto"/>
              <w:jc w:val="center"/>
              <w:rPr>
                <w:rFonts w:hint="eastAsia" w:ascii="仿宋_GB2312" w:eastAsia="仿宋_GB2312" w:cs="宋体" w:hAnsiTheme="minorEastAsia"/>
                <w:kern w:val="0"/>
                <w:sz w:val="20"/>
                <w:szCs w:val="20"/>
                <w:lang w:eastAsia="zh-CN" w:bidi="ar"/>
              </w:rPr>
            </w:pPr>
            <w:r>
              <w:rPr>
                <w:rFonts w:hint="eastAsia" w:ascii="仿宋_GB2312" w:hAnsiTheme="minorEastAsia"/>
                <w:sz w:val="20"/>
                <w:szCs w:val="20"/>
              </w:rPr>
              <w:t>13.4.01.10</w:t>
            </w:r>
            <w:r>
              <w:rPr>
                <w:rFonts w:hint="eastAsia" w:ascii="仿宋_GB2312" w:hAnsiTheme="minorEastAsia"/>
                <w:sz w:val="20"/>
                <w:szCs w:val="20"/>
                <w:lang w:val="en-US" w:eastAsia="zh-CN"/>
              </w:rPr>
              <w:t>2</w:t>
            </w:r>
          </w:p>
        </w:tc>
        <w:tc>
          <w:tcPr>
            <w:tcW w:w="388" w:type="pct"/>
            <w:tcBorders>
              <w:tl2br w:val="nil"/>
              <w:tr2bl w:val="nil"/>
            </w:tcBorders>
            <w:vAlign w:val="center"/>
          </w:tcPr>
          <w:p>
            <w:pPr>
              <w:pStyle w:val="1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bidi="ar"/>
              </w:rPr>
              <w:t>场所环境类</w:t>
            </w:r>
          </w:p>
        </w:tc>
        <w:tc>
          <w:tcPr>
            <w:tcW w:w="376" w:type="pct"/>
            <w:tcBorders>
              <w:tl2br w:val="nil"/>
              <w:tr2bl w:val="nil"/>
            </w:tcBorders>
            <w:vAlign w:val="center"/>
          </w:tcPr>
          <w:p>
            <w:pPr>
              <w:pStyle w:val="10"/>
              <w:adjustRightInd w:val="0"/>
              <w:snapToGrid w:val="0"/>
              <w:spacing w:before="0" w:beforeAutospacing="0" w:after="0" w:afterAutospacing="0"/>
              <w:jc w:val="center"/>
              <w:rPr>
                <w:rFonts w:hint="eastAsia" w:ascii="仿宋_GB2312" w:eastAsia="仿宋_GB2312" w:hAnsiTheme="minorEastAsia"/>
                <w:sz w:val="20"/>
                <w:szCs w:val="20"/>
                <w:lang w:eastAsia="zh-TW" w:bidi="ar"/>
              </w:rPr>
            </w:pPr>
            <w:r>
              <w:rPr>
                <w:rFonts w:hint="eastAsia" w:ascii="仿宋_GB2312" w:eastAsia="仿宋_GB2312" w:hAnsiTheme="minorEastAsia"/>
                <w:sz w:val="20"/>
                <w:szCs w:val="20"/>
                <w:lang w:bidi="ar"/>
              </w:rPr>
              <w:t>平面布置类</w:t>
            </w:r>
          </w:p>
        </w:tc>
        <w:tc>
          <w:tcPr>
            <w:tcW w:w="1025" w:type="pct"/>
            <w:tcBorders>
              <w:tl2br w:val="nil"/>
              <w:tr2bl w:val="nil"/>
            </w:tcBorders>
            <w:vAlign w:val="center"/>
          </w:tcPr>
          <w:p>
            <w:pPr>
              <w:pStyle w:val="10"/>
              <w:adjustRightInd w:val="0"/>
              <w:snapToGrid w:val="0"/>
              <w:spacing w:before="0" w:beforeAutospacing="0" w:after="0" w:afterAutospacing="0"/>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涉及爆炸危险性化学品的生产装置控制室、交接班室布置在装置区（厂房）内；涉及甲、乙类火灾危险性的生产装置（厂房）控制室、交接班室未按要求布置，或布置在装置区内时未按照GB/T 50779的要求进行抗爆设计、建设。涉及甲、乙类火灾危险性、爆炸危险性、急性毒性（类别1、类别2）化学品或爆炸性粉尘的厂房（含装置或车间）或仓库内设置办公室、休息室、外操室（含人员固定操作岗位）、巡检室等人员聚集场所。</w:t>
            </w:r>
          </w:p>
        </w:tc>
        <w:tc>
          <w:tcPr>
            <w:tcW w:w="1394" w:type="pct"/>
            <w:tcBorders>
              <w:tl2br w:val="nil"/>
              <w:tr2bl w:val="nil"/>
            </w:tcBorders>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涉及爆炸危险性化学品的生产装置控制室、交接班室不得置在装置区（厂房）内；涉及甲、乙类火灾危险性的生产装置（厂房）控制室、交接班室应按要求布置，或布置在装置区内时按照GB/T 50779的要求进行抗爆设计、建设。涉及甲、乙类火灾危险性、爆炸危险性、急性毒性（类别1、类别2）化学品或爆炸性粉尘的厂房（含装置或车间）或仓库内不得设置办公室、休息室、外操室（含人员固定操作岗位）、巡检室等人员聚集场所。</w:t>
            </w:r>
          </w:p>
        </w:tc>
        <w:tc>
          <w:tcPr>
            <w:tcW w:w="1282" w:type="pct"/>
            <w:tcBorders>
              <w:tl2br w:val="nil"/>
              <w:tr2bl w:val="nil"/>
            </w:tcBorders>
            <w:vAlign w:val="center"/>
          </w:tcPr>
          <w:p>
            <w:pPr>
              <w:widowControl/>
              <w:adjustRightInd w:val="0"/>
              <w:snapToGrid w:val="0"/>
              <w:spacing w:after="0" w:line="240" w:lineRule="auto"/>
              <w:jc w:val="left"/>
              <w:rPr>
                <w:rFonts w:hint="eastAsia" w:ascii="仿宋_GB2312" w:cs="宋体" w:hAnsiTheme="minorEastAsia"/>
                <w:kern w:val="0"/>
                <w:sz w:val="20"/>
                <w:szCs w:val="20"/>
                <w:lang w:bidi="ar"/>
              </w:rPr>
            </w:pPr>
            <w:r>
              <w:rPr>
                <w:rFonts w:hint="eastAsia" w:ascii="仿宋_GB2312" w:cs="宋体" w:hAnsiTheme="minorEastAsia"/>
                <w:kern w:val="0"/>
                <w:sz w:val="20"/>
                <w:szCs w:val="20"/>
                <w:lang w:eastAsia="zh-CN" w:bidi="ar"/>
              </w:rPr>
              <w:t>《化工和危险化学品生产经营企业重大生产安全事故隐患判定准则》（AQ 3067-2026）</w:t>
            </w:r>
            <w:r>
              <w:rPr>
                <w:rFonts w:hint="eastAsia" w:ascii="仿宋_GB2312" w:cs="宋体" w:hAnsiTheme="minorEastAsia"/>
                <w:sz w:val="20"/>
                <w:szCs w:val="20"/>
                <w:lang w:bidi="ar"/>
              </w:rPr>
              <w:t>第</w:t>
            </w:r>
            <w:r>
              <w:rPr>
                <w:rFonts w:hint="eastAsia" w:ascii="仿宋_GB2312" w:cs="宋体" w:hAnsiTheme="minorEastAsia"/>
                <w:kern w:val="0"/>
                <w:sz w:val="20"/>
                <w:szCs w:val="20"/>
                <w:lang w:bidi="ar"/>
              </w:rPr>
              <w:t>5.2.6</w:t>
            </w:r>
            <w:r>
              <w:rPr>
                <w:rFonts w:hint="eastAsia" w:ascii="仿宋_GB2312" w:cs="宋体" w:hAnsiTheme="minorEastAsia"/>
                <w:sz w:val="20"/>
                <w:szCs w:val="20"/>
                <w:lang w:bidi="ar"/>
              </w:rPr>
              <w:t>条</w:t>
            </w:r>
            <w:r>
              <w:rPr>
                <w:rFonts w:hint="eastAsia" w:ascii="仿宋_GB2312" w:cs="宋体" w:hAnsiTheme="minorEastAsia"/>
                <w:sz w:val="20"/>
                <w:szCs w:val="20"/>
                <w:lang w:eastAsia="zh-CN" w:bidi="ar"/>
              </w:rPr>
              <w:t>、</w:t>
            </w:r>
            <w:r>
              <w:rPr>
                <w:rFonts w:hint="eastAsia" w:ascii="仿宋_GB2312" w:cs="宋体" w:hAnsiTheme="minorEastAsia"/>
                <w:sz w:val="20"/>
                <w:szCs w:val="20"/>
                <w:lang w:bidi="ar"/>
              </w:rPr>
              <w:t>第</w:t>
            </w:r>
            <w:r>
              <w:rPr>
                <w:rFonts w:hint="eastAsia" w:ascii="仿宋_GB2312" w:cs="宋体" w:hAnsiTheme="minorEastAsia"/>
                <w:kern w:val="0"/>
                <w:sz w:val="20"/>
                <w:szCs w:val="20"/>
                <w:lang w:bidi="ar"/>
              </w:rPr>
              <w:t>5.2.7</w:t>
            </w:r>
            <w:r>
              <w:rPr>
                <w:rFonts w:hint="eastAsia" w:ascii="仿宋_GB2312" w:cs="宋体" w:hAnsiTheme="minorEastAsia"/>
                <w:sz w:val="20"/>
                <w:szCs w:val="20"/>
                <w:lang w:bidi="ar"/>
              </w:rPr>
              <w:t>条</w:t>
            </w:r>
          </w:p>
        </w:tc>
        <w:tc>
          <w:tcPr>
            <w:tcW w:w="209" w:type="pct"/>
            <w:tcBorders>
              <w:tl2br w:val="nil"/>
              <w:tr2bl w:val="nil"/>
            </w:tcBorders>
            <w:vAlign w:val="center"/>
          </w:tcPr>
          <w:p>
            <w:pPr>
              <w:widowControl/>
              <w:adjustRightInd w:val="0"/>
              <w:snapToGrid w:val="0"/>
              <w:spacing w:after="0" w:line="240" w:lineRule="auto"/>
              <w:jc w:val="center"/>
              <w:rPr>
                <w:rFonts w:hint="eastAsia" w:ascii="仿宋_GB2312" w:hAnsi="宋体" w:eastAsia="宋体" w:cs="宋体"/>
                <w:kern w:val="0"/>
                <w:sz w:val="20"/>
                <w:szCs w:val="20"/>
                <w:lang w:eastAsia="zh-TW"/>
              </w:rPr>
            </w:pPr>
            <w:r>
              <w:rPr>
                <w:rFonts w:hint="eastAsia" w:ascii="仿宋_GB2312"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adjustRightInd w:val="0"/>
              <w:snapToGrid w:val="0"/>
              <w:spacing w:after="0" w:line="240" w:lineRule="auto"/>
              <w:jc w:val="center"/>
              <w:rPr>
                <w:rFonts w:hint="eastAsia" w:ascii="仿宋_GB2312" w:eastAsia="仿宋_GB2312" w:hAnsiTheme="minorEastAsia"/>
                <w:sz w:val="20"/>
                <w:szCs w:val="20"/>
                <w:lang w:eastAsia="zh-CN"/>
              </w:rPr>
            </w:pPr>
            <w:r>
              <w:rPr>
                <w:rFonts w:hint="eastAsia" w:ascii="仿宋_GB2312" w:hAnsiTheme="minorEastAsia"/>
                <w:sz w:val="20"/>
                <w:szCs w:val="20"/>
              </w:rPr>
              <w:t>13.4.01.10</w:t>
            </w:r>
            <w:r>
              <w:rPr>
                <w:rFonts w:hint="eastAsia" w:ascii="仿宋_GB2312" w:hAnsiTheme="minorEastAsia"/>
                <w:sz w:val="20"/>
                <w:szCs w:val="20"/>
                <w:lang w:val="en-US" w:eastAsia="zh-CN"/>
              </w:rPr>
              <w:t>3</w:t>
            </w:r>
          </w:p>
        </w:tc>
        <w:tc>
          <w:tcPr>
            <w:tcW w:w="388" w:type="pct"/>
            <w:tcBorders>
              <w:tl2br w:val="nil"/>
              <w:tr2bl w:val="nil"/>
            </w:tcBorders>
            <w:vAlign w:val="center"/>
          </w:tcPr>
          <w:p>
            <w:pPr>
              <w:pStyle w:val="10"/>
              <w:adjustRightInd w:val="0"/>
              <w:snapToGrid w:val="0"/>
              <w:spacing w:before="0" w:beforeAutospacing="0" w:after="0" w:afterAutospacing="0"/>
              <w:jc w:val="center"/>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场所环境类</w:t>
            </w:r>
          </w:p>
        </w:tc>
        <w:tc>
          <w:tcPr>
            <w:tcW w:w="376" w:type="pct"/>
            <w:tcBorders>
              <w:tl2br w:val="nil"/>
              <w:tr2bl w:val="nil"/>
            </w:tcBorders>
            <w:vAlign w:val="center"/>
          </w:tcPr>
          <w:p>
            <w:pPr>
              <w:pStyle w:val="10"/>
              <w:adjustRightInd w:val="0"/>
              <w:snapToGrid w:val="0"/>
              <w:spacing w:before="0" w:beforeAutospacing="0" w:after="0" w:afterAutospacing="0"/>
              <w:jc w:val="center"/>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平面布置类</w:t>
            </w:r>
          </w:p>
        </w:tc>
        <w:tc>
          <w:tcPr>
            <w:tcW w:w="1025" w:type="pct"/>
            <w:tcBorders>
              <w:tl2br w:val="nil"/>
              <w:tr2bl w:val="nil"/>
            </w:tcBorders>
            <w:vAlign w:val="center"/>
          </w:tcPr>
          <w:p>
            <w:pPr>
              <w:widowControl/>
              <w:adjustRightInd w:val="0"/>
              <w:snapToGrid w:val="0"/>
              <w:spacing w:after="0" w:line="240" w:lineRule="auto"/>
              <w:jc w:val="left"/>
              <w:textAlignment w:val="auto"/>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cs="宋体" w:hAnsiTheme="minorEastAsia"/>
                <w:kern w:val="0"/>
                <w:sz w:val="20"/>
                <w:szCs w:val="20"/>
                <w:lang w:bidi="ar"/>
              </w:rPr>
              <w:t>安全出口或安全疏散门设置不合理。</w:t>
            </w:r>
          </w:p>
        </w:tc>
        <w:tc>
          <w:tcPr>
            <w:tcW w:w="1394" w:type="pct"/>
            <w:tcBorders>
              <w:tl2br w:val="nil"/>
              <w:tr2bl w:val="nil"/>
            </w:tcBorders>
            <w:vAlign w:val="center"/>
          </w:tcPr>
          <w:p>
            <w:pPr>
              <w:pStyle w:val="10"/>
              <w:adjustRightInd w:val="0"/>
              <w:snapToGrid w:val="0"/>
              <w:spacing w:before="0" w:beforeAutospacing="0" w:after="0" w:afterAutospacing="0"/>
              <w:rPr>
                <w:rFonts w:hint="eastAsia" w:ascii="仿宋_GB2312" w:hAnsi="仿宋_GB2312" w:eastAsia="仿宋_GB2312" w:cs="仿宋_GB2312"/>
                <w:color w:val="000000" w:themeColor="text1"/>
                <w:sz w:val="20"/>
                <w:szCs w:val="20"/>
                <w:lang w:bidi="ar"/>
                <w14:textFill>
                  <w14:solidFill>
                    <w14:schemeClr w14:val="tx1"/>
                  </w14:solidFill>
                </w14:textFill>
              </w:rPr>
            </w:pPr>
            <w:r>
              <w:rPr>
                <w:rFonts w:hint="eastAsia" w:ascii="仿宋_GB2312" w:eastAsia="仿宋_GB2312" w:hAnsiTheme="minorEastAsia"/>
                <w:sz w:val="20"/>
                <w:szCs w:val="20"/>
                <w:lang w:bidi="ar"/>
              </w:rPr>
              <w:t>安全出口或安全疏散门应分散布置，并应设明显的疏散标志。从生产地点至安全出口不应经过曲折的人员净化路线。甲类、乙类生产区的安全疏散门应采用平开门，并应向疏散方向开启。</w:t>
            </w:r>
          </w:p>
        </w:tc>
        <w:tc>
          <w:tcPr>
            <w:tcW w:w="1282" w:type="pct"/>
            <w:tcBorders>
              <w:tl2br w:val="nil"/>
              <w:tr2bl w:val="nil"/>
            </w:tcBorders>
            <w:vAlign w:val="center"/>
          </w:tcPr>
          <w:p>
            <w:pPr>
              <w:widowControl/>
              <w:adjustRightInd w:val="0"/>
              <w:snapToGrid w:val="0"/>
              <w:spacing w:after="0" w:line="240" w:lineRule="auto"/>
              <w:jc w:val="left"/>
              <w:textAlignment w:val="auto"/>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《医药工业洁净厂房设计标准》（GB</w:t>
            </w:r>
            <w:r>
              <w:rPr>
                <w:rFonts w:hint="default" w:ascii="仿宋_GB2312" w:cs="宋体" w:hAnsiTheme="minorEastAsia"/>
                <w:kern w:val="0"/>
                <w:sz w:val="20"/>
                <w:szCs w:val="20"/>
                <w:lang w:val="en" w:bidi="ar"/>
              </w:rPr>
              <w:t xml:space="preserve"> </w:t>
            </w:r>
            <w:r>
              <w:rPr>
                <w:rFonts w:hint="eastAsia" w:ascii="仿宋_GB2312" w:cs="宋体" w:hAnsiTheme="minorEastAsia"/>
                <w:kern w:val="0"/>
                <w:sz w:val="20"/>
                <w:szCs w:val="20"/>
                <w:lang w:bidi="ar"/>
              </w:rPr>
              <w:t>50457-2019）第8.2.7条</w:t>
            </w:r>
          </w:p>
        </w:tc>
        <w:tc>
          <w:tcPr>
            <w:tcW w:w="209" w:type="pct"/>
            <w:tcBorders>
              <w:tl2br w:val="nil"/>
              <w:tr2bl w:val="nil"/>
            </w:tcBorders>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eastAsia="仿宋_GB2312" w:hAnsiTheme="minorEastAsia"/>
                <w:sz w:val="20"/>
                <w:szCs w:val="20"/>
                <w:lang w:eastAsia="zh-CN"/>
              </w:rPr>
            </w:pPr>
            <w:r>
              <w:rPr>
                <w:rFonts w:hint="eastAsia" w:ascii="仿宋_GB2312" w:hAnsiTheme="minorEastAsia"/>
                <w:sz w:val="20"/>
                <w:szCs w:val="20"/>
              </w:rPr>
              <w:t>13.4.02.10</w:t>
            </w:r>
            <w:r>
              <w:rPr>
                <w:rFonts w:hint="eastAsia" w:ascii="仿宋_GB2312" w:hAnsiTheme="minorEastAsia"/>
                <w:sz w:val="20"/>
                <w:szCs w:val="20"/>
                <w:lang w:val="en-US" w:eastAsia="zh-CN"/>
              </w:rPr>
              <w:t>4</w:t>
            </w:r>
          </w:p>
        </w:tc>
        <w:tc>
          <w:tcPr>
            <w:tcW w:w="388" w:type="pct"/>
            <w:tcBorders>
              <w:tl2br w:val="nil"/>
              <w:tr2bl w:val="nil"/>
            </w:tcBorders>
            <w:vAlign w:val="center"/>
          </w:tcPr>
          <w:p>
            <w:pPr>
              <w:pStyle w:val="10"/>
              <w:adjustRightInd w:val="0"/>
              <w:snapToGrid w:val="0"/>
              <w:spacing w:before="0" w:beforeAutospacing="0" w:after="0" w:afterAutospacing="0"/>
              <w:jc w:val="center"/>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场所环境类</w:t>
            </w:r>
          </w:p>
        </w:tc>
        <w:tc>
          <w:tcPr>
            <w:tcW w:w="376" w:type="pct"/>
            <w:tcBorders>
              <w:tl2br w:val="nil"/>
              <w:tr2bl w:val="nil"/>
            </w:tcBorders>
            <w:vAlign w:val="center"/>
          </w:tcPr>
          <w:p>
            <w:pPr>
              <w:pStyle w:val="10"/>
              <w:adjustRightInd w:val="0"/>
              <w:snapToGrid w:val="0"/>
              <w:spacing w:before="0" w:beforeAutospacing="0" w:after="0" w:afterAutospacing="0"/>
              <w:jc w:val="center"/>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建（构）筑物类</w:t>
            </w:r>
          </w:p>
        </w:tc>
        <w:tc>
          <w:tcPr>
            <w:tcW w:w="1025" w:type="pct"/>
            <w:tcBorders>
              <w:tl2br w:val="nil"/>
              <w:tr2bl w:val="nil"/>
            </w:tcBorders>
            <w:vAlign w:val="center"/>
          </w:tcPr>
          <w:p>
            <w:pPr>
              <w:widowControl/>
              <w:adjustRightInd w:val="0"/>
              <w:snapToGrid w:val="0"/>
              <w:spacing w:after="0" w:line="240" w:lineRule="auto"/>
              <w:jc w:val="left"/>
              <w:textAlignment w:val="auto"/>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生产厂房、仓库等建(构)筑物的耐火等级、防火分区、防爆和抗震设防等设计不符合 GB50016、GB50223的规定。</w:t>
            </w:r>
          </w:p>
        </w:tc>
        <w:tc>
          <w:tcPr>
            <w:tcW w:w="1394" w:type="pct"/>
            <w:tcBorders>
              <w:tl2br w:val="nil"/>
              <w:tr2bl w:val="nil"/>
            </w:tcBorders>
            <w:vAlign w:val="center"/>
          </w:tcPr>
          <w:p>
            <w:pPr>
              <w:widowControl/>
              <w:adjustRightInd w:val="0"/>
              <w:snapToGrid w:val="0"/>
              <w:spacing w:after="0" w:line="240" w:lineRule="auto"/>
              <w:jc w:val="left"/>
              <w:textAlignment w:val="auto"/>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生产厂房、仓库等建(构)筑物的耐火等级、防火分区、防爆和抗震设防等设计应符合 GB50016、GB50223的规定。</w:t>
            </w:r>
          </w:p>
        </w:tc>
        <w:tc>
          <w:tcPr>
            <w:tcW w:w="1282" w:type="pct"/>
            <w:tcBorders>
              <w:tl2br w:val="nil"/>
              <w:tr2bl w:val="nil"/>
            </w:tcBorders>
            <w:vAlign w:val="center"/>
          </w:tcPr>
          <w:p>
            <w:pPr>
              <w:widowControl/>
              <w:adjustRightInd w:val="0"/>
              <w:snapToGrid w:val="0"/>
              <w:spacing w:after="0" w:line="240" w:lineRule="auto"/>
              <w:jc w:val="left"/>
              <w:textAlignment w:val="auto"/>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cs="宋体" w:hAnsiTheme="minorEastAsia"/>
                <w:kern w:val="0"/>
                <w:sz w:val="20"/>
                <w:szCs w:val="20"/>
                <w:lang w:bidi="ar"/>
              </w:rPr>
              <w:t>《生产过程安全基本要求》（GB</w:t>
            </w:r>
            <w:r>
              <w:rPr>
                <w:rFonts w:hint="eastAsia" w:ascii="仿宋_GB2312" w:cs="宋体" w:hAnsiTheme="minorEastAsia"/>
                <w:kern w:val="0"/>
                <w:sz w:val="20"/>
                <w:szCs w:val="20"/>
                <w:lang w:val="en-US" w:eastAsia="zh-CN" w:bidi="ar"/>
              </w:rPr>
              <w:t xml:space="preserve"> </w:t>
            </w:r>
            <w:r>
              <w:rPr>
                <w:rFonts w:hint="eastAsia" w:ascii="仿宋_GB2312" w:cs="宋体" w:hAnsiTheme="minorEastAsia"/>
                <w:kern w:val="0"/>
                <w:sz w:val="20"/>
                <w:szCs w:val="20"/>
                <w:lang w:bidi="ar"/>
              </w:rPr>
              <w:t>12801-2025）</w:t>
            </w:r>
            <w:r>
              <w:rPr>
                <w:rFonts w:hint="eastAsia" w:ascii="仿宋_GB2312" w:cs="宋体" w:hAnsiTheme="minorEastAsia"/>
                <w:sz w:val="20"/>
                <w:szCs w:val="20"/>
                <w:lang w:bidi="ar"/>
              </w:rPr>
              <w:t>第</w:t>
            </w:r>
            <w:r>
              <w:rPr>
                <w:rFonts w:hint="eastAsia" w:ascii="仿宋_GB2312" w:hAnsi="仿宋_GB2312" w:cs="仿宋_GB2312"/>
                <w:color w:val="000000" w:themeColor="text1"/>
                <w:kern w:val="0"/>
                <w:sz w:val="20"/>
                <w:szCs w:val="20"/>
                <w:lang w:bidi="ar"/>
                <w14:textFill>
                  <w14:solidFill>
                    <w14:schemeClr w14:val="tx1"/>
                  </w14:solidFill>
                </w14:textFill>
              </w:rPr>
              <w:t>4.3.1条</w:t>
            </w:r>
          </w:p>
        </w:tc>
        <w:tc>
          <w:tcPr>
            <w:tcW w:w="209" w:type="pct"/>
            <w:tcBorders>
              <w:tl2br w:val="nil"/>
              <w:tr2bl w:val="nil"/>
            </w:tcBorders>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adjustRightInd w:val="0"/>
              <w:snapToGrid w:val="0"/>
              <w:spacing w:after="0" w:line="240" w:lineRule="auto"/>
              <w:jc w:val="center"/>
              <w:rPr>
                <w:rFonts w:hint="eastAsia" w:ascii="仿宋_GB2312" w:eastAsia="仿宋_GB2312" w:hAnsiTheme="minorEastAsia"/>
                <w:sz w:val="20"/>
                <w:szCs w:val="20"/>
                <w:lang w:eastAsia="zh-CN"/>
              </w:rPr>
            </w:pPr>
            <w:r>
              <w:rPr>
                <w:rFonts w:hint="eastAsia" w:ascii="仿宋_GB2312" w:hAnsiTheme="minorEastAsia"/>
                <w:sz w:val="20"/>
                <w:szCs w:val="20"/>
              </w:rPr>
              <w:t>13.4.02.10</w:t>
            </w:r>
            <w:r>
              <w:rPr>
                <w:rFonts w:hint="eastAsia" w:ascii="仿宋_GB2312" w:hAnsiTheme="minorEastAsia"/>
                <w:sz w:val="20"/>
                <w:szCs w:val="20"/>
                <w:lang w:val="en-US" w:eastAsia="zh-CN"/>
              </w:rPr>
              <w:t>5</w:t>
            </w:r>
          </w:p>
        </w:tc>
        <w:tc>
          <w:tcPr>
            <w:tcW w:w="388" w:type="pct"/>
            <w:tcBorders>
              <w:tl2br w:val="nil"/>
              <w:tr2bl w:val="nil"/>
            </w:tcBorders>
            <w:vAlign w:val="center"/>
          </w:tcPr>
          <w:p>
            <w:pPr>
              <w:pStyle w:val="10"/>
              <w:adjustRightInd w:val="0"/>
              <w:snapToGrid w:val="0"/>
              <w:spacing w:before="0" w:beforeAutospacing="0" w:after="0" w:afterAutospacing="0"/>
              <w:jc w:val="center"/>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场所环境类</w:t>
            </w:r>
          </w:p>
        </w:tc>
        <w:tc>
          <w:tcPr>
            <w:tcW w:w="376" w:type="pct"/>
            <w:tcBorders>
              <w:tl2br w:val="nil"/>
              <w:tr2bl w:val="nil"/>
            </w:tcBorders>
            <w:vAlign w:val="center"/>
          </w:tcPr>
          <w:p>
            <w:pPr>
              <w:pStyle w:val="10"/>
              <w:adjustRightInd w:val="0"/>
              <w:snapToGrid w:val="0"/>
              <w:spacing w:before="0" w:beforeAutospacing="0" w:after="0" w:afterAutospacing="0"/>
              <w:jc w:val="center"/>
              <w:rPr>
                <w:rFonts w:hint="eastAsia" w:ascii="仿宋_GB2312" w:eastAsia="仿宋_GB2312" w:hAnsiTheme="minorEastAsia"/>
                <w:sz w:val="20"/>
                <w:szCs w:val="20"/>
                <w:lang w:bidi="ar"/>
              </w:rPr>
            </w:pPr>
            <w:r>
              <w:rPr>
                <w:rFonts w:hint="eastAsia" w:ascii="仿宋_GB2312" w:eastAsia="仿宋_GB2312" w:hAnsiTheme="minorEastAsia"/>
                <w:sz w:val="20"/>
                <w:szCs w:val="20"/>
                <w:lang w:bidi="ar"/>
              </w:rPr>
              <w:t>建（构）筑物类</w:t>
            </w:r>
          </w:p>
        </w:tc>
        <w:tc>
          <w:tcPr>
            <w:tcW w:w="1025" w:type="pct"/>
            <w:tcBorders>
              <w:tl2br w:val="nil"/>
              <w:tr2bl w:val="nil"/>
            </w:tcBorders>
            <w:vAlign w:val="center"/>
          </w:tcPr>
          <w:p>
            <w:pPr>
              <w:widowControl/>
              <w:adjustRightInd w:val="0"/>
              <w:snapToGrid w:val="0"/>
              <w:spacing w:after="0" w:line="240" w:lineRule="auto"/>
              <w:jc w:val="left"/>
              <w:textAlignment w:val="auto"/>
              <w:rPr>
                <w:rFonts w:hint="eastAsia" w:ascii="仿宋_GB2312" w:hAnsi="仿宋_GB2312" w:cs="仿宋_GB2312"/>
                <w:bCs/>
                <w:kern w:val="0"/>
                <w:sz w:val="20"/>
                <w:szCs w:val="20"/>
              </w:rPr>
            </w:pPr>
            <w:r>
              <w:rPr>
                <w:rFonts w:hint="eastAsia" w:ascii="仿宋_GB2312" w:hAnsi="仿宋_GB2312" w:cs="仿宋_GB2312"/>
                <w:bCs/>
                <w:kern w:val="0"/>
                <w:sz w:val="20"/>
                <w:szCs w:val="20"/>
              </w:rPr>
              <w:t>医药企业生产仓库的耐火等级不足。</w:t>
            </w:r>
          </w:p>
        </w:tc>
        <w:tc>
          <w:tcPr>
            <w:tcW w:w="1394" w:type="pct"/>
            <w:tcBorders>
              <w:tl2br w:val="nil"/>
              <w:tr2bl w:val="nil"/>
            </w:tcBorders>
            <w:vAlign w:val="center"/>
          </w:tcPr>
          <w:p>
            <w:pPr>
              <w:widowControl/>
              <w:adjustRightInd w:val="0"/>
              <w:snapToGrid w:val="0"/>
              <w:spacing w:after="0" w:line="240" w:lineRule="auto"/>
              <w:jc w:val="left"/>
              <w:textAlignment w:val="auto"/>
              <w:rPr>
                <w:rFonts w:hint="eastAsia" w:ascii="仿宋_GB2312" w:hAnsi="仿宋_GB2312" w:cs="仿宋_GB2312"/>
                <w:bCs/>
                <w:kern w:val="0"/>
                <w:sz w:val="20"/>
                <w:szCs w:val="20"/>
              </w:rPr>
            </w:pPr>
            <w:r>
              <w:rPr>
                <w:rFonts w:hint="eastAsia" w:ascii="仿宋_GB2312" w:hAnsi="仿宋_GB2312" w:cs="仿宋_GB2312"/>
                <w:bCs/>
                <w:kern w:val="0"/>
                <w:sz w:val="20"/>
                <w:szCs w:val="20"/>
              </w:rPr>
              <w:t>生产仓库的耐火等级不应低于二级，其他类别的仓库耐火等级不应低于三级。</w:t>
            </w:r>
          </w:p>
        </w:tc>
        <w:tc>
          <w:tcPr>
            <w:tcW w:w="1282" w:type="pct"/>
            <w:tcBorders>
              <w:tl2br w:val="nil"/>
              <w:tr2bl w:val="nil"/>
            </w:tcBorders>
            <w:vAlign w:val="center"/>
          </w:tcPr>
          <w:p>
            <w:pPr>
              <w:widowControl/>
              <w:adjustRightInd w:val="0"/>
              <w:snapToGrid w:val="0"/>
              <w:spacing w:after="0" w:line="240" w:lineRule="auto"/>
              <w:jc w:val="left"/>
              <w:textAlignment w:val="auto"/>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《医药工业仓储工程设计规范》（GB 51073</w:t>
            </w:r>
            <w:r>
              <w:rPr>
                <w:rFonts w:hint="default" w:ascii="仿宋_GB2312" w:cs="宋体" w:hAnsiTheme="minorEastAsia"/>
                <w:kern w:val="0"/>
                <w:sz w:val="20"/>
                <w:szCs w:val="20"/>
                <w:lang w:val="en" w:bidi="ar"/>
              </w:rPr>
              <w:t>-</w:t>
            </w:r>
            <w:r>
              <w:rPr>
                <w:rFonts w:hint="eastAsia" w:ascii="仿宋_GB2312" w:cs="宋体" w:hAnsiTheme="minorEastAsia"/>
                <w:kern w:val="0"/>
                <w:sz w:val="20"/>
                <w:szCs w:val="20"/>
                <w:lang w:bidi="ar"/>
              </w:rPr>
              <w:t>2014）第6.2.1条</w:t>
            </w:r>
          </w:p>
        </w:tc>
        <w:tc>
          <w:tcPr>
            <w:tcW w:w="209" w:type="pct"/>
            <w:tcBorders>
              <w:tl2br w:val="nil"/>
              <w:tr2bl w:val="nil"/>
            </w:tcBorders>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adjustRightInd w:val="0"/>
              <w:snapToGrid w:val="0"/>
              <w:spacing w:after="0" w:line="240" w:lineRule="auto"/>
              <w:jc w:val="center"/>
              <w:rPr>
                <w:rFonts w:hint="eastAsia" w:ascii="仿宋_GB2312" w:eastAsia="仿宋_GB2312" w:hAnsiTheme="minorEastAsia"/>
                <w:sz w:val="20"/>
                <w:szCs w:val="20"/>
                <w:lang w:eastAsia="zh-CN"/>
              </w:rPr>
            </w:pPr>
            <w:r>
              <w:rPr>
                <w:rFonts w:hint="eastAsia" w:ascii="仿宋_GB2312" w:hAnsiTheme="minorEastAsia"/>
                <w:sz w:val="20"/>
                <w:szCs w:val="20"/>
              </w:rPr>
              <w:t>13.4.02.10</w:t>
            </w:r>
            <w:r>
              <w:rPr>
                <w:rFonts w:hint="eastAsia" w:ascii="仿宋_GB2312" w:hAnsiTheme="minorEastAsia"/>
                <w:sz w:val="20"/>
                <w:szCs w:val="20"/>
                <w:lang w:val="en-US" w:eastAsia="zh-CN"/>
              </w:rPr>
              <w:t>6</w:t>
            </w:r>
          </w:p>
        </w:tc>
        <w:tc>
          <w:tcPr>
            <w:tcW w:w="388" w:type="pct"/>
            <w:tcBorders>
              <w:tl2br w:val="nil"/>
              <w:tr2bl w:val="nil"/>
            </w:tcBorders>
            <w:vAlign w:val="center"/>
          </w:tcPr>
          <w:p>
            <w:pPr>
              <w:pStyle w:val="10"/>
              <w:adjustRightInd w:val="0"/>
              <w:snapToGrid w:val="0"/>
              <w:spacing w:before="0" w:beforeAutospacing="0" w:after="0" w:afterAutospacing="0"/>
              <w:jc w:val="center"/>
              <w:rPr>
                <w:rFonts w:hint="eastAsia" w:ascii="仿宋_GB2312" w:hAnsi="仿宋_GB2312" w:eastAsia="仿宋_GB2312" w:cs="仿宋_GB2312"/>
                <w:color w:val="000000" w:themeColor="text1"/>
                <w:sz w:val="20"/>
                <w:szCs w:val="20"/>
                <w:lang w:bidi="ar"/>
                <w14:textFill>
                  <w14:solidFill>
                    <w14:schemeClr w14:val="tx1"/>
                  </w14:solidFill>
                </w14:textFill>
              </w:rPr>
            </w:pPr>
            <w:r>
              <w:rPr>
                <w:rFonts w:hint="eastAsia" w:ascii="仿宋_GB2312" w:eastAsia="仿宋_GB2312" w:hAnsiTheme="minorEastAsia"/>
                <w:sz w:val="20"/>
                <w:szCs w:val="20"/>
                <w:lang w:bidi="ar"/>
              </w:rPr>
              <w:t>场所环境类</w:t>
            </w:r>
          </w:p>
        </w:tc>
        <w:tc>
          <w:tcPr>
            <w:tcW w:w="376" w:type="pct"/>
            <w:tcBorders>
              <w:tl2br w:val="nil"/>
              <w:tr2bl w:val="nil"/>
            </w:tcBorders>
            <w:vAlign w:val="center"/>
          </w:tcPr>
          <w:p>
            <w:pPr>
              <w:pStyle w:val="10"/>
              <w:adjustRightInd w:val="0"/>
              <w:snapToGrid w:val="0"/>
              <w:spacing w:before="0" w:beforeAutospacing="0" w:after="0" w:afterAutospacing="0"/>
              <w:jc w:val="center"/>
              <w:rPr>
                <w:rFonts w:hint="eastAsia" w:ascii="仿宋_GB2312" w:hAnsi="仿宋_GB2312" w:eastAsia="仿宋_GB2312" w:cs="仿宋_GB2312"/>
                <w:color w:val="000000" w:themeColor="text1"/>
                <w:sz w:val="20"/>
                <w:szCs w:val="20"/>
                <w:lang w:bidi="ar"/>
                <w14:textFill>
                  <w14:solidFill>
                    <w14:schemeClr w14:val="tx1"/>
                  </w14:solidFill>
                </w14:textFill>
              </w:rPr>
            </w:pPr>
            <w:r>
              <w:rPr>
                <w:rFonts w:hint="eastAsia" w:ascii="仿宋_GB2312" w:eastAsia="仿宋_GB2312" w:hAnsiTheme="minorEastAsia"/>
                <w:sz w:val="20"/>
                <w:szCs w:val="20"/>
                <w:lang w:bidi="ar"/>
              </w:rPr>
              <w:t>建（构）筑物类</w:t>
            </w:r>
          </w:p>
        </w:tc>
        <w:tc>
          <w:tcPr>
            <w:tcW w:w="1025" w:type="pct"/>
            <w:tcBorders>
              <w:tl2br w:val="nil"/>
              <w:tr2bl w:val="nil"/>
            </w:tcBorders>
            <w:vAlign w:val="center"/>
          </w:tcPr>
          <w:p>
            <w:pPr>
              <w:widowControl/>
              <w:adjustRightInd w:val="0"/>
              <w:snapToGrid w:val="0"/>
              <w:spacing w:after="0" w:line="240" w:lineRule="auto"/>
              <w:jc w:val="left"/>
              <w:textAlignment w:val="auto"/>
              <w:rPr>
                <w:rFonts w:hint="eastAsia" w:ascii="仿宋_GB2312" w:hAnsi="仿宋_GB2312" w:cs="仿宋_GB2312"/>
                <w:kern w:val="0"/>
                <w:sz w:val="20"/>
                <w:szCs w:val="20"/>
              </w:rPr>
            </w:pPr>
            <w:r>
              <w:rPr>
                <w:rFonts w:hint="eastAsia" w:ascii="仿宋_GB2312" w:hAnsi="仿宋_GB2312" w:cs="仿宋_GB2312"/>
                <w:bCs/>
                <w:kern w:val="0"/>
                <w:sz w:val="20"/>
                <w:szCs w:val="20"/>
              </w:rPr>
              <w:t>建(构)筑物受到振动、高温、低温或腐蚀等危险和有害因素影响时缺少相应的安全防范措施。</w:t>
            </w:r>
          </w:p>
        </w:tc>
        <w:tc>
          <w:tcPr>
            <w:tcW w:w="1394" w:type="pct"/>
            <w:tcBorders>
              <w:tl2br w:val="nil"/>
              <w:tr2bl w:val="nil"/>
            </w:tcBorders>
            <w:vAlign w:val="center"/>
          </w:tcPr>
          <w:p>
            <w:pPr>
              <w:widowControl/>
              <w:adjustRightInd w:val="0"/>
              <w:snapToGrid w:val="0"/>
              <w:spacing w:after="0" w:line="240" w:lineRule="auto"/>
              <w:jc w:val="left"/>
              <w:textAlignment w:val="auto"/>
              <w:rPr>
                <w:rFonts w:hint="eastAsia" w:ascii="仿宋_GB2312" w:hAnsi="仿宋_GB2312" w:cs="仿宋_GB2312"/>
                <w:bCs/>
                <w:kern w:val="0"/>
                <w:sz w:val="20"/>
                <w:szCs w:val="20"/>
              </w:rPr>
            </w:pPr>
            <w:r>
              <w:rPr>
                <w:rFonts w:hint="eastAsia" w:ascii="仿宋_GB2312" w:hAnsi="仿宋_GB2312" w:cs="仿宋_GB2312"/>
                <w:bCs/>
                <w:kern w:val="0"/>
                <w:sz w:val="20"/>
                <w:szCs w:val="20"/>
              </w:rPr>
              <w:t>建(构)筑物受到振动、高温、低温或腐蚀等危险和有害因素影响时应采取相应的安全防范措施。</w:t>
            </w:r>
          </w:p>
        </w:tc>
        <w:tc>
          <w:tcPr>
            <w:tcW w:w="1282" w:type="pct"/>
            <w:tcBorders>
              <w:tl2br w:val="nil"/>
              <w:tr2bl w:val="nil"/>
            </w:tcBorders>
            <w:vAlign w:val="center"/>
          </w:tcPr>
          <w:p>
            <w:pPr>
              <w:widowControl/>
              <w:adjustRightInd w:val="0"/>
              <w:snapToGrid w:val="0"/>
              <w:spacing w:after="0" w:line="240" w:lineRule="auto"/>
              <w:jc w:val="left"/>
              <w:textAlignment w:val="auto"/>
              <w:rPr>
                <w:rFonts w:hint="eastAsia" w:ascii="仿宋_GB2312" w:hAnsi="仿宋_GB2312" w:cs="仿宋_GB2312"/>
                <w:bCs/>
                <w:kern w:val="0"/>
                <w:sz w:val="20"/>
                <w:szCs w:val="20"/>
              </w:rPr>
            </w:pPr>
            <w:r>
              <w:rPr>
                <w:rFonts w:hint="eastAsia" w:ascii="仿宋_GB2312" w:cs="宋体" w:hAnsiTheme="minorEastAsia"/>
                <w:kern w:val="0"/>
                <w:sz w:val="20"/>
                <w:szCs w:val="20"/>
                <w:lang w:bidi="ar"/>
              </w:rPr>
              <w:t>《生产过程安全基本要求》</w:t>
            </w:r>
            <w:r>
              <w:rPr>
                <w:rFonts w:hint="eastAsia" w:ascii="仿宋_GB2312" w:cs="宋体" w:hAnsiTheme="minorEastAsia"/>
                <w:kern w:val="0"/>
                <w:sz w:val="20"/>
                <w:szCs w:val="20"/>
                <w:lang w:eastAsia="zh-CN" w:bidi="ar"/>
              </w:rPr>
              <w:t>（GB 12801-2025）</w:t>
            </w:r>
            <w:r>
              <w:rPr>
                <w:rFonts w:hint="eastAsia" w:ascii="仿宋_GB2312" w:cs="宋体" w:hAnsiTheme="minorEastAsia"/>
                <w:sz w:val="20"/>
                <w:szCs w:val="20"/>
                <w:lang w:bidi="ar"/>
              </w:rPr>
              <w:t>第</w:t>
            </w:r>
            <w:r>
              <w:rPr>
                <w:rFonts w:hint="eastAsia" w:ascii="仿宋_GB2312" w:hAnsi="仿宋_GB2312" w:cs="仿宋_GB2312"/>
                <w:color w:val="000000" w:themeColor="text1"/>
                <w:kern w:val="0"/>
                <w:sz w:val="20"/>
                <w:szCs w:val="20"/>
                <w:lang w:bidi="ar"/>
                <w14:textFill>
                  <w14:solidFill>
                    <w14:schemeClr w14:val="tx1"/>
                  </w14:solidFill>
                </w14:textFill>
              </w:rPr>
              <w:t>4.3.3条</w:t>
            </w:r>
          </w:p>
        </w:tc>
        <w:tc>
          <w:tcPr>
            <w:tcW w:w="209" w:type="pct"/>
            <w:tcBorders>
              <w:tl2br w:val="nil"/>
              <w:tr2bl w:val="nil"/>
            </w:tcBorders>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adjustRightInd w:val="0"/>
              <w:snapToGrid w:val="0"/>
              <w:spacing w:after="0" w:line="240" w:lineRule="auto"/>
              <w:jc w:val="center"/>
              <w:rPr>
                <w:rFonts w:hint="eastAsia" w:ascii="仿宋_GB2312" w:eastAsia="仿宋_GB2312" w:hAnsiTheme="minorEastAsia"/>
                <w:sz w:val="20"/>
                <w:szCs w:val="20"/>
                <w:lang w:eastAsia="zh-CN"/>
              </w:rPr>
            </w:pPr>
            <w:r>
              <w:rPr>
                <w:rFonts w:hint="eastAsia" w:ascii="仿宋_GB2312" w:hAnsiTheme="minorEastAsia"/>
                <w:sz w:val="20"/>
                <w:szCs w:val="20"/>
              </w:rPr>
              <w:t>13.4.03.10</w:t>
            </w:r>
            <w:r>
              <w:rPr>
                <w:rFonts w:hint="eastAsia" w:ascii="仿宋_GB2312" w:hAnsiTheme="minorEastAsia"/>
                <w:sz w:val="20"/>
                <w:szCs w:val="20"/>
                <w:lang w:val="en-US" w:eastAsia="zh-CN"/>
              </w:rPr>
              <w:t>7</w:t>
            </w:r>
          </w:p>
        </w:tc>
        <w:tc>
          <w:tcPr>
            <w:tcW w:w="388" w:type="pct"/>
            <w:tcBorders>
              <w:tl2br w:val="nil"/>
              <w:tr2bl w:val="nil"/>
            </w:tcBorders>
            <w:vAlign w:val="center"/>
          </w:tcPr>
          <w:p>
            <w:pPr>
              <w:widowControl/>
              <w:adjustRightInd w:val="0"/>
              <w:snapToGrid w:val="0"/>
              <w:spacing w:after="0" w:line="240" w:lineRule="auto"/>
              <w:jc w:val="center"/>
              <w:textAlignment w:val="auto"/>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场所环境类</w:t>
            </w:r>
          </w:p>
        </w:tc>
        <w:tc>
          <w:tcPr>
            <w:tcW w:w="376" w:type="pct"/>
            <w:tcBorders>
              <w:tl2br w:val="nil"/>
              <w:tr2bl w:val="nil"/>
            </w:tcBorders>
            <w:vAlign w:val="center"/>
          </w:tcPr>
          <w:p>
            <w:pPr>
              <w:widowControl/>
              <w:adjustRightInd w:val="0"/>
              <w:snapToGrid w:val="0"/>
              <w:spacing w:after="0" w:line="240" w:lineRule="auto"/>
              <w:jc w:val="center"/>
              <w:textAlignment w:val="auto"/>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标志及标识类</w:t>
            </w:r>
          </w:p>
        </w:tc>
        <w:tc>
          <w:tcPr>
            <w:tcW w:w="1025" w:type="pct"/>
            <w:tcBorders>
              <w:tl2br w:val="nil"/>
              <w:tr2bl w:val="nil"/>
            </w:tcBorders>
            <w:vAlign w:val="center"/>
          </w:tcPr>
          <w:p>
            <w:pPr>
              <w:widowControl/>
              <w:adjustRightInd w:val="0"/>
              <w:snapToGrid w:val="0"/>
              <w:spacing w:after="0" w:line="240" w:lineRule="auto"/>
              <w:jc w:val="left"/>
              <w:textAlignment w:val="auto"/>
              <w:rPr>
                <w:rFonts w:hint="eastAsia" w:ascii="仿宋_GB2312" w:hAnsi="仿宋_GB2312" w:cs="仿宋_GB2312"/>
                <w:kern w:val="0"/>
                <w:sz w:val="20"/>
                <w:szCs w:val="20"/>
              </w:rPr>
            </w:pPr>
            <w:r>
              <w:rPr>
                <w:rFonts w:hint="eastAsia" w:ascii="仿宋_GB2312" w:hAnsi="仿宋_GB2312" w:cs="仿宋_GB2312"/>
                <w:kern w:val="0"/>
                <w:sz w:val="20"/>
                <w:szCs w:val="20"/>
              </w:rPr>
              <w:t>未在有较大危险因素的生产经营场所和有关设施、设备上，设置明显的安全警示标志。</w:t>
            </w:r>
          </w:p>
        </w:tc>
        <w:tc>
          <w:tcPr>
            <w:tcW w:w="1394" w:type="pct"/>
            <w:tcBorders>
              <w:tl2br w:val="nil"/>
              <w:tr2bl w:val="nil"/>
            </w:tcBorders>
            <w:vAlign w:val="center"/>
          </w:tcPr>
          <w:p>
            <w:pPr>
              <w:widowControl/>
              <w:adjustRightInd w:val="0"/>
              <w:snapToGrid w:val="0"/>
              <w:spacing w:after="0" w:line="240" w:lineRule="auto"/>
              <w:jc w:val="left"/>
              <w:textAlignment w:val="auto"/>
              <w:rPr>
                <w:rFonts w:hint="eastAsia" w:ascii="仿宋_GB2312" w:hAnsi="仿宋_GB2312" w:cs="仿宋_GB2312"/>
                <w:bCs/>
                <w:kern w:val="0"/>
                <w:sz w:val="20"/>
                <w:szCs w:val="20"/>
              </w:rPr>
            </w:pPr>
            <w:r>
              <w:rPr>
                <w:rFonts w:hint="eastAsia" w:ascii="仿宋_GB2312" w:hAnsi="仿宋_GB2312" w:cs="仿宋_GB2312"/>
                <w:bCs/>
                <w:kern w:val="0"/>
                <w:sz w:val="20"/>
                <w:szCs w:val="20"/>
              </w:rPr>
              <w:t>生产经营单位应当在有较大危险因素的生产经营场所和有关设施、设备上，设置明显的安全警示标志。</w:t>
            </w:r>
          </w:p>
        </w:tc>
        <w:tc>
          <w:tcPr>
            <w:tcW w:w="1282" w:type="pct"/>
            <w:tcBorders>
              <w:tl2br w:val="nil"/>
              <w:tr2bl w:val="nil"/>
            </w:tcBorders>
            <w:vAlign w:val="center"/>
          </w:tcPr>
          <w:p>
            <w:pPr>
              <w:widowControl/>
              <w:adjustRightInd w:val="0"/>
              <w:snapToGrid w:val="0"/>
              <w:spacing w:after="0" w:line="240" w:lineRule="auto"/>
              <w:jc w:val="left"/>
              <w:textAlignment w:val="auto"/>
              <w:rPr>
                <w:rFonts w:hint="eastAsia" w:ascii="仿宋_GB2312" w:hAnsi="仿宋_GB2312" w:cs="仿宋_GB2312"/>
                <w:kern w:val="0"/>
                <w:sz w:val="20"/>
                <w:szCs w:val="20"/>
              </w:rPr>
            </w:pPr>
            <w:r>
              <w:rPr>
                <w:rFonts w:hint="eastAsia" w:ascii="仿宋_GB2312" w:hAnsi="仿宋_GB2312" w:cs="仿宋_GB2312"/>
                <w:bCs/>
                <w:kern w:val="0"/>
                <w:sz w:val="20"/>
                <w:szCs w:val="20"/>
              </w:rPr>
              <w:t>《中华人民共和国安全生产法》第三十五条</w:t>
            </w:r>
          </w:p>
        </w:tc>
        <w:tc>
          <w:tcPr>
            <w:tcW w:w="209" w:type="pct"/>
            <w:tcBorders>
              <w:tl2br w:val="nil"/>
              <w:tr2bl w:val="nil"/>
            </w:tcBorders>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adjustRightInd w:val="0"/>
              <w:snapToGrid w:val="0"/>
              <w:spacing w:after="0" w:line="240" w:lineRule="auto"/>
              <w:jc w:val="center"/>
              <w:rPr>
                <w:rFonts w:hint="default" w:ascii="仿宋_GB2312" w:eastAsia="仿宋_GB2312" w:hAnsiTheme="minorEastAsia"/>
                <w:sz w:val="20"/>
                <w:szCs w:val="20"/>
                <w:lang w:val="en-US" w:eastAsia="zh-CN"/>
              </w:rPr>
            </w:pPr>
            <w:r>
              <w:rPr>
                <w:rFonts w:hint="eastAsia" w:ascii="仿宋_GB2312" w:hAnsiTheme="minorEastAsia"/>
                <w:sz w:val="20"/>
                <w:szCs w:val="20"/>
              </w:rPr>
              <w:t>13.4.03.1</w:t>
            </w:r>
            <w:r>
              <w:rPr>
                <w:rFonts w:hint="eastAsia" w:ascii="仿宋_GB2312" w:hAnsiTheme="minorEastAsia"/>
                <w:sz w:val="20"/>
                <w:szCs w:val="20"/>
                <w:lang w:val="en-US" w:eastAsia="zh-CN"/>
              </w:rPr>
              <w:t>08</w:t>
            </w:r>
          </w:p>
        </w:tc>
        <w:tc>
          <w:tcPr>
            <w:tcW w:w="388" w:type="pct"/>
            <w:tcBorders>
              <w:tl2br w:val="nil"/>
              <w:tr2bl w:val="nil"/>
            </w:tcBorders>
            <w:vAlign w:val="center"/>
          </w:tcPr>
          <w:p>
            <w:pPr>
              <w:widowControl/>
              <w:adjustRightInd w:val="0"/>
              <w:snapToGrid w:val="0"/>
              <w:spacing w:after="0" w:line="240" w:lineRule="auto"/>
              <w:jc w:val="center"/>
              <w:textAlignment w:val="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场所环境类</w:t>
            </w:r>
          </w:p>
        </w:tc>
        <w:tc>
          <w:tcPr>
            <w:tcW w:w="376" w:type="pct"/>
            <w:tcBorders>
              <w:tl2br w:val="nil"/>
              <w:tr2bl w:val="nil"/>
            </w:tcBorders>
            <w:vAlign w:val="center"/>
          </w:tcPr>
          <w:p>
            <w:pPr>
              <w:widowControl/>
              <w:adjustRightInd w:val="0"/>
              <w:snapToGrid w:val="0"/>
              <w:spacing w:after="0" w:line="240" w:lineRule="auto"/>
              <w:jc w:val="center"/>
              <w:textAlignment w:val="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标志及标识类</w:t>
            </w:r>
          </w:p>
        </w:tc>
        <w:tc>
          <w:tcPr>
            <w:tcW w:w="1025" w:type="pct"/>
            <w:tcBorders>
              <w:tl2br w:val="nil"/>
              <w:tr2bl w:val="nil"/>
            </w:tcBorders>
            <w:vAlign w:val="center"/>
          </w:tcPr>
          <w:p>
            <w:pPr>
              <w:widowControl/>
              <w:adjustRightInd w:val="0"/>
              <w:snapToGrid w:val="0"/>
              <w:spacing w:after="0" w:line="240" w:lineRule="auto"/>
              <w:jc w:val="left"/>
              <w:textAlignment w:val="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使用危险化学品的单位，未在其作业场所和岗位设置</w:t>
            </w:r>
            <w:r>
              <w:rPr>
                <w:rFonts w:hint="eastAsia" w:ascii="仿宋_GB2312" w:hAnsi="仿宋_GB2312" w:cs="仿宋_GB2312"/>
                <w:color w:val="000000" w:themeColor="text1"/>
                <w:kern w:val="0"/>
                <w:sz w:val="20"/>
                <w:szCs w:val="20"/>
                <w:lang w:eastAsia="zh-CN" w:bidi="ar"/>
                <w14:textFill>
                  <w14:solidFill>
                    <w14:schemeClr w14:val="tx1"/>
                  </w14:solidFill>
                </w14:textFill>
              </w:rPr>
              <w:t>以下</w:t>
            </w:r>
            <w:r>
              <w:rPr>
                <w:rFonts w:hint="eastAsia" w:ascii="仿宋_GB2312" w:hAnsi="仿宋_GB2312" w:cs="仿宋_GB2312"/>
                <w:color w:val="000000" w:themeColor="text1"/>
                <w:kern w:val="0"/>
                <w:sz w:val="20"/>
                <w:szCs w:val="20"/>
                <w:lang w:bidi="ar"/>
                <w14:textFill>
                  <w14:solidFill>
                    <w14:schemeClr w14:val="tx1"/>
                  </w14:solidFill>
                </w14:textFill>
              </w:rPr>
              <w:t>明显的安全警示标志。（1）符合GB 13690 规定的化学品危险性质警示标签；（2）符合GB13495.1和GB15630规定的消防安全标志；（3）符合GB 2894 规定的禁止、警告、指令、提示等永久性安全标志。</w:t>
            </w:r>
          </w:p>
        </w:tc>
        <w:tc>
          <w:tcPr>
            <w:tcW w:w="1394" w:type="pct"/>
            <w:tcBorders>
              <w:tl2br w:val="nil"/>
              <w:tr2bl w:val="nil"/>
            </w:tcBorders>
            <w:vAlign w:val="center"/>
          </w:tcPr>
          <w:p>
            <w:pPr>
              <w:widowControl/>
              <w:adjustRightInd w:val="0"/>
              <w:snapToGrid w:val="0"/>
              <w:spacing w:after="0" w:line="240" w:lineRule="auto"/>
              <w:jc w:val="left"/>
              <w:textAlignment w:val="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使用危险化学品的单位，应在其作业场所和岗位设置明显的安全警示标志。（1）符合GB 13690 规定的化学品危险性质警示标签；（2）符合GB13495.1和GB15630规定的消防安全标志；（3）符合GB 2894 规定的禁止、警告、指令、提示等永久性安全标志。</w:t>
            </w:r>
          </w:p>
        </w:tc>
        <w:tc>
          <w:tcPr>
            <w:tcW w:w="1282" w:type="pct"/>
            <w:tcBorders>
              <w:tl2br w:val="nil"/>
              <w:tr2bl w:val="nil"/>
            </w:tcBorders>
            <w:vAlign w:val="center"/>
          </w:tcPr>
          <w:p>
            <w:pPr>
              <w:widowControl/>
              <w:adjustRightInd w:val="0"/>
              <w:snapToGrid w:val="0"/>
              <w:spacing w:after="0" w:line="240" w:lineRule="auto"/>
              <w:jc w:val="left"/>
              <w:textAlignment w:val="auto"/>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《危险化学品储存场所建设及储存安全要求》（</w:t>
            </w:r>
            <w:r>
              <w:rPr>
                <w:rFonts w:hint="eastAsia" w:ascii="仿宋_GB2312" w:hAnsi="仿宋_GB2312" w:cs="仿宋_GB2312"/>
                <w:color w:val="000000" w:themeColor="text1"/>
                <w:sz w:val="20"/>
                <w:szCs w:val="20"/>
                <w14:textFill>
                  <w14:solidFill>
                    <w14:schemeClr w14:val="tx1"/>
                  </w14:solidFill>
                </w14:textFill>
              </w:rPr>
              <w:t>DB11/T 755</w:t>
            </w:r>
            <w:r>
              <w:rPr>
                <w:rFonts w:hint="eastAsia" w:ascii="仿宋_GB2312" w:hAnsi="仿宋_GB2312" w:cs="仿宋_GB2312"/>
                <w:color w:val="000000" w:themeColor="text1"/>
                <w:kern w:val="0"/>
                <w:sz w:val="20"/>
                <w:szCs w:val="20"/>
                <w:lang w:bidi="ar"/>
                <w14:textFill>
                  <w14:solidFill>
                    <w14:schemeClr w14:val="tx1"/>
                  </w14:solidFill>
                </w14:textFill>
              </w:rPr>
              <w:t>）第4.1.3.13条；</w:t>
            </w:r>
          </w:p>
          <w:p>
            <w:pPr>
              <w:widowControl/>
              <w:adjustRightInd w:val="0"/>
              <w:snapToGrid w:val="0"/>
              <w:spacing w:after="0" w:line="240" w:lineRule="auto"/>
              <w:jc w:val="left"/>
              <w:textAlignment w:val="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kern w:val="0"/>
                <w:sz w:val="20"/>
                <w:szCs w:val="20"/>
                <w:lang w:eastAsia="zh-CN" w:bidi="ar"/>
                <w14:textFill>
                  <w14:solidFill>
                    <w14:schemeClr w14:val="tx1"/>
                  </w14:solidFill>
                </w14:textFill>
              </w:rPr>
              <w:t>《安全生产等级评定技术规范 第2部分：安全生产通用要求》</w:t>
            </w:r>
            <w:r>
              <w:rPr>
                <w:rFonts w:hint="eastAsia" w:ascii="仿宋_GB2312" w:hAnsi="仿宋_GB2312" w:cs="仿宋_GB2312"/>
                <w:color w:val="000000" w:themeColor="text1"/>
                <w:kern w:val="0"/>
                <w:sz w:val="20"/>
                <w:szCs w:val="20"/>
                <w:lang w:bidi="ar"/>
                <w14:textFill>
                  <w14:solidFill>
                    <w14:schemeClr w14:val="tx1"/>
                  </w14:solidFill>
                </w14:textFill>
              </w:rPr>
              <w:t>（DB11/T 1322.2-2017）</w:t>
            </w:r>
          </w:p>
        </w:tc>
        <w:tc>
          <w:tcPr>
            <w:tcW w:w="209" w:type="pct"/>
            <w:tcBorders>
              <w:tl2br w:val="nil"/>
              <w:tr2bl w:val="nil"/>
            </w:tcBorders>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adjustRightInd w:val="0"/>
              <w:snapToGrid w:val="0"/>
              <w:spacing w:after="0" w:line="240" w:lineRule="auto"/>
              <w:jc w:val="center"/>
              <w:rPr>
                <w:rFonts w:hint="eastAsia" w:ascii="仿宋_GB2312" w:hAnsiTheme="minorEastAsia"/>
                <w:sz w:val="20"/>
                <w:szCs w:val="20"/>
              </w:rPr>
            </w:pPr>
            <w:r>
              <w:rPr>
                <w:rFonts w:hint="eastAsia" w:ascii="仿宋_GB2312" w:hAnsiTheme="minorEastAsia"/>
                <w:sz w:val="20"/>
                <w:szCs w:val="20"/>
              </w:rPr>
              <w:t>13.4.03.1</w:t>
            </w:r>
            <w:r>
              <w:rPr>
                <w:rFonts w:hint="eastAsia" w:ascii="仿宋_GB2312" w:hAnsiTheme="minorEastAsia"/>
                <w:sz w:val="20"/>
                <w:szCs w:val="20"/>
                <w:lang w:val="en-US" w:eastAsia="zh-CN"/>
              </w:rPr>
              <w:t>09</w:t>
            </w:r>
          </w:p>
        </w:tc>
        <w:tc>
          <w:tcPr>
            <w:tcW w:w="388" w:type="pct"/>
            <w:tcBorders>
              <w:tl2br w:val="nil"/>
              <w:tr2bl w:val="nil"/>
            </w:tcBorders>
            <w:vAlign w:val="center"/>
          </w:tcPr>
          <w:p>
            <w:pPr>
              <w:widowControl/>
              <w:adjustRightInd w:val="0"/>
              <w:snapToGrid w:val="0"/>
              <w:spacing w:after="0" w:line="240" w:lineRule="auto"/>
              <w:jc w:val="center"/>
              <w:textAlignment w:val="auto"/>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场所环境类</w:t>
            </w:r>
          </w:p>
        </w:tc>
        <w:tc>
          <w:tcPr>
            <w:tcW w:w="376" w:type="pct"/>
            <w:tcBorders>
              <w:tl2br w:val="nil"/>
              <w:tr2bl w:val="nil"/>
            </w:tcBorders>
            <w:vAlign w:val="center"/>
          </w:tcPr>
          <w:p>
            <w:pPr>
              <w:widowControl/>
              <w:adjustRightInd w:val="0"/>
              <w:snapToGrid w:val="0"/>
              <w:spacing w:after="0" w:line="240" w:lineRule="auto"/>
              <w:jc w:val="center"/>
              <w:textAlignment w:val="auto"/>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标志及标识类</w:t>
            </w:r>
          </w:p>
        </w:tc>
        <w:tc>
          <w:tcPr>
            <w:tcW w:w="1025" w:type="pct"/>
            <w:tcBorders>
              <w:tl2br w:val="nil"/>
              <w:tr2bl w:val="nil"/>
            </w:tcBorders>
            <w:vAlign w:val="center"/>
          </w:tcPr>
          <w:p>
            <w:pPr>
              <w:widowControl/>
              <w:adjustRightInd w:val="0"/>
              <w:snapToGrid w:val="0"/>
              <w:spacing w:after="0" w:line="240" w:lineRule="auto"/>
              <w:jc w:val="left"/>
              <w:textAlignment w:val="auto"/>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安全标志牌张贴顺序不正确。</w:t>
            </w:r>
          </w:p>
        </w:tc>
        <w:tc>
          <w:tcPr>
            <w:tcW w:w="1394" w:type="pct"/>
            <w:tcBorders>
              <w:tl2br w:val="nil"/>
              <w:tr2bl w:val="nil"/>
            </w:tcBorders>
            <w:vAlign w:val="center"/>
          </w:tcPr>
          <w:p>
            <w:pPr>
              <w:widowControl/>
              <w:tabs>
                <w:tab w:val="left" w:pos="917"/>
              </w:tabs>
              <w:adjustRightInd w:val="0"/>
              <w:snapToGrid w:val="0"/>
              <w:spacing w:after="0" w:line="240" w:lineRule="auto"/>
              <w:jc w:val="left"/>
              <w:textAlignment w:val="auto"/>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多个安全标志牌在同一部位设置时,应按警告、禁止、指令、提示类型的顺序,先左后右、先上后下排列。</w:t>
            </w:r>
          </w:p>
        </w:tc>
        <w:tc>
          <w:tcPr>
            <w:tcW w:w="1282" w:type="pct"/>
            <w:tcBorders>
              <w:tl2br w:val="nil"/>
              <w:tr2bl w:val="nil"/>
            </w:tcBorders>
            <w:vAlign w:val="center"/>
          </w:tcPr>
          <w:p>
            <w:pPr>
              <w:widowControl/>
              <w:adjustRightInd w:val="0"/>
              <w:snapToGrid w:val="0"/>
              <w:spacing w:after="0" w:line="240" w:lineRule="auto"/>
              <w:jc w:val="left"/>
              <w:textAlignment w:val="auto"/>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《安全色和安全标志》（GB</w:t>
            </w:r>
            <w:r>
              <w:rPr>
                <w:rFonts w:hint="eastAsia" w:ascii="仿宋_GB2312" w:cs="宋体" w:hAnsiTheme="minorEastAsia"/>
                <w:kern w:val="0"/>
                <w:sz w:val="20"/>
                <w:szCs w:val="20"/>
                <w:lang w:val="en-US" w:eastAsia="zh-CN" w:bidi="ar"/>
              </w:rPr>
              <w:t xml:space="preserve"> </w:t>
            </w:r>
            <w:r>
              <w:rPr>
                <w:rFonts w:hint="eastAsia" w:ascii="仿宋_GB2312" w:cs="宋体" w:hAnsiTheme="minorEastAsia"/>
                <w:kern w:val="0"/>
                <w:sz w:val="20"/>
                <w:szCs w:val="20"/>
                <w:lang w:bidi="ar"/>
              </w:rPr>
              <w:t>2894-2025）</w:t>
            </w:r>
            <w:r>
              <w:rPr>
                <w:rFonts w:hint="eastAsia" w:ascii="仿宋_GB2312" w:cs="宋体" w:hAnsiTheme="minorEastAsia"/>
                <w:sz w:val="20"/>
                <w:szCs w:val="20"/>
                <w:lang w:bidi="ar"/>
              </w:rPr>
              <w:t>第</w:t>
            </w:r>
            <w:r>
              <w:rPr>
                <w:rFonts w:hint="eastAsia" w:ascii="仿宋_GB2312" w:hAnsi="仿宋_GB2312" w:cs="仿宋_GB2312"/>
                <w:color w:val="000000" w:themeColor="text1"/>
                <w:kern w:val="0"/>
                <w:sz w:val="20"/>
                <w:szCs w:val="20"/>
                <w:lang w:bidi="ar"/>
                <w14:textFill>
                  <w14:solidFill>
                    <w14:schemeClr w14:val="tx1"/>
                  </w14:solidFill>
                </w14:textFill>
              </w:rPr>
              <w:t>7.3.3条</w:t>
            </w:r>
          </w:p>
        </w:tc>
        <w:tc>
          <w:tcPr>
            <w:tcW w:w="209" w:type="pct"/>
            <w:tcBorders>
              <w:tl2br w:val="nil"/>
              <w:tr2bl w:val="nil"/>
            </w:tcBorders>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adjustRightInd w:val="0"/>
              <w:snapToGrid w:val="0"/>
              <w:spacing w:after="0" w:line="240" w:lineRule="auto"/>
              <w:jc w:val="center"/>
              <w:rPr>
                <w:rFonts w:hint="eastAsia" w:ascii="仿宋_GB2312" w:hAnsiTheme="minorEastAsia"/>
                <w:sz w:val="20"/>
                <w:szCs w:val="20"/>
              </w:rPr>
            </w:pPr>
            <w:r>
              <w:rPr>
                <w:rFonts w:hint="eastAsia" w:ascii="仿宋_GB2312" w:hAnsiTheme="minorEastAsia"/>
                <w:sz w:val="20"/>
                <w:szCs w:val="20"/>
              </w:rPr>
              <w:t>13.4.03.11</w:t>
            </w:r>
            <w:r>
              <w:rPr>
                <w:rFonts w:hint="eastAsia" w:ascii="仿宋_GB2312" w:hAnsiTheme="minorEastAsia"/>
                <w:sz w:val="20"/>
                <w:szCs w:val="20"/>
                <w:lang w:val="en-US" w:eastAsia="zh-CN"/>
              </w:rPr>
              <w:t>0</w:t>
            </w:r>
          </w:p>
        </w:tc>
        <w:tc>
          <w:tcPr>
            <w:tcW w:w="388" w:type="pct"/>
            <w:tcBorders>
              <w:tl2br w:val="nil"/>
              <w:tr2bl w:val="nil"/>
            </w:tcBorders>
            <w:vAlign w:val="center"/>
          </w:tcPr>
          <w:p>
            <w:pPr>
              <w:widowControl/>
              <w:adjustRightInd w:val="0"/>
              <w:snapToGrid w:val="0"/>
              <w:spacing w:after="0" w:line="240" w:lineRule="auto"/>
              <w:jc w:val="center"/>
              <w:textAlignment w:val="auto"/>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场所环境类</w:t>
            </w:r>
          </w:p>
        </w:tc>
        <w:tc>
          <w:tcPr>
            <w:tcW w:w="376" w:type="pct"/>
            <w:tcBorders>
              <w:tl2br w:val="nil"/>
              <w:tr2bl w:val="nil"/>
            </w:tcBorders>
            <w:vAlign w:val="center"/>
          </w:tcPr>
          <w:p>
            <w:pPr>
              <w:widowControl/>
              <w:adjustRightInd w:val="0"/>
              <w:snapToGrid w:val="0"/>
              <w:spacing w:after="0" w:line="240" w:lineRule="auto"/>
              <w:jc w:val="center"/>
              <w:textAlignment w:val="auto"/>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标志及标识类</w:t>
            </w:r>
          </w:p>
        </w:tc>
        <w:tc>
          <w:tcPr>
            <w:tcW w:w="1025" w:type="pct"/>
            <w:tcBorders>
              <w:tl2br w:val="nil"/>
              <w:tr2bl w:val="nil"/>
            </w:tcBorders>
            <w:vAlign w:val="center"/>
          </w:tcPr>
          <w:p>
            <w:pPr>
              <w:widowControl/>
              <w:adjustRightInd w:val="0"/>
              <w:snapToGrid w:val="0"/>
              <w:spacing w:after="0" w:line="240" w:lineRule="auto"/>
              <w:jc w:val="left"/>
              <w:textAlignment w:val="auto"/>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工艺管道缺少输送介质名称及流向的标志</w:t>
            </w:r>
          </w:p>
        </w:tc>
        <w:tc>
          <w:tcPr>
            <w:tcW w:w="1394" w:type="pct"/>
            <w:tcBorders>
              <w:tl2br w:val="nil"/>
              <w:tr2bl w:val="nil"/>
            </w:tcBorders>
            <w:vAlign w:val="center"/>
          </w:tcPr>
          <w:p>
            <w:pPr>
              <w:widowControl/>
              <w:adjustRightInd w:val="0"/>
              <w:snapToGrid w:val="0"/>
              <w:spacing w:after="0" w:line="240" w:lineRule="auto"/>
              <w:jc w:val="left"/>
              <w:textAlignment w:val="auto"/>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各类工艺管道，均应设置指明输送介质名称及流向的标志。</w:t>
            </w:r>
          </w:p>
        </w:tc>
        <w:tc>
          <w:tcPr>
            <w:tcW w:w="1282" w:type="pct"/>
            <w:tcBorders>
              <w:tl2br w:val="nil"/>
              <w:tr2bl w:val="nil"/>
            </w:tcBorders>
            <w:vAlign w:val="center"/>
          </w:tcPr>
          <w:p>
            <w:pPr>
              <w:widowControl/>
              <w:adjustRightInd w:val="0"/>
              <w:snapToGrid w:val="0"/>
              <w:spacing w:after="0" w:line="240" w:lineRule="auto"/>
              <w:jc w:val="left"/>
              <w:textAlignment w:val="auto"/>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《医药工业洁净厂房设计标准》（GB</w:t>
            </w:r>
            <w:r>
              <w:rPr>
                <w:rFonts w:hint="default" w:ascii="仿宋_GB2312" w:cs="宋体" w:hAnsiTheme="minorEastAsia"/>
                <w:kern w:val="0"/>
                <w:sz w:val="20"/>
                <w:szCs w:val="20"/>
                <w:lang w:val="en" w:bidi="ar"/>
              </w:rPr>
              <w:t xml:space="preserve"> </w:t>
            </w:r>
            <w:r>
              <w:rPr>
                <w:rFonts w:hint="eastAsia" w:ascii="仿宋_GB2312" w:cs="宋体" w:hAnsiTheme="minorEastAsia"/>
                <w:kern w:val="0"/>
                <w:sz w:val="20"/>
                <w:szCs w:val="20"/>
                <w:lang w:bidi="ar"/>
              </w:rPr>
              <w:t>50457-2019）第6.3.6条</w:t>
            </w:r>
          </w:p>
        </w:tc>
        <w:tc>
          <w:tcPr>
            <w:tcW w:w="209" w:type="pct"/>
            <w:tcBorders>
              <w:tl2br w:val="nil"/>
              <w:tr2bl w:val="nil"/>
            </w:tcBorders>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pStyle w:val="20"/>
              <w:adjustRightInd w:val="0"/>
              <w:snapToGrid w:val="0"/>
              <w:spacing w:after="0" w:line="240" w:lineRule="auto"/>
              <w:ind w:firstLine="0" w:firstLineChars="0"/>
              <w:jc w:val="center"/>
              <w:rPr>
                <w:rFonts w:hint="eastAsia" w:ascii="仿宋_GB2312" w:hAnsiTheme="minorEastAsia"/>
                <w:sz w:val="20"/>
                <w:szCs w:val="20"/>
              </w:rPr>
            </w:pPr>
            <w:r>
              <w:rPr>
                <w:rFonts w:hint="eastAsia" w:ascii="仿宋_GB2312" w:hAnsiTheme="minorEastAsia"/>
                <w:sz w:val="20"/>
                <w:szCs w:val="20"/>
              </w:rPr>
              <w:t>13.4.04.11</w:t>
            </w:r>
            <w:r>
              <w:rPr>
                <w:rFonts w:hint="eastAsia" w:ascii="仿宋_GB2312" w:hAnsiTheme="minorEastAsia"/>
                <w:sz w:val="20"/>
                <w:szCs w:val="20"/>
                <w:lang w:val="en-US" w:eastAsia="zh-CN"/>
              </w:rPr>
              <w:t>1</w:t>
            </w:r>
          </w:p>
        </w:tc>
        <w:tc>
          <w:tcPr>
            <w:tcW w:w="388" w:type="pct"/>
            <w:tcBorders>
              <w:tl2br w:val="nil"/>
              <w:tr2bl w:val="nil"/>
            </w:tcBorders>
            <w:vAlign w:val="center"/>
          </w:tcPr>
          <w:p>
            <w:pPr>
              <w:widowControl/>
              <w:adjustRightInd w:val="0"/>
              <w:snapToGrid w:val="0"/>
              <w:spacing w:after="0" w:line="240" w:lineRule="auto"/>
              <w:jc w:val="center"/>
              <w:textAlignment w:val="auto"/>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场所环境类</w:t>
            </w:r>
          </w:p>
        </w:tc>
        <w:tc>
          <w:tcPr>
            <w:tcW w:w="376" w:type="pct"/>
            <w:tcBorders>
              <w:tl2br w:val="nil"/>
              <w:tr2bl w:val="nil"/>
            </w:tcBorders>
            <w:vAlign w:val="center"/>
          </w:tcPr>
          <w:p>
            <w:pPr>
              <w:widowControl/>
              <w:adjustRightInd w:val="0"/>
              <w:snapToGrid w:val="0"/>
              <w:spacing w:after="0" w:line="240" w:lineRule="auto"/>
              <w:jc w:val="center"/>
              <w:textAlignment w:val="auto"/>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作业环境类</w:t>
            </w:r>
          </w:p>
        </w:tc>
        <w:tc>
          <w:tcPr>
            <w:tcW w:w="1025" w:type="pct"/>
            <w:tcBorders>
              <w:tl2br w:val="nil"/>
              <w:tr2bl w:val="nil"/>
            </w:tcBorders>
            <w:vAlign w:val="center"/>
          </w:tcPr>
          <w:p>
            <w:pPr>
              <w:widowControl/>
              <w:adjustRightInd w:val="0"/>
              <w:snapToGrid w:val="0"/>
              <w:spacing w:after="0" w:line="240" w:lineRule="auto"/>
              <w:jc w:val="left"/>
              <w:textAlignment w:val="auto"/>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作业场所的坑、池、井和沟等缺少盖板或防护栏杆。液池、液槽、液罐等缺少防淹溺措施。</w:t>
            </w:r>
          </w:p>
        </w:tc>
        <w:tc>
          <w:tcPr>
            <w:tcW w:w="1394" w:type="pct"/>
            <w:tcBorders>
              <w:tl2br w:val="nil"/>
              <w:tr2bl w:val="nil"/>
            </w:tcBorders>
            <w:vAlign w:val="center"/>
          </w:tcPr>
          <w:p>
            <w:pPr>
              <w:widowControl/>
              <w:adjustRightInd w:val="0"/>
              <w:snapToGrid w:val="0"/>
              <w:spacing w:after="0" w:line="240" w:lineRule="auto"/>
              <w:jc w:val="left"/>
              <w:textAlignment w:val="auto"/>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作业场所的坑、池、井和沟等应设置盖板或防护栏杆。液池、液槽、液罐等应采取防淹溺措施。</w:t>
            </w:r>
          </w:p>
        </w:tc>
        <w:tc>
          <w:tcPr>
            <w:tcW w:w="1282" w:type="pct"/>
            <w:tcBorders>
              <w:tl2br w:val="nil"/>
              <w:tr2bl w:val="nil"/>
            </w:tcBorders>
            <w:vAlign w:val="center"/>
          </w:tcPr>
          <w:p>
            <w:pPr>
              <w:widowControl/>
              <w:adjustRightInd w:val="0"/>
              <w:snapToGrid w:val="0"/>
              <w:spacing w:after="0" w:line="240" w:lineRule="auto"/>
              <w:jc w:val="left"/>
              <w:textAlignment w:val="auto"/>
              <w:rPr>
                <w:rFonts w:hint="eastAsia" w:ascii="仿宋_GB2312" w:cs="宋体" w:hAnsiTheme="minorEastAsia"/>
                <w:kern w:val="0"/>
                <w:sz w:val="20"/>
                <w:szCs w:val="20"/>
                <w:lang w:bidi="ar"/>
              </w:rPr>
            </w:pPr>
            <w:r>
              <w:rPr>
                <w:rFonts w:hint="eastAsia" w:ascii="仿宋_GB2312" w:cs="宋体" w:hAnsiTheme="minorEastAsia"/>
                <w:kern w:val="0"/>
                <w:sz w:val="20"/>
                <w:szCs w:val="20"/>
                <w:lang w:bidi="ar"/>
              </w:rPr>
              <w:t>《生产过程安全基本要求》</w:t>
            </w:r>
            <w:r>
              <w:rPr>
                <w:rFonts w:hint="eastAsia" w:ascii="仿宋_GB2312" w:cs="宋体" w:hAnsiTheme="minorEastAsia"/>
                <w:kern w:val="0"/>
                <w:sz w:val="20"/>
                <w:szCs w:val="20"/>
                <w:lang w:eastAsia="zh-CN" w:bidi="ar"/>
              </w:rPr>
              <w:t>（GB 12801-2025）</w:t>
            </w:r>
            <w:r>
              <w:rPr>
                <w:rFonts w:hint="eastAsia" w:ascii="仿宋_GB2312" w:cs="宋体" w:hAnsiTheme="minorEastAsia"/>
                <w:sz w:val="20"/>
                <w:szCs w:val="20"/>
                <w:lang w:bidi="ar"/>
              </w:rPr>
              <w:t>第</w:t>
            </w:r>
            <w:r>
              <w:rPr>
                <w:rFonts w:hint="eastAsia" w:ascii="仿宋_GB2312" w:hAnsi="仿宋_GB2312" w:cs="仿宋_GB2312"/>
                <w:color w:val="000000" w:themeColor="text1"/>
                <w:kern w:val="0"/>
                <w:sz w:val="20"/>
                <w:szCs w:val="20"/>
                <w:lang w:bidi="ar"/>
                <w14:textFill>
                  <w14:solidFill>
                    <w14:schemeClr w14:val="tx1"/>
                  </w14:solidFill>
                </w14:textFill>
              </w:rPr>
              <w:t>5.6.1条；</w:t>
            </w:r>
            <w:r>
              <w:rPr>
                <w:rFonts w:hint="eastAsia" w:ascii="仿宋_GB2312" w:cs="宋体" w:hAnsiTheme="minorEastAsia"/>
                <w:sz w:val="20"/>
                <w:szCs w:val="20"/>
                <w:lang w:bidi="ar"/>
              </w:rPr>
              <w:t>第</w:t>
            </w:r>
            <w:r>
              <w:rPr>
                <w:rFonts w:hint="eastAsia" w:ascii="仿宋_GB2312" w:hAnsi="仿宋_GB2312" w:cs="仿宋_GB2312"/>
                <w:color w:val="000000" w:themeColor="text1"/>
                <w:kern w:val="0"/>
                <w:sz w:val="20"/>
                <w:szCs w:val="20"/>
                <w:lang w:bidi="ar"/>
                <w14:textFill>
                  <w14:solidFill>
                    <w14:schemeClr w14:val="tx1"/>
                  </w14:solidFill>
                </w14:textFill>
              </w:rPr>
              <w:t>5.7.1条</w:t>
            </w:r>
          </w:p>
        </w:tc>
        <w:tc>
          <w:tcPr>
            <w:tcW w:w="209" w:type="pct"/>
            <w:tcBorders>
              <w:tl2br w:val="nil"/>
              <w:tr2bl w:val="nil"/>
            </w:tcBorders>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adjustRightInd w:val="0"/>
              <w:snapToGrid w:val="0"/>
              <w:spacing w:after="0" w:line="240" w:lineRule="auto"/>
              <w:jc w:val="center"/>
              <w:rPr>
                <w:rFonts w:hint="eastAsia" w:ascii="仿宋_GB2312" w:hAnsiTheme="minorEastAsia"/>
                <w:sz w:val="20"/>
                <w:szCs w:val="20"/>
              </w:rPr>
            </w:pPr>
            <w:r>
              <w:rPr>
                <w:rFonts w:hint="eastAsia" w:ascii="仿宋_GB2312" w:hAnsiTheme="minorEastAsia"/>
                <w:sz w:val="20"/>
                <w:szCs w:val="20"/>
              </w:rPr>
              <w:t>13.4.04.11</w:t>
            </w:r>
            <w:r>
              <w:rPr>
                <w:rFonts w:hint="eastAsia" w:ascii="仿宋_GB2312" w:hAnsiTheme="minorEastAsia"/>
                <w:sz w:val="20"/>
                <w:szCs w:val="20"/>
                <w:lang w:val="en-US" w:eastAsia="zh-CN"/>
              </w:rPr>
              <w:t>2</w:t>
            </w:r>
          </w:p>
        </w:tc>
        <w:tc>
          <w:tcPr>
            <w:tcW w:w="388" w:type="pct"/>
            <w:tcBorders>
              <w:tl2br w:val="nil"/>
              <w:tr2bl w:val="nil"/>
            </w:tcBorders>
            <w:vAlign w:val="center"/>
          </w:tcPr>
          <w:p>
            <w:pPr>
              <w:widowControl/>
              <w:adjustRightInd w:val="0"/>
              <w:snapToGrid w:val="0"/>
              <w:spacing w:after="0" w:line="240" w:lineRule="auto"/>
              <w:jc w:val="center"/>
              <w:textAlignment w:val="auto"/>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场所环境类</w:t>
            </w:r>
          </w:p>
        </w:tc>
        <w:tc>
          <w:tcPr>
            <w:tcW w:w="376" w:type="pct"/>
            <w:tcBorders>
              <w:tl2br w:val="nil"/>
              <w:tr2bl w:val="nil"/>
            </w:tcBorders>
            <w:vAlign w:val="center"/>
          </w:tcPr>
          <w:p>
            <w:pPr>
              <w:widowControl/>
              <w:adjustRightInd w:val="0"/>
              <w:snapToGrid w:val="0"/>
              <w:spacing w:after="0" w:line="240" w:lineRule="auto"/>
              <w:jc w:val="center"/>
              <w:textAlignment w:val="auto"/>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作业环境类</w:t>
            </w:r>
          </w:p>
        </w:tc>
        <w:tc>
          <w:tcPr>
            <w:tcW w:w="1025" w:type="pct"/>
            <w:tcBorders>
              <w:tl2br w:val="nil"/>
              <w:tr2bl w:val="nil"/>
            </w:tcBorders>
            <w:vAlign w:val="center"/>
          </w:tcPr>
          <w:p>
            <w:pPr>
              <w:widowControl/>
              <w:adjustRightInd w:val="0"/>
              <w:snapToGrid w:val="0"/>
              <w:spacing w:after="0" w:line="240" w:lineRule="auto"/>
              <w:jc w:val="left"/>
              <w:textAlignment w:val="auto"/>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通道或作业场所上方有物体坠落可能时,缺少隔离护栏、防护网等防物体打击的安全措施。</w:t>
            </w:r>
          </w:p>
        </w:tc>
        <w:tc>
          <w:tcPr>
            <w:tcW w:w="1394" w:type="pct"/>
            <w:tcBorders>
              <w:tl2br w:val="nil"/>
              <w:tr2bl w:val="nil"/>
            </w:tcBorders>
            <w:vAlign w:val="center"/>
          </w:tcPr>
          <w:p>
            <w:pPr>
              <w:widowControl/>
              <w:adjustRightInd w:val="0"/>
              <w:snapToGrid w:val="0"/>
              <w:spacing w:after="0" w:line="240" w:lineRule="auto"/>
              <w:jc w:val="left"/>
              <w:textAlignment w:val="auto"/>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通道或作业场所上方有物体坠落可能时,应采取隔离护栏、防护网等防物体打击的安全措施。</w:t>
            </w:r>
          </w:p>
        </w:tc>
        <w:tc>
          <w:tcPr>
            <w:tcW w:w="1282" w:type="pct"/>
            <w:tcBorders>
              <w:tl2br w:val="nil"/>
              <w:tr2bl w:val="nil"/>
            </w:tcBorders>
            <w:vAlign w:val="center"/>
          </w:tcPr>
          <w:p>
            <w:pPr>
              <w:widowControl/>
              <w:adjustRightInd w:val="0"/>
              <w:snapToGrid w:val="0"/>
              <w:spacing w:after="0" w:line="240" w:lineRule="auto"/>
              <w:jc w:val="left"/>
              <w:textAlignment w:val="auto"/>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cs="宋体" w:hAnsiTheme="minorEastAsia"/>
                <w:kern w:val="0"/>
                <w:sz w:val="20"/>
                <w:szCs w:val="20"/>
                <w:lang w:bidi="ar"/>
              </w:rPr>
              <w:t>《生产过程安全基本要求》</w:t>
            </w:r>
            <w:r>
              <w:rPr>
                <w:rFonts w:hint="eastAsia" w:ascii="仿宋_GB2312" w:cs="宋体" w:hAnsiTheme="minorEastAsia"/>
                <w:kern w:val="0"/>
                <w:sz w:val="20"/>
                <w:szCs w:val="20"/>
                <w:lang w:eastAsia="zh-CN" w:bidi="ar"/>
              </w:rPr>
              <w:t>（GB 12801-2025）</w:t>
            </w:r>
            <w:r>
              <w:rPr>
                <w:rFonts w:hint="eastAsia" w:ascii="仿宋_GB2312" w:cs="宋体" w:hAnsiTheme="minorEastAsia"/>
                <w:sz w:val="20"/>
                <w:szCs w:val="20"/>
                <w:lang w:bidi="ar"/>
              </w:rPr>
              <w:t>第</w:t>
            </w:r>
            <w:r>
              <w:rPr>
                <w:rFonts w:hint="eastAsia" w:ascii="仿宋_GB2312" w:hAnsi="仿宋_GB2312" w:cs="仿宋_GB2312"/>
                <w:color w:val="000000" w:themeColor="text1"/>
                <w:kern w:val="0"/>
                <w:sz w:val="20"/>
                <w:szCs w:val="20"/>
                <w:lang w:bidi="ar"/>
                <w14:textFill>
                  <w14:solidFill>
                    <w14:schemeClr w14:val="tx1"/>
                  </w14:solidFill>
                </w14:textFill>
              </w:rPr>
              <w:t>5.7.2条</w:t>
            </w:r>
          </w:p>
        </w:tc>
        <w:tc>
          <w:tcPr>
            <w:tcW w:w="209" w:type="pct"/>
            <w:tcBorders>
              <w:tl2br w:val="nil"/>
              <w:tr2bl w:val="nil"/>
            </w:tcBorders>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adjustRightInd w:val="0"/>
              <w:snapToGrid w:val="0"/>
              <w:spacing w:after="0" w:line="240" w:lineRule="auto"/>
              <w:jc w:val="center"/>
              <w:rPr>
                <w:rFonts w:hint="eastAsia" w:ascii="仿宋_GB2312" w:hAnsiTheme="minorEastAsia"/>
                <w:sz w:val="20"/>
                <w:szCs w:val="20"/>
              </w:rPr>
            </w:pPr>
            <w:r>
              <w:rPr>
                <w:rFonts w:hint="eastAsia" w:ascii="仿宋_GB2312" w:hAnsiTheme="minorEastAsia"/>
                <w:sz w:val="20"/>
                <w:szCs w:val="20"/>
              </w:rPr>
              <w:t>13.4.04.11</w:t>
            </w:r>
            <w:r>
              <w:rPr>
                <w:rFonts w:hint="eastAsia" w:ascii="仿宋_GB2312" w:hAnsiTheme="minorEastAsia"/>
                <w:sz w:val="20"/>
                <w:szCs w:val="20"/>
                <w:lang w:val="en-US" w:eastAsia="zh-CN"/>
              </w:rPr>
              <w:t>3</w:t>
            </w:r>
          </w:p>
        </w:tc>
        <w:tc>
          <w:tcPr>
            <w:tcW w:w="388" w:type="pct"/>
            <w:tcBorders>
              <w:tl2br w:val="nil"/>
              <w:tr2bl w:val="nil"/>
            </w:tcBorders>
            <w:vAlign w:val="center"/>
          </w:tcPr>
          <w:p>
            <w:pPr>
              <w:widowControl/>
              <w:adjustRightInd w:val="0"/>
              <w:snapToGrid w:val="0"/>
              <w:spacing w:after="0" w:line="240" w:lineRule="auto"/>
              <w:jc w:val="center"/>
              <w:textAlignment w:val="auto"/>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场所环境类</w:t>
            </w:r>
          </w:p>
        </w:tc>
        <w:tc>
          <w:tcPr>
            <w:tcW w:w="376" w:type="pct"/>
            <w:tcBorders>
              <w:tl2br w:val="nil"/>
              <w:tr2bl w:val="nil"/>
            </w:tcBorders>
            <w:vAlign w:val="center"/>
          </w:tcPr>
          <w:p>
            <w:pPr>
              <w:widowControl/>
              <w:adjustRightInd w:val="0"/>
              <w:snapToGrid w:val="0"/>
              <w:spacing w:after="0" w:line="240" w:lineRule="auto"/>
              <w:jc w:val="center"/>
              <w:textAlignment w:val="auto"/>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作业环境类</w:t>
            </w:r>
          </w:p>
        </w:tc>
        <w:tc>
          <w:tcPr>
            <w:tcW w:w="1025" w:type="pct"/>
            <w:tcBorders>
              <w:tl2br w:val="nil"/>
              <w:tr2bl w:val="nil"/>
            </w:tcBorders>
            <w:vAlign w:val="center"/>
          </w:tcPr>
          <w:p>
            <w:pPr>
              <w:widowControl/>
              <w:adjustRightInd w:val="0"/>
              <w:snapToGrid w:val="0"/>
              <w:spacing w:after="0" w:line="240" w:lineRule="auto"/>
              <w:jc w:val="left"/>
              <w:textAlignment w:val="auto"/>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作业场所未按规定设置应急照明、安全疏散通道及疏散指示标志。</w:t>
            </w:r>
          </w:p>
        </w:tc>
        <w:tc>
          <w:tcPr>
            <w:tcW w:w="1394" w:type="pct"/>
            <w:tcBorders>
              <w:tl2br w:val="nil"/>
              <w:tr2bl w:val="nil"/>
            </w:tcBorders>
            <w:vAlign w:val="center"/>
          </w:tcPr>
          <w:p>
            <w:pPr>
              <w:widowControl/>
              <w:adjustRightInd w:val="0"/>
              <w:snapToGrid w:val="0"/>
              <w:spacing w:after="0" w:line="240" w:lineRule="auto"/>
              <w:jc w:val="left"/>
              <w:textAlignment w:val="auto"/>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作业场所应按规定设置应急照明、安全疏散通道及疏散指示标志。</w:t>
            </w:r>
          </w:p>
        </w:tc>
        <w:tc>
          <w:tcPr>
            <w:tcW w:w="1282" w:type="pct"/>
            <w:tcBorders>
              <w:tl2br w:val="nil"/>
              <w:tr2bl w:val="nil"/>
            </w:tcBorders>
            <w:vAlign w:val="center"/>
          </w:tcPr>
          <w:p>
            <w:pPr>
              <w:widowControl/>
              <w:adjustRightInd w:val="0"/>
              <w:snapToGrid w:val="0"/>
              <w:spacing w:after="0" w:line="240" w:lineRule="auto"/>
              <w:jc w:val="left"/>
              <w:textAlignment w:val="auto"/>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cs="宋体" w:hAnsiTheme="minorEastAsia"/>
                <w:kern w:val="0"/>
                <w:sz w:val="20"/>
                <w:szCs w:val="20"/>
                <w:lang w:bidi="ar"/>
              </w:rPr>
              <w:t>《生产过程安全基本要求》</w:t>
            </w:r>
            <w:r>
              <w:rPr>
                <w:rFonts w:hint="eastAsia" w:ascii="仿宋_GB2312" w:cs="宋体" w:hAnsiTheme="minorEastAsia"/>
                <w:kern w:val="0"/>
                <w:sz w:val="20"/>
                <w:szCs w:val="20"/>
                <w:lang w:eastAsia="zh-CN" w:bidi="ar"/>
              </w:rPr>
              <w:t>（GB 12801-2025）</w:t>
            </w:r>
            <w:r>
              <w:rPr>
                <w:rFonts w:hint="eastAsia" w:ascii="仿宋_GB2312" w:cs="宋体" w:hAnsiTheme="minorEastAsia"/>
                <w:sz w:val="20"/>
                <w:szCs w:val="20"/>
                <w:lang w:bidi="ar"/>
              </w:rPr>
              <w:t>第</w:t>
            </w:r>
            <w:r>
              <w:rPr>
                <w:rFonts w:hint="eastAsia" w:ascii="仿宋_GB2312" w:hAnsi="仿宋_GB2312" w:cs="仿宋_GB2312"/>
                <w:color w:val="000000" w:themeColor="text1"/>
                <w:kern w:val="0"/>
                <w:sz w:val="20"/>
                <w:szCs w:val="20"/>
                <w:lang w:bidi="ar"/>
                <w14:textFill>
                  <w14:solidFill>
                    <w14:schemeClr w14:val="tx1"/>
                  </w14:solidFill>
                </w14:textFill>
              </w:rPr>
              <w:t>5.7.5条</w:t>
            </w:r>
          </w:p>
        </w:tc>
        <w:tc>
          <w:tcPr>
            <w:tcW w:w="209" w:type="pct"/>
            <w:tcBorders>
              <w:tl2br w:val="nil"/>
              <w:tr2bl w:val="nil"/>
            </w:tcBorders>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323" w:type="pct"/>
            <w:tcBorders>
              <w:tl2br w:val="nil"/>
              <w:tr2bl w:val="nil"/>
            </w:tcBorders>
            <w:shd w:val="clear" w:color="auto" w:fill="FFFFFF"/>
            <w:vAlign w:val="center"/>
          </w:tcPr>
          <w:p>
            <w:pPr>
              <w:adjustRightInd w:val="0"/>
              <w:snapToGrid w:val="0"/>
              <w:spacing w:after="0" w:line="240" w:lineRule="auto"/>
              <w:jc w:val="center"/>
              <w:rPr>
                <w:rFonts w:hint="eastAsia" w:ascii="仿宋_GB2312" w:hAnsiTheme="minorEastAsia"/>
                <w:sz w:val="20"/>
                <w:szCs w:val="20"/>
              </w:rPr>
            </w:pPr>
            <w:r>
              <w:rPr>
                <w:rFonts w:hint="eastAsia" w:ascii="仿宋_GB2312" w:hAnsiTheme="minorEastAsia"/>
                <w:sz w:val="20"/>
                <w:szCs w:val="20"/>
              </w:rPr>
              <w:t>13.4.04.11</w:t>
            </w:r>
            <w:r>
              <w:rPr>
                <w:rFonts w:hint="eastAsia" w:ascii="仿宋_GB2312" w:hAnsiTheme="minorEastAsia"/>
                <w:sz w:val="20"/>
                <w:szCs w:val="20"/>
                <w:lang w:val="en-US" w:eastAsia="zh-CN"/>
              </w:rPr>
              <w:t>4</w:t>
            </w:r>
          </w:p>
        </w:tc>
        <w:tc>
          <w:tcPr>
            <w:tcW w:w="388" w:type="pct"/>
            <w:tcBorders>
              <w:tl2br w:val="nil"/>
              <w:tr2bl w:val="nil"/>
            </w:tcBorders>
            <w:vAlign w:val="center"/>
          </w:tcPr>
          <w:p>
            <w:pPr>
              <w:widowControl/>
              <w:adjustRightInd w:val="0"/>
              <w:snapToGrid w:val="0"/>
              <w:spacing w:after="0" w:line="240" w:lineRule="auto"/>
              <w:jc w:val="center"/>
              <w:textAlignment w:val="auto"/>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场所环境类</w:t>
            </w:r>
          </w:p>
        </w:tc>
        <w:tc>
          <w:tcPr>
            <w:tcW w:w="376" w:type="pct"/>
            <w:tcBorders>
              <w:tl2br w:val="nil"/>
              <w:tr2bl w:val="nil"/>
            </w:tcBorders>
            <w:vAlign w:val="center"/>
          </w:tcPr>
          <w:p>
            <w:pPr>
              <w:widowControl/>
              <w:adjustRightInd w:val="0"/>
              <w:snapToGrid w:val="0"/>
              <w:spacing w:after="0" w:line="240" w:lineRule="auto"/>
              <w:jc w:val="center"/>
              <w:textAlignment w:val="auto"/>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作业环境类</w:t>
            </w:r>
          </w:p>
        </w:tc>
        <w:tc>
          <w:tcPr>
            <w:tcW w:w="1025" w:type="pct"/>
            <w:tcBorders>
              <w:tl2br w:val="nil"/>
              <w:tr2bl w:val="nil"/>
            </w:tcBorders>
            <w:vAlign w:val="center"/>
          </w:tcPr>
          <w:p>
            <w:pPr>
              <w:widowControl/>
              <w:adjustRightInd w:val="0"/>
              <w:snapToGrid w:val="0"/>
              <w:spacing w:after="0" w:line="240" w:lineRule="auto"/>
              <w:jc w:val="left"/>
              <w:textAlignment w:val="auto"/>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库房堆垛不</w:t>
            </w:r>
            <w:r>
              <w:rPr>
                <w:rFonts w:hint="eastAsia" w:ascii="仿宋_GB2312" w:hAnsi="仿宋_GB2312" w:cs="仿宋_GB2312"/>
                <w:color w:val="000000" w:themeColor="text1"/>
                <w:kern w:val="0"/>
                <w:sz w:val="20"/>
                <w:szCs w:val="20"/>
                <w:lang w:eastAsia="zh-CN" w:bidi="ar"/>
                <w14:textFill>
                  <w14:solidFill>
                    <w14:schemeClr w14:val="tx1"/>
                  </w14:solidFill>
                </w14:textFill>
              </w:rPr>
              <w:t>符合</w:t>
            </w:r>
            <w:r>
              <w:rPr>
                <w:rFonts w:hint="eastAsia" w:ascii="仿宋_GB2312" w:hAnsi="仿宋_GB2312" w:cs="仿宋_GB2312"/>
                <w:color w:val="000000" w:themeColor="text1"/>
                <w:kern w:val="0"/>
                <w:sz w:val="20"/>
                <w:szCs w:val="20"/>
                <w:lang w:bidi="ar"/>
                <w14:textFill>
                  <w14:solidFill>
                    <w14:schemeClr w14:val="tx1"/>
                  </w14:solidFill>
                </w14:textFill>
              </w:rPr>
              <w:t>规范要求。</w:t>
            </w:r>
          </w:p>
        </w:tc>
        <w:tc>
          <w:tcPr>
            <w:tcW w:w="1394" w:type="pct"/>
            <w:tcBorders>
              <w:tl2br w:val="nil"/>
              <w:tr2bl w:val="nil"/>
            </w:tcBorders>
            <w:vAlign w:val="center"/>
          </w:tcPr>
          <w:p>
            <w:pPr>
              <w:widowControl/>
              <w:adjustRightInd w:val="0"/>
              <w:snapToGrid w:val="0"/>
              <w:spacing w:after="0" w:line="240" w:lineRule="auto"/>
              <w:jc w:val="left"/>
              <w:textAlignment w:val="auto"/>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产品或物料堆垛与库房内墙、顶、温度调控设备及管道等设施间距不应小于0.30m，与地面的间距不应小于0.10m。地面码垛存放的物品，码垛高度不宜大于2.00m。</w:t>
            </w:r>
          </w:p>
        </w:tc>
        <w:tc>
          <w:tcPr>
            <w:tcW w:w="1282" w:type="pct"/>
            <w:tcBorders>
              <w:tl2br w:val="nil"/>
              <w:tr2bl w:val="nil"/>
            </w:tcBorders>
            <w:vAlign w:val="center"/>
          </w:tcPr>
          <w:p>
            <w:pPr>
              <w:widowControl/>
              <w:adjustRightInd w:val="0"/>
              <w:snapToGrid w:val="0"/>
              <w:spacing w:after="0" w:line="240" w:lineRule="auto"/>
              <w:jc w:val="left"/>
              <w:textAlignment w:val="auto"/>
              <w:rPr>
                <w:rFonts w:hint="eastAsia" w:ascii="仿宋_GB2312" w:hAnsi="仿宋_GB2312" w:cs="仿宋_GB2312"/>
                <w:color w:val="000000" w:themeColor="text1"/>
                <w:kern w:val="0"/>
                <w:sz w:val="20"/>
                <w:szCs w:val="20"/>
                <w:lang w:bidi="ar"/>
                <w14:textFill>
                  <w14:solidFill>
                    <w14:schemeClr w14:val="tx1"/>
                  </w14:solidFill>
                </w14:textFill>
              </w:rPr>
            </w:pPr>
            <w:r>
              <w:rPr>
                <w:rFonts w:hint="eastAsia" w:ascii="仿宋_GB2312" w:hAnsi="仿宋_GB2312" w:cs="仿宋_GB2312"/>
                <w:color w:val="000000" w:themeColor="text1"/>
                <w:kern w:val="0"/>
                <w:sz w:val="20"/>
                <w:szCs w:val="20"/>
                <w:lang w:bidi="ar"/>
                <w14:textFill>
                  <w14:solidFill>
                    <w14:schemeClr w14:val="tx1"/>
                  </w14:solidFill>
                </w14:textFill>
              </w:rPr>
              <w:t>《医药工业仓储工程设计规范》（GB 51073</w:t>
            </w:r>
            <w:r>
              <w:rPr>
                <w:rFonts w:hint="default" w:ascii="仿宋_GB2312" w:hAnsi="仿宋_GB2312" w:cs="仿宋_GB2312"/>
                <w:color w:val="000000" w:themeColor="text1"/>
                <w:kern w:val="0"/>
                <w:sz w:val="20"/>
                <w:szCs w:val="20"/>
                <w:lang w:val="en" w:bidi="ar"/>
                <w14:textFill>
                  <w14:solidFill>
                    <w14:schemeClr w14:val="tx1"/>
                  </w14:solidFill>
                </w14:textFill>
              </w:rPr>
              <w:t>-</w:t>
            </w:r>
            <w:r>
              <w:rPr>
                <w:rFonts w:hint="eastAsia" w:ascii="仿宋_GB2312" w:hAnsi="仿宋_GB2312" w:cs="仿宋_GB2312"/>
                <w:color w:val="000000" w:themeColor="text1"/>
                <w:kern w:val="0"/>
                <w:sz w:val="20"/>
                <w:szCs w:val="20"/>
                <w:lang w:bidi="ar"/>
                <w14:textFill>
                  <w14:solidFill>
                    <w14:schemeClr w14:val="tx1"/>
                  </w14:solidFill>
                </w14:textFill>
              </w:rPr>
              <w:t>2014）第5.1.13条</w:t>
            </w:r>
          </w:p>
        </w:tc>
        <w:tc>
          <w:tcPr>
            <w:tcW w:w="209" w:type="pct"/>
            <w:tcBorders>
              <w:tl2br w:val="nil"/>
              <w:tr2bl w:val="nil"/>
            </w:tcBorders>
            <w:vAlign w:val="center"/>
          </w:tcPr>
          <w:p>
            <w:pPr>
              <w:widowControl/>
              <w:adjustRightInd w:val="0"/>
              <w:snapToGrid w:val="0"/>
              <w:spacing w:after="0" w:line="240" w:lineRule="auto"/>
              <w:jc w:val="center"/>
              <w:rPr>
                <w:rFonts w:hint="eastAsia" w:ascii="仿宋_GB2312"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5000" w:type="pct"/>
            <w:gridSpan w:val="7"/>
            <w:tcBorders>
              <w:tl2br w:val="nil"/>
              <w:tr2bl w:val="nil"/>
            </w:tcBorders>
            <w:shd w:val="clear" w:color="auto" w:fill="FFFFFF"/>
            <w:vAlign w:val="center"/>
          </w:tcPr>
          <w:p>
            <w:pPr>
              <w:pStyle w:val="10"/>
              <w:adjustRightInd w:val="0"/>
              <w:snapToGrid w:val="0"/>
              <w:spacing w:before="0" w:beforeAutospacing="0" w:after="0" w:afterAutospacing="0"/>
              <w:rPr>
                <w:rFonts w:hint="eastAsia" w:ascii="仿宋_GB2312"/>
                <w:sz w:val="20"/>
                <w:szCs w:val="20"/>
              </w:rPr>
            </w:pPr>
            <w:r>
              <w:rPr>
                <w:rFonts w:hint="eastAsia" w:ascii="仿宋_GB2312" w:eastAsia="仿宋_GB2312" w:hAnsiTheme="minorEastAsia"/>
                <w:sz w:val="20"/>
                <w:szCs w:val="20"/>
                <w:lang w:bidi="ar"/>
              </w:rPr>
              <w:t>注：加★为化工和危险化学品</w:t>
            </w:r>
            <w:r>
              <w:rPr>
                <w:rFonts w:hint="eastAsia" w:ascii="仿宋_GB2312" w:eastAsia="仿宋_GB2312" w:cs="宋体" w:hAnsiTheme="minorEastAsia"/>
                <w:kern w:val="0"/>
                <w:sz w:val="20"/>
                <w:szCs w:val="20"/>
                <w:lang w:val="en-US" w:eastAsia="zh-CN" w:bidi="ar"/>
              </w:rPr>
              <w:t>生产经营</w:t>
            </w:r>
            <w:r>
              <w:rPr>
                <w:rFonts w:hint="eastAsia" w:ascii="仿宋_GB2312" w:eastAsia="仿宋_GB2312" w:hAnsiTheme="minorEastAsia"/>
                <w:sz w:val="20"/>
                <w:szCs w:val="20"/>
                <w:lang w:bidi="ar"/>
              </w:rPr>
              <w:t>企业重大生产安全事故隐患。</w:t>
            </w:r>
          </w:p>
        </w:tc>
      </w:tr>
    </w:tbl>
    <w:p>
      <w:pPr>
        <w:pStyle w:val="2"/>
        <w:adjustRightInd w:val="0"/>
        <w:snapToGrid w:val="0"/>
        <w:spacing w:before="156" w:beforeLines="50" w:after="156" w:afterLines="50" w:line="800" w:lineRule="exact"/>
        <w:ind w:firstLine="0" w:firstLineChars="0"/>
        <w:rPr>
          <w:rFonts w:hint="eastAsia" w:ascii="方正小标宋简体" w:hAnsi="方正小标宋简体" w:eastAsia="方正小标宋简体" w:cs="方正小标宋简体"/>
          <w:kern w:val="2"/>
          <w:sz w:val="44"/>
          <w:szCs w:val="44"/>
        </w:rPr>
      </w:pPr>
    </w:p>
    <w:p>
      <w:pPr>
        <w:pStyle w:val="2"/>
        <w:adjustRightInd w:val="0"/>
        <w:snapToGrid w:val="0"/>
        <w:spacing w:before="156" w:beforeLines="50" w:after="156" w:afterLines="50" w:line="800" w:lineRule="exact"/>
        <w:ind w:firstLine="0" w:firstLineChars="0"/>
        <w:jc w:val="both"/>
        <w:rPr>
          <w:rFonts w:hint="eastAsia" w:ascii="方正小标宋简体" w:hAnsi="方正小标宋简体" w:eastAsia="方正小标宋简体" w:cs="方正小标宋简体"/>
          <w:kern w:val="2"/>
          <w:sz w:val="44"/>
          <w:szCs w:val="44"/>
        </w:rPr>
        <w:sectPr>
          <w:pgSz w:w="16838" w:h="11906" w:orient="landscape"/>
          <w:pgMar w:top="1800" w:right="1440" w:bottom="1800" w:left="1440" w:header="851" w:footer="992" w:gutter="0"/>
          <w:pgNumType w:fmt="decimal"/>
          <w:cols w:space="425" w:num="1"/>
          <w:docGrid w:type="lines" w:linePitch="312" w:charSpace="0"/>
        </w:sectPr>
      </w:pPr>
    </w:p>
    <w:p>
      <w:pPr>
        <w:pStyle w:val="2"/>
        <w:adjustRightInd w:val="0"/>
        <w:snapToGrid w:val="0"/>
        <w:spacing w:before="156" w:beforeLines="50" w:after="156" w:afterLines="50" w:line="800" w:lineRule="exact"/>
        <w:ind w:firstLine="0" w:firstLineChars="0"/>
        <w:jc w:val="center"/>
        <w:rPr>
          <w:rFonts w:hint="eastAsia" w:ascii="方正小标宋简体" w:hAnsi="方正小标宋简体" w:eastAsia="方正小标宋简体" w:cs="方正小标宋简体"/>
          <w:spacing w:val="0"/>
          <w:kern w:val="2"/>
          <w:sz w:val="44"/>
          <w:szCs w:val="44"/>
        </w:rPr>
      </w:pPr>
      <w:bookmarkStart w:id="13" w:name="_Toc2071833740_WPSOffice_Level1"/>
      <w:r>
        <w:rPr>
          <w:rFonts w:hint="eastAsia" w:ascii="方正小标宋简体" w:hAnsi="方正小标宋简体" w:eastAsia="方正小标宋简体" w:cs="方正小标宋简体"/>
          <w:spacing w:val="0"/>
          <w:kern w:val="2"/>
          <w:sz w:val="44"/>
          <w:szCs w:val="44"/>
        </w:rPr>
        <w:t>北京市冶金有色建材机械轻工纺织烟草行业涉危使用隐患</w:t>
      </w:r>
      <w:r>
        <w:rPr>
          <w:rFonts w:hint="eastAsia" w:ascii="方正小标宋简体" w:hAnsi="方正小标宋简体" w:eastAsia="方正小标宋简体" w:cs="方正小标宋简体"/>
          <w:spacing w:val="0"/>
          <w:kern w:val="2"/>
          <w:sz w:val="44"/>
          <w:szCs w:val="44"/>
          <w:lang w:eastAsia="zh-CN"/>
        </w:rPr>
        <w:t>自</w:t>
      </w:r>
      <w:r>
        <w:rPr>
          <w:rFonts w:hint="eastAsia" w:ascii="方正小标宋简体" w:hAnsi="方正小标宋简体" w:eastAsia="方正小标宋简体" w:cs="方正小标宋简体"/>
          <w:spacing w:val="0"/>
          <w:kern w:val="2"/>
          <w:sz w:val="44"/>
          <w:szCs w:val="44"/>
        </w:rPr>
        <w:t>查清单</w:t>
      </w:r>
      <w:bookmarkEnd w:id="13"/>
    </w:p>
    <w:tbl>
      <w:tblPr>
        <w:tblStyle w:val="12"/>
        <w:tblW w:w="4995"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71"/>
        <w:gridCol w:w="1072"/>
        <w:gridCol w:w="1107"/>
        <w:gridCol w:w="2879"/>
        <w:gridCol w:w="3867"/>
        <w:gridCol w:w="3820"/>
        <w:gridCol w:w="4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jc w:val="center"/>
        </w:trPr>
        <w:tc>
          <w:tcPr>
            <w:tcW w:w="342" w:type="pct"/>
            <w:vMerge w:val="restart"/>
            <w:shd w:val="clear" w:color="000000" w:fill="95B3D7" w:themeFill="accent1" w:themeFillTint="99"/>
            <w:noWrap/>
            <w:vAlign w:val="center"/>
          </w:tcPr>
          <w:p>
            <w:pPr>
              <w:widowControl/>
              <w:suppressAutoHyphens/>
              <w:adjustRightInd w:val="0"/>
              <w:snapToGrid w:val="0"/>
              <w:spacing w:after="0" w:line="240" w:lineRule="auto"/>
              <w:jc w:val="center"/>
              <w:rPr>
                <w:rFonts w:hint="eastAsia" w:ascii="仿宋_GB2312" w:hAnsi="仿宋_GB2312" w:cs="仿宋_GB2312"/>
                <w:b/>
                <w:bCs/>
                <w:kern w:val="0"/>
                <w:sz w:val="20"/>
                <w:szCs w:val="20"/>
              </w:rPr>
            </w:pPr>
            <w:r>
              <w:rPr>
                <w:rFonts w:hint="eastAsia" w:ascii="仿宋_GB2312" w:hAnsi="仿宋_GB2312" w:cs="仿宋_GB2312"/>
                <w:b/>
                <w:bCs/>
                <w:kern w:val="0"/>
                <w:sz w:val="20"/>
                <w:szCs w:val="20"/>
              </w:rPr>
              <w:t>编号</w:t>
            </w:r>
          </w:p>
        </w:tc>
        <w:tc>
          <w:tcPr>
            <w:tcW w:w="769" w:type="pct"/>
            <w:gridSpan w:val="2"/>
            <w:shd w:val="clear" w:color="000000" w:fill="95B3D7" w:themeFill="accent1" w:themeFillTint="99"/>
            <w:noWrap/>
            <w:vAlign w:val="center"/>
          </w:tcPr>
          <w:p>
            <w:pPr>
              <w:widowControl/>
              <w:suppressAutoHyphens/>
              <w:adjustRightInd w:val="0"/>
              <w:snapToGrid w:val="0"/>
              <w:spacing w:after="0" w:line="240" w:lineRule="auto"/>
              <w:jc w:val="center"/>
              <w:rPr>
                <w:rFonts w:hint="eastAsia" w:ascii="仿宋_GB2312" w:hAnsi="仿宋_GB2312" w:cs="仿宋_GB2312"/>
                <w:b/>
                <w:bCs/>
                <w:kern w:val="0"/>
                <w:sz w:val="20"/>
                <w:szCs w:val="20"/>
              </w:rPr>
            </w:pPr>
            <w:r>
              <w:rPr>
                <w:rFonts w:hint="eastAsia" w:ascii="仿宋_GB2312" w:hAnsi="仿宋_GB2312" w:cs="仿宋_GB2312"/>
                <w:b/>
                <w:bCs/>
                <w:kern w:val="0"/>
                <w:sz w:val="20"/>
                <w:szCs w:val="20"/>
              </w:rPr>
              <w:t>隐患分类</w:t>
            </w:r>
          </w:p>
        </w:tc>
        <w:tc>
          <w:tcPr>
            <w:tcW w:w="1016" w:type="pct"/>
            <w:vMerge w:val="restart"/>
            <w:shd w:val="clear" w:color="000000" w:fill="95B3D7" w:themeFill="accent1" w:themeFillTint="99"/>
            <w:noWrap/>
            <w:vAlign w:val="center"/>
          </w:tcPr>
          <w:p>
            <w:pPr>
              <w:widowControl/>
              <w:adjustRightInd w:val="0"/>
              <w:snapToGrid w:val="0"/>
              <w:spacing w:after="0" w:line="240" w:lineRule="auto"/>
              <w:jc w:val="center"/>
              <w:rPr>
                <w:rFonts w:hint="eastAsia" w:ascii="仿宋_GB2312" w:hAnsi="仿宋_GB2312" w:cs="仿宋_GB2312"/>
                <w:b/>
                <w:bCs/>
                <w:kern w:val="0"/>
                <w:sz w:val="20"/>
                <w:szCs w:val="20"/>
              </w:rPr>
            </w:pPr>
            <w:r>
              <w:rPr>
                <w:rFonts w:hint="eastAsia" w:ascii="仿宋_GB2312" w:hAnsi="仿宋_GB2312" w:cs="仿宋_GB2312"/>
                <w:b/>
                <w:bCs/>
                <w:kern w:val="0"/>
                <w:sz w:val="20"/>
                <w:szCs w:val="20"/>
              </w:rPr>
              <w:t>自查内容</w:t>
            </w:r>
          </w:p>
        </w:tc>
        <w:tc>
          <w:tcPr>
            <w:tcW w:w="1365" w:type="pct"/>
            <w:vMerge w:val="restart"/>
            <w:shd w:val="clear" w:color="000000" w:fill="95B3D7" w:themeFill="accent1" w:themeFillTint="99"/>
            <w:noWrap/>
            <w:vAlign w:val="center"/>
          </w:tcPr>
          <w:p>
            <w:pPr>
              <w:widowControl/>
              <w:adjustRightInd w:val="0"/>
              <w:snapToGrid w:val="0"/>
              <w:spacing w:after="0" w:line="240" w:lineRule="auto"/>
              <w:jc w:val="center"/>
              <w:rPr>
                <w:rFonts w:hint="eastAsia" w:ascii="仿宋_GB2312" w:hAnsi="仿宋_GB2312" w:cs="仿宋_GB2312"/>
                <w:b/>
                <w:bCs/>
                <w:kern w:val="0"/>
                <w:sz w:val="20"/>
                <w:szCs w:val="20"/>
              </w:rPr>
            </w:pPr>
            <w:r>
              <w:rPr>
                <w:rFonts w:hint="eastAsia" w:ascii="仿宋_GB2312" w:hAnsi="仿宋_GB2312" w:cs="仿宋_GB2312"/>
                <w:b/>
                <w:bCs/>
                <w:kern w:val="0"/>
                <w:sz w:val="20"/>
                <w:szCs w:val="20"/>
              </w:rPr>
              <w:t>自查标准</w:t>
            </w:r>
          </w:p>
        </w:tc>
        <w:tc>
          <w:tcPr>
            <w:tcW w:w="1348" w:type="pct"/>
            <w:vMerge w:val="restart"/>
            <w:shd w:val="clear" w:color="000000" w:fill="95B3D7" w:themeFill="accent1" w:themeFillTint="99"/>
            <w:noWrap/>
            <w:vAlign w:val="center"/>
          </w:tcPr>
          <w:p>
            <w:pPr>
              <w:widowControl/>
              <w:adjustRightInd w:val="0"/>
              <w:snapToGrid w:val="0"/>
              <w:spacing w:after="0" w:line="240" w:lineRule="auto"/>
              <w:jc w:val="center"/>
              <w:rPr>
                <w:rFonts w:hint="eastAsia" w:ascii="仿宋_GB2312" w:hAnsi="仿宋_GB2312" w:cs="仿宋_GB2312"/>
                <w:b/>
                <w:bCs/>
                <w:kern w:val="0"/>
                <w:sz w:val="20"/>
                <w:szCs w:val="20"/>
              </w:rPr>
            </w:pPr>
            <w:r>
              <w:rPr>
                <w:rFonts w:hint="eastAsia" w:ascii="仿宋_GB2312" w:hAnsi="仿宋_GB2312" w:cs="仿宋_GB2312"/>
                <w:b/>
                <w:bCs/>
                <w:kern w:val="0"/>
                <w:sz w:val="20"/>
                <w:szCs w:val="20"/>
              </w:rPr>
              <w:t>依据</w:t>
            </w:r>
          </w:p>
        </w:tc>
        <w:tc>
          <w:tcPr>
            <w:tcW w:w="157" w:type="pct"/>
            <w:vMerge w:val="restart"/>
            <w:shd w:val="clear" w:color="000000" w:fill="95B3D7" w:themeFill="accent1" w:themeFillTint="99"/>
            <w:noWrap/>
            <w:vAlign w:val="center"/>
          </w:tcPr>
          <w:p>
            <w:pPr>
              <w:widowControl/>
              <w:adjustRightInd w:val="0"/>
              <w:snapToGrid w:val="0"/>
              <w:spacing w:after="0" w:line="240" w:lineRule="auto"/>
              <w:jc w:val="center"/>
              <w:rPr>
                <w:rFonts w:hint="eastAsia" w:ascii="仿宋_GB2312" w:hAnsi="仿宋_GB2312" w:cs="仿宋_GB2312"/>
                <w:b/>
                <w:bCs/>
                <w:kern w:val="0"/>
                <w:sz w:val="20"/>
                <w:szCs w:val="20"/>
              </w:rPr>
            </w:pPr>
            <w:r>
              <w:rPr>
                <w:rFonts w:hint="eastAsia" w:ascii="仿宋_GB2312" w:hAnsi="仿宋_GB2312" w:cs="仿宋_GB2312"/>
                <w:b/>
                <w:bCs/>
                <w:kern w:val="0"/>
                <w:sz w:val="20"/>
                <w:szCs w:val="20"/>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0" w:hRule="atLeast"/>
          <w:tblHeader/>
          <w:jc w:val="center"/>
        </w:trPr>
        <w:tc>
          <w:tcPr>
            <w:tcW w:w="342" w:type="pct"/>
            <w:vMerge w:val="continue"/>
            <w:vAlign w:val="center"/>
          </w:tcPr>
          <w:p>
            <w:pPr>
              <w:widowControl/>
              <w:suppressAutoHyphens/>
              <w:adjustRightInd w:val="0"/>
              <w:snapToGrid w:val="0"/>
              <w:spacing w:after="0" w:line="240" w:lineRule="auto"/>
              <w:jc w:val="center"/>
              <w:rPr>
                <w:rFonts w:hint="eastAsia" w:ascii="仿宋_GB2312" w:hAnsi="仿宋_GB2312" w:cs="仿宋_GB2312"/>
                <w:b/>
                <w:bCs/>
                <w:kern w:val="0"/>
                <w:sz w:val="20"/>
                <w:szCs w:val="20"/>
              </w:rPr>
            </w:pPr>
          </w:p>
        </w:tc>
        <w:tc>
          <w:tcPr>
            <w:tcW w:w="378" w:type="pct"/>
            <w:shd w:val="clear" w:color="000000" w:fill="95B3D7" w:themeFill="accent1" w:themeFillTint="99"/>
            <w:noWrap/>
            <w:vAlign w:val="center"/>
          </w:tcPr>
          <w:p>
            <w:pPr>
              <w:widowControl/>
              <w:suppressAutoHyphens/>
              <w:adjustRightInd w:val="0"/>
              <w:snapToGrid w:val="0"/>
              <w:spacing w:after="0" w:line="240" w:lineRule="auto"/>
              <w:jc w:val="center"/>
              <w:rPr>
                <w:rFonts w:hint="eastAsia" w:ascii="仿宋_GB2312" w:hAnsi="仿宋_GB2312" w:cs="仿宋_GB2312"/>
                <w:b/>
                <w:bCs/>
                <w:kern w:val="0"/>
                <w:sz w:val="20"/>
                <w:szCs w:val="20"/>
              </w:rPr>
            </w:pPr>
            <w:r>
              <w:rPr>
                <w:rFonts w:hint="eastAsia" w:ascii="仿宋_GB2312" w:hAnsi="仿宋_GB2312" w:cs="仿宋_GB2312"/>
                <w:b/>
                <w:bCs/>
                <w:kern w:val="0"/>
                <w:sz w:val="20"/>
                <w:szCs w:val="20"/>
              </w:rPr>
              <w:t>“一类”隐患</w:t>
            </w:r>
          </w:p>
        </w:tc>
        <w:tc>
          <w:tcPr>
            <w:tcW w:w="390" w:type="pct"/>
            <w:shd w:val="clear" w:color="000000" w:fill="95B3D7" w:themeFill="accent1" w:themeFillTint="99"/>
            <w:noWrap/>
            <w:vAlign w:val="center"/>
          </w:tcPr>
          <w:p>
            <w:pPr>
              <w:widowControl/>
              <w:suppressAutoHyphens/>
              <w:adjustRightInd w:val="0"/>
              <w:snapToGrid w:val="0"/>
              <w:spacing w:after="0" w:line="240" w:lineRule="auto"/>
              <w:jc w:val="center"/>
              <w:rPr>
                <w:rFonts w:hint="eastAsia" w:ascii="仿宋_GB2312" w:hAnsi="仿宋_GB2312" w:cs="仿宋_GB2312"/>
                <w:b/>
                <w:bCs/>
                <w:kern w:val="0"/>
                <w:sz w:val="20"/>
                <w:szCs w:val="20"/>
              </w:rPr>
            </w:pPr>
            <w:r>
              <w:rPr>
                <w:rFonts w:hint="eastAsia" w:ascii="仿宋_GB2312" w:hAnsi="仿宋_GB2312" w:cs="仿宋_GB2312"/>
                <w:b/>
                <w:bCs/>
                <w:kern w:val="0"/>
                <w:sz w:val="20"/>
                <w:szCs w:val="20"/>
              </w:rPr>
              <w:t>“二类”隐患</w:t>
            </w:r>
          </w:p>
        </w:tc>
        <w:tc>
          <w:tcPr>
            <w:tcW w:w="1016" w:type="pct"/>
            <w:vMerge w:val="continue"/>
            <w:vAlign w:val="center"/>
          </w:tcPr>
          <w:p>
            <w:pPr>
              <w:widowControl/>
              <w:adjustRightInd w:val="0"/>
              <w:snapToGrid w:val="0"/>
              <w:spacing w:after="0" w:line="240" w:lineRule="auto"/>
              <w:jc w:val="left"/>
              <w:rPr>
                <w:rFonts w:hint="eastAsia" w:ascii="仿宋_GB2312" w:hAnsi="仿宋_GB2312" w:cs="仿宋_GB2312"/>
                <w:kern w:val="0"/>
                <w:sz w:val="20"/>
                <w:szCs w:val="20"/>
              </w:rPr>
            </w:pPr>
          </w:p>
        </w:tc>
        <w:tc>
          <w:tcPr>
            <w:tcW w:w="1365" w:type="pct"/>
            <w:vMerge w:val="continue"/>
            <w:vAlign w:val="center"/>
          </w:tcPr>
          <w:p>
            <w:pPr>
              <w:widowControl/>
              <w:adjustRightInd w:val="0"/>
              <w:snapToGrid w:val="0"/>
              <w:spacing w:after="0" w:line="240" w:lineRule="auto"/>
              <w:jc w:val="left"/>
              <w:rPr>
                <w:rFonts w:hint="eastAsia" w:ascii="仿宋_GB2312" w:hAnsi="仿宋_GB2312" w:cs="仿宋_GB2312"/>
                <w:kern w:val="0"/>
                <w:sz w:val="20"/>
                <w:szCs w:val="20"/>
              </w:rPr>
            </w:pPr>
          </w:p>
        </w:tc>
        <w:tc>
          <w:tcPr>
            <w:tcW w:w="1348" w:type="pct"/>
            <w:vMerge w:val="continue"/>
            <w:vAlign w:val="center"/>
          </w:tcPr>
          <w:p>
            <w:pPr>
              <w:widowControl/>
              <w:adjustRightInd w:val="0"/>
              <w:snapToGrid w:val="0"/>
              <w:spacing w:after="0" w:line="240" w:lineRule="auto"/>
              <w:jc w:val="left"/>
              <w:rPr>
                <w:rFonts w:hint="eastAsia" w:ascii="仿宋_GB2312" w:hAnsi="仿宋_GB2312" w:cs="仿宋_GB2312"/>
                <w:kern w:val="0"/>
                <w:sz w:val="20"/>
                <w:szCs w:val="20"/>
              </w:rPr>
            </w:pPr>
          </w:p>
        </w:tc>
        <w:tc>
          <w:tcPr>
            <w:tcW w:w="157" w:type="pct"/>
            <w:vMerge w:val="continue"/>
            <w:vAlign w:val="center"/>
          </w:tcPr>
          <w:p>
            <w:pPr>
              <w:widowControl/>
              <w:adjustRightInd w:val="0"/>
              <w:snapToGrid w:val="0"/>
              <w:spacing w:after="0" w:line="240" w:lineRule="auto"/>
              <w:jc w:val="left"/>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kern w:val="0"/>
                <w:sz w:val="20"/>
                <w:szCs w:val="20"/>
              </w:rPr>
            </w:pPr>
            <w:r>
              <w:rPr>
                <w:rFonts w:hint="eastAsia" w:ascii="仿宋_GB2312" w:hAnsi="仿宋_GB2312" w:cs="仿宋_GB2312"/>
                <w:kern w:val="0"/>
                <w:sz w:val="20"/>
                <w:szCs w:val="20"/>
              </w:rPr>
              <w:t>02.1.02.001</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基础资料类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机构及人员配备类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未按要求设置安全生产管理机构或配备专（兼）职安全生产管理人员。</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生产经营单位，应当按照下列规定设置安全生产管理机构或者配备安全生产管理人员：</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（一）从业人员总数超过300人的，应当设置安全生产管理机构，按照不少于从业人员总数0.5%的比例配备专职安全生产管理人员，且最低不得少于3人；</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（二）从业人员总数超过100人且在300人以下的，应当配备不少于2人的专职安全生产管理人员；</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（三）从业人员总数在100人以下的，应当配备专职或者兼职安全生产管理人员，或者委托依法设立的安全生产技术、管理服务机构提供安全生产管理服务。</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《中华人民共和国安全生产法》第二十四条</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《北京市安全生产条例》第二十条</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《北京市生产经营单位安全生产主体责任规定》（北京市人民政府令第285号）第十二条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kern w:val="0"/>
                <w:sz w:val="20"/>
                <w:szCs w:val="20"/>
              </w:rPr>
            </w:pPr>
            <w:r>
              <w:rPr>
                <w:rFonts w:hint="eastAsia" w:ascii="仿宋_GB2312" w:hAnsi="仿宋_GB2312" w:cs="仿宋_GB2312"/>
                <w:kern w:val="0"/>
                <w:sz w:val="20"/>
                <w:szCs w:val="20"/>
              </w:rPr>
              <w:t>02.1.03.002</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基础资料类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责任制类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未建立涉及使用危险化学品的安全生产责任制，或安全生产责任制针对危险化学品使用内容整体缺失、不完善。</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单位应建立全员安全生产责任制，完善各有关岗位涉及危险化学品使用的安全生产职责：</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1.主要负责人、安全生产管理人员、各岗位人员的安全生产职责；</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2.安全生产管理机构、各部门的安全生产职责；</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3.安全生产责任考核及奖惩。</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《中华人民共和国安全生产法》第四条、第二十一条、第二十二条</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《中华人民共和国危险化学品安全法》第五条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sz w:val="20"/>
                <w:szCs w:val="20"/>
              </w:rPr>
            </w:pPr>
            <w:r>
              <w:rPr>
                <w:rFonts w:hint="eastAsia" w:ascii="仿宋_GB2312" w:hAnsi="仿宋_GB2312" w:cs="仿宋_GB2312"/>
                <w:kern w:val="0"/>
                <w:sz w:val="20"/>
                <w:szCs w:val="20"/>
              </w:rPr>
              <w:t>02.1.04.003</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基础资料类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制度类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未建立涉及使用危险化学品的安全生产安全管理制度，或安全生产管理制度未根据法律法规调整、危险化学品使用情况变化及时审核、更新。</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单位应建立健全安全管理规章制度：</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1.单位的安全管理规章制度应涵盖使用危险化学品的安全风险分级管控和隐患排查治理双重预防机制；</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2.规章制度应明确单位主要负责人对本单位的危险化学品安全生产工作全面负责。</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《中华人民共和国安全生产法》第三十九条</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《中华人民共和国危险化学品安全法》第五条、第四十七条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kern w:val="0"/>
                <w:sz w:val="20"/>
                <w:szCs w:val="20"/>
              </w:rPr>
            </w:pPr>
            <w:r>
              <w:rPr>
                <w:rFonts w:hint="eastAsia" w:ascii="仿宋_GB2312" w:hAnsi="仿宋_GB2312" w:cs="仿宋_GB2312"/>
                <w:kern w:val="0"/>
                <w:sz w:val="20"/>
                <w:szCs w:val="20"/>
              </w:rPr>
              <w:t>02.1.05.004</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基础资料类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操作规程类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未制定安全操作规程，或安全操作规程未覆盖本单位生产经营活动的全过程，或安全操作规程未明确适用范围、岗位存在的危险有害因素、安全操作要求、作业防护要求、禁止事项、紧急情况现场处置措施6项要素编制。</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应按照法律、法规、规章和国家标准、行业标准，在危险有害因素辨识的基础上，结合工艺流程、技术设备特点以及原辅料危险性等制定安全操作规程或工艺控制指标。安全操作规程正文应包括以下6项要素，各要素内容应符合其岗位实际：a）适用范围；b）安全操作要求；c）岗位存在的危险有害因素；d）作业防护要求；e）禁止事项；f）紧急情况现场处置措施。</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《中华人民共和国安全生产法》第二十一条</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《中华人民共和国危险化学品安全法》第四十七条</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《北京市安全生产条例》第二十二条</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《北京市生产经营单位安全生产主体责任规定》（北京市人民政府令第285号）第八条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sz w:val="20"/>
                <w:szCs w:val="20"/>
              </w:rPr>
            </w:pPr>
            <w:r>
              <w:rPr>
                <w:rFonts w:hint="eastAsia" w:ascii="仿宋_GB2312" w:hAnsi="仿宋_GB2312" w:cs="仿宋_GB2312"/>
                <w:sz w:val="20"/>
                <w:szCs w:val="20"/>
              </w:rPr>
              <w:t>02.1.10.005</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基础资料类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教育培训类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eastAsia="仿宋_GB2312" w:cs="仿宋_GB2312"/>
                <w:sz w:val="20"/>
                <w:szCs w:val="20"/>
                <w:lang w:eastAsia="zh-CN"/>
              </w:rPr>
            </w:pPr>
            <w:r>
              <w:rPr>
                <w:rFonts w:hint="eastAsia" w:ascii="仿宋_GB2312" w:hAnsi="仿宋_GB2312" w:cs="仿宋_GB2312"/>
                <w:sz w:val="20"/>
                <w:szCs w:val="20"/>
              </w:rPr>
              <w:t>未制订涉及使用危险化学品的年度安全生产培训计划；未建立涉及使用危险化学品的安全生产教育培训档案或档案内容不齐全</w:t>
            </w:r>
            <w:r>
              <w:rPr>
                <w:rFonts w:hint="eastAsia" w:ascii="仿宋_GB2312" w:hAnsi="仿宋_GB2312" w:cs="仿宋_GB2312"/>
                <w:sz w:val="20"/>
                <w:szCs w:val="20"/>
                <w:lang w:eastAsia="zh-CN"/>
              </w:rPr>
              <w:t>。</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单位应制订本单位涉及使用危险化学品的年度安全生产培训计划；</w:t>
            </w:r>
          </w:p>
          <w:p>
            <w:pPr>
              <w:suppressAutoHyphens/>
              <w:autoSpaceDE w:val="0"/>
              <w:autoSpaceDN w:val="0"/>
              <w:adjustRightInd w:val="0"/>
              <w:snapToGrid w:val="0"/>
              <w:spacing w:after="0" w:line="240" w:lineRule="auto"/>
              <w:rPr>
                <w:rFonts w:hint="eastAsia" w:ascii="仿宋_GB2312" w:hAnsi="仿宋_GB2312" w:eastAsia="仿宋_GB2312" w:cs="仿宋_GB2312"/>
                <w:sz w:val="20"/>
                <w:szCs w:val="20"/>
                <w:lang w:eastAsia="zh-CN"/>
              </w:rPr>
            </w:pPr>
            <w:r>
              <w:rPr>
                <w:rFonts w:hint="eastAsia" w:ascii="仿宋_GB2312" w:hAnsi="仿宋_GB2312" w:cs="仿宋_GB2312"/>
                <w:sz w:val="20"/>
                <w:szCs w:val="20"/>
              </w:rPr>
              <w:t>单位应建立安全生产教育培训档案，且档案内容齐全，包括培训记录表、培训签到表、培训试卷等有关书面材料和图片资料</w:t>
            </w:r>
            <w:r>
              <w:rPr>
                <w:rFonts w:hint="eastAsia" w:ascii="仿宋_GB2312" w:hAnsi="仿宋_GB2312" w:cs="仿宋_GB2312"/>
                <w:sz w:val="20"/>
                <w:szCs w:val="20"/>
                <w:lang w:eastAsia="zh-CN"/>
              </w:rPr>
              <w:t>。</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《中华人民共和国安全生产法》第二十一条（三）、第二十八条</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《中华人民共和国危险化学品安全法》第五条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kern w:val="0"/>
                <w:sz w:val="20"/>
                <w:szCs w:val="20"/>
              </w:rPr>
            </w:pPr>
            <w:r>
              <w:rPr>
                <w:rFonts w:hint="eastAsia" w:ascii="仿宋_GB2312" w:hAnsi="仿宋_GB2312" w:cs="仿宋_GB2312"/>
                <w:kern w:val="0"/>
                <w:sz w:val="20"/>
                <w:szCs w:val="20"/>
              </w:rPr>
              <w:t>02.1.07.006</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基础资料类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风险辨识类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未开展安全风险辨识评估，未按照安全风险分级采取相应的管控措施。未根据生产经营活动的特点，制定安全风险辨识程序和方法，全面开展安全风险辨识和评估。未根据风险评估的结果从组织、制度、技术、应急等方面对安全风险进行有效管控。</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生产经营单位应当按照下列规定开展安全风险分级管控：</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（一）根据本单位生产经营活动的特点，制定安全风险辨识程序和方法，全面开展安全风险辨识和评估；</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（二）对辨识出的安全风险进行分类梳理，确定安全风险等级；</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（三）从制度、技术、应急等方面，对安全风险进行有效管控；</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（四）建立安全风险公告制度，告知从业人员安全风险基本情况和防范措施。</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《北京市安全生产条例》第二十七条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sz w:val="20"/>
                <w:szCs w:val="20"/>
              </w:rPr>
            </w:pPr>
            <w:r>
              <w:rPr>
                <w:rFonts w:hint="eastAsia" w:ascii="仿宋_GB2312" w:hAnsi="仿宋_GB2312" w:cs="仿宋_GB2312"/>
                <w:sz w:val="20"/>
                <w:szCs w:val="20"/>
              </w:rPr>
              <w:t>02.1.08.007</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基础资料类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隐患排查类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未督促、检查本单位的安全生产工作，及时消除生产安全事故隐患；未按照要求使用生产安全事故隐患排查治理信息系统，如实记录事故隐患情况，未对事故隐患治理实行闭环管理。</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生产经营单位应当按照要求使用生产安全事故隐患排查治理信息系统，如实记录事故隐患的排查时间、所属类型、所在位置、责任部门和责任人、治理措施及整改情况等内容。</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《北京市生产安全事故隐患排查治理办法》（北京市人民政府令第266号）第十六条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kern w:val="0"/>
                <w:sz w:val="20"/>
                <w:szCs w:val="20"/>
              </w:rPr>
            </w:pPr>
            <w:r>
              <w:rPr>
                <w:rFonts w:hint="eastAsia" w:ascii="仿宋_GB2312" w:hAnsi="仿宋_GB2312" w:cs="仿宋_GB2312"/>
                <w:kern w:val="0"/>
                <w:sz w:val="20"/>
                <w:szCs w:val="20"/>
              </w:rPr>
              <w:t>02.1.09.008</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基础资料类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应急救援类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未按要求编制应急救援预案、应急处置方案或未及时修订。</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单位应按要求针对使用危险化学品编制应急救援预案或应急处置方案等或并及时、定期修订。</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《中华人民共和国危险化学品安全法》第九十一条</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《生产安全事故应急条例》第五条、第六条</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《生产安全事故应急预案管理办法》（应急管理部令第2号）第十三条到第十九条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sz w:val="20"/>
                <w:szCs w:val="20"/>
              </w:rPr>
            </w:pPr>
            <w:r>
              <w:rPr>
                <w:rFonts w:hint="eastAsia" w:ascii="仿宋_GB2312" w:hAnsi="仿宋_GB2312" w:cs="仿宋_GB2312"/>
                <w:kern w:val="0"/>
                <w:sz w:val="20"/>
                <w:szCs w:val="20"/>
              </w:rPr>
              <w:t>02.1.09.009</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基础资料类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应急救援类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未根据实际需求配备涉及使用危险化学品的应急设施和装备、储备应急物资、指定专人负责管理，未建立使用状况的台账，未定期检测和维护。</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应根据本单位使用危险化学品实际需求：</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1.配备必要的应急设施和装备，储备应急物资，指定专人负责管理；</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2.应建立应急设施和装备、应急物资的使用台账；</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3.定期检测和维护，使其处于良好状态。</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《中华人民共和国安全生产法》第八十二条</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《中华人民共和国危险化学品安全法》第九十一条</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《生产安全事故应急预案管理办法》（应急管理部令第2号）第三十八条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kern w:val="0"/>
                <w:sz w:val="20"/>
                <w:szCs w:val="20"/>
              </w:rPr>
            </w:pPr>
            <w:r>
              <w:rPr>
                <w:rFonts w:hint="eastAsia" w:ascii="仿宋_GB2312" w:hAnsi="仿宋_GB2312" w:cs="仿宋_GB2312"/>
                <w:kern w:val="0"/>
                <w:sz w:val="20"/>
                <w:szCs w:val="20"/>
              </w:rPr>
              <w:t>02.1.09.010</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基础资料类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应急救援类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未按规定针对涉及使用危险化学品的实际情况定期组织应急演练。</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单位应按规定针对使用危险化学品业务定期组织应急演练，提高从业人员的应急处置能力。</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《中华人民共和国安全生产法》第八十四条</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《中华人民共和国危险化学品安全法》第九十一条</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《生产安全事故应急条例》第六、八条</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《生产安全事故应急预案管理办法》（应急管理部令第2号）第三十三、三十五、三十六条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kern w:val="0"/>
                <w:sz w:val="20"/>
                <w:szCs w:val="20"/>
              </w:rPr>
            </w:pPr>
            <w:r>
              <w:rPr>
                <w:rFonts w:hint="eastAsia" w:ascii="仿宋_GB2312" w:hAnsi="仿宋_GB2312" w:cs="仿宋_GB2312"/>
                <w:kern w:val="0"/>
                <w:sz w:val="20"/>
                <w:szCs w:val="20"/>
              </w:rPr>
              <w:t>02.1.12.011</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基础资料类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相关方管理</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eastAsia="仿宋_GB2312" w:cs="仿宋_GB2312"/>
                <w:sz w:val="20"/>
                <w:szCs w:val="20"/>
                <w:lang w:eastAsia="zh-CN"/>
              </w:rPr>
            </w:pPr>
            <w:r>
              <w:rPr>
                <w:rFonts w:hint="eastAsia" w:ascii="仿宋_GB2312" w:hAnsi="仿宋_GB2312" w:cs="仿宋_GB2312"/>
                <w:sz w:val="20"/>
                <w:szCs w:val="20"/>
              </w:rPr>
              <w:t>未对承包单位、承租单位的安全生产工作统一协调、管理，或者未定期进行安全检查的</w:t>
            </w:r>
            <w:r>
              <w:rPr>
                <w:rFonts w:hint="eastAsia" w:ascii="仿宋_GB2312" w:hAnsi="仿宋_GB2312" w:cs="仿宋_GB2312"/>
                <w:sz w:val="20"/>
                <w:szCs w:val="20"/>
                <w:lang w:eastAsia="zh-CN"/>
              </w:rPr>
              <w:t>。</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eastAsia="仿宋_GB2312" w:cs="仿宋_GB2312"/>
                <w:sz w:val="20"/>
                <w:szCs w:val="20"/>
                <w:lang w:eastAsia="zh-CN"/>
              </w:rPr>
            </w:pPr>
            <w:r>
              <w:rPr>
                <w:rFonts w:hint="eastAsia" w:ascii="仿宋_GB2312" w:hAnsi="仿宋_GB2312" w:cs="仿宋_GB2312"/>
                <w:sz w:val="20"/>
                <w:szCs w:val="20"/>
              </w:rPr>
              <w:t>工贸企业未对承包单位、承租单位的安全生产工作统一协调、管理，或者未定期进行安全检查的应当判定为重大事故隐患</w:t>
            </w:r>
            <w:r>
              <w:rPr>
                <w:rFonts w:hint="eastAsia" w:ascii="仿宋_GB2312" w:hAnsi="仿宋_GB2312" w:cs="仿宋_GB2312"/>
                <w:sz w:val="20"/>
                <w:szCs w:val="20"/>
                <w:lang w:eastAsia="zh-CN"/>
              </w:rPr>
              <w:t>。</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《工贸企业重大事故隐患判定标准》（应急管理部令第10号）第三条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r>
              <w:rPr>
                <w:rFonts w:hint="eastAsia" w:ascii="仿宋_GB2312" w:hAnsi="仿宋_GB2312" w:cs="仿宋_GB2312"/>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kern w:val="0"/>
                <w:sz w:val="20"/>
                <w:szCs w:val="20"/>
              </w:rPr>
            </w:pPr>
            <w:r>
              <w:rPr>
                <w:rFonts w:hint="eastAsia" w:ascii="仿宋_GB2312" w:hAnsi="仿宋_GB2312" w:cs="仿宋_GB2312"/>
                <w:kern w:val="0"/>
                <w:sz w:val="20"/>
                <w:szCs w:val="20"/>
              </w:rPr>
              <w:t>02.1.14.012</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基础资料类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劳动防护用品类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未为从业人员提供符合国家标准或者行业标准的劳动防护用品。未监督、教育从业人员按照使用规则佩戴、使用。从业人员未正确佩戴和使用劳动防护用品。</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生产经营单位必须为从业人员提供符合国家标准或者行业标准的劳动防护用品，并监督、教育从业人员按照使用规则佩戴、使用。</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《中华人民共和国安全生产法》第四十五条；第五十七条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sz w:val="20"/>
                <w:szCs w:val="20"/>
              </w:rPr>
            </w:pPr>
            <w:r>
              <w:rPr>
                <w:rFonts w:hint="eastAsia" w:ascii="仿宋_GB2312" w:hAnsi="仿宋_GB2312" w:cs="仿宋_GB2312"/>
                <w:kern w:val="0"/>
                <w:sz w:val="20"/>
                <w:szCs w:val="20"/>
              </w:rPr>
              <w:t>02.1.06.013</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基础资料类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记录档案类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危险化学品采购单位未如实登记危险化学品购买、出入库、领取、使用、归还、处置等信息。危险化学品采购单位未通过本市危险化学品信息平台开展危险化学品交易活动，未实现危险化学品全过程可追溯。</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危险化学品采购单位应当如实登记危险化学品购买、出入库、领取、使用、归还、处置等信息。危险化学品采购单位通过本市危险化学品信息平台开展危险化学品交易活动，实现危险化学品全过程可追溯。</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《北京市安全生产条例》第四十六条；</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《危险化学品全流程追溯管理技术规范》（DB11/T 2196-2023）第6.4条</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《危险化学品气瓶追溯技术规范》（DB11/T 1530-2018）第4.6条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sz w:val="20"/>
                <w:szCs w:val="20"/>
              </w:rPr>
            </w:pPr>
            <w:r>
              <w:rPr>
                <w:rFonts w:hint="eastAsia" w:ascii="仿宋_GB2312" w:hAnsi="仿宋_GB2312" w:cs="仿宋_GB2312"/>
                <w:kern w:val="0"/>
                <w:sz w:val="20"/>
                <w:szCs w:val="20"/>
              </w:rPr>
              <w:t>02.1.06.014</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基础资料类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记录档案类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购买危险化学品时未向供应商索取正式的中文版化学品安全技术说明书（SDS），化学品包装的安全标签不完整、清晰。采购无安全技术说明书和安全标签的危险化学品。化学品安全技术说明书（SDS）未妥善保管，方便使用人员获得。</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购买危险化学品时应向供应商索取正式的中文版化学品安全技术说明书（SDS），化学品包装的安全标签应完整、清晰。不得采购无安全技术说明书和安全标签的危险化学品。化学品安全技术说明书（SDS）应妥善保管，方便使用人员获得。</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《中华人民共和国危险化学品安全法》第三十一条、第五十七条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kern w:val="0"/>
                <w:sz w:val="20"/>
                <w:szCs w:val="20"/>
              </w:rPr>
            </w:pPr>
            <w:r>
              <w:rPr>
                <w:rFonts w:hint="eastAsia" w:ascii="仿宋_GB2312" w:hAnsi="仿宋_GB2312" w:cs="仿宋_GB2312"/>
                <w:kern w:val="0"/>
                <w:sz w:val="20"/>
                <w:szCs w:val="20"/>
              </w:rPr>
              <w:t>02.1.06.015</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基础资料类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记录档案类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未建立危险化学品储存台账，在危险化学品储存场所内无温湿度记录和安全检查记录。危险化学品出入储存场所时，未检验物品数量、包装等情况。</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eastAsia="仿宋_GB2312" w:cs="仿宋_GB2312"/>
                <w:sz w:val="20"/>
                <w:szCs w:val="20"/>
                <w:lang w:eastAsia="zh-CN"/>
              </w:rPr>
            </w:pPr>
            <w:r>
              <w:rPr>
                <w:rFonts w:hint="eastAsia" w:ascii="仿宋_GB2312" w:hAnsi="仿宋_GB2312" w:cs="仿宋_GB2312"/>
                <w:sz w:val="20"/>
                <w:szCs w:val="20"/>
              </w:rPr>
              <w:t>应建立危险化学品储存台账，温湿度记录和安全检查记录，危险化学品出入储存场所时，应检验物品数量、包装等情况</w:t>
            </w:r>
            <w:r>
              <w:rPr>
                <w:rFonts w:hint="eastAsia" w:ascii="仿宋_GB2312" w:hAnsi="仿宋_GB2312" w:cs="仿宋_GB2312"/>
                <w:sz w:val="20"/>
                <w:szCs w:val="20"/>
                <w:lang w:eastAsia="zh-CN"/>
              </w:rPr>
              <w:t>。</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《危险化学品储存场所建设及储存安全要求》（DB11/T 755）第5.1.1.14条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sz w:val="20"/>
                <w:szCs w:val="20"/>
              </w:rPr>
            </w:pPr>
            <w:r>
              <w:rPr>
                <w:rFonts w:hint="eastAsia" w:ascii="仿宋_GB2312" w:hAnsi="仿宋_GB2312" w:cs="仿宋_GB2312"/>
                <w:sz w:val="20"/>
                <w:szCs w:val="20"/>
              </w:rPr>
              <w:t>02.1.15.016</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基础资料类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其他类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使用危险化学品从事生产的企业，未委托具备国家规定的资质条件的机构，对本企业的安全生产条件每三年进行一次安全评价。危险化学品使用单位未委托安全评价机构，对储存场所每三年开展一次安全现状评价。</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生产、储存危险化学品的企业，应当委托具备国家规定的资质条件的机构，对本企业的安全生产条件每三年进行一次安全评价，提出安全评价报告。</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《中华人民共和国危险化学品安全法》第三十九条；</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《危险化学品储存场所建设及储存安全要求》（DB11/T 755）5.1.2.18</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sz w:val="20"/>
                <w:szCs w:val="20"/>
              </w:rPr>
            </w:pPr>
            <w:r>
              <w:rPr>
                <w:rFonts w:hint="eastAsia" w:ascii="仿宋_GB2312" w:hAnsi="仿宋_GB2312" w:cs="仿宋_GB2312"/>
                <w:kern w:val="0"/>
                <w:sz w:val="20"/>
                <w:szCs w:val="20"/>
              </w:rPr>
              <w:t>02.4.02.017</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场所环境类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建（构）筑物类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危险化学品储存场所设置在地下或半地下建、构筑物内。或危险化学品仓库设置员工宿舍、办公室、休息室等，或与其贴邻建造。</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危险化学品储存场所严禁设置在地下或半地下建、构筑物内。危险化学品仓库严禁设置员工宿舍、办公室、休息室等，或与其贴邻建造。</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《建筑防火通用规范》（GB 55037-2022）第4.2.1条、第4.2.2条、第4.2.7条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sz w:val="20"/>
                <w:szCs w:val="20"/>
              </w:rPr>
            </w:pPr>
            <w:r>
              <w:rPr>
                <w:rFonts w:hint="eastAsia" w:ascii="仿宋_GB2312" w:hAnsi="仿宋_GB2312" w:cs="仿宋_GB2312"/>
                <w:sz w:val="20"/>
                <w:szCs w:val="20"/>
              </w:rPr>
              <w:t>02.</w:t>
            </w:r>
            <w:r>
              <w:rPr>
                <w:rFonts w:hint="eastAsia" w:ascii="仿宋_GB2312" w:hAnsi="仿宋_GB2312" w:cs="仿宋_GB2312"/>
                <w:kern w:val="0"/>
                <w:sz w:val="20"/>
                <w:szCs w:val="20"/>
              </w:rPr>
              <w:t>4.02.</w:t>
            </w:r>
            <w:r>
              <w:rPr>
                <w:rFonts w:hint="eastAsia" w:ascii="仿宋_GB2312" w:hAnsi="仿宋_GB2312" w:cs="仿宋_GB2312"/>
                <w:sz w:val="20"/>
                <w:szCs w:val="20"/>
              </w:rPr>
              <w:t>018</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场所环境类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建（构）筑物类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eastAsia="仿宋_GB2312" w:cs="仿宋_GB2312"/>
                <w:sz w:val="20"/>
                <w:szCs w:val="20"/>
                <w:lang w:eastAsia="zh-CN"/>
              </w:rPr>
            </w:pPr>
            <w:r>
              <w:rPr>
                <w:rFonts w:hint="eastAsia" w:ascii="仿宋_GB2312" w:hAnsi="仿宋_GB2312" w:cs="仿宋_GB2312"/>
                <w:sz w:val="20"/>
                <w:szCs w:val="20"/>
              </w:rPr>
              <w:t>危险化学品未储存在专用仓库、专用场地、专用储存室、气瓶间或储存专柜等专门的储存场所内，露天存放</w:t>
            </w:r>
            <w:r>
              <w:rPr>
                <w:rFonts w:hint="eastAsia" w:ascii="仿宋_GB2312" w:hAnsi="仿宋_GB2312" w:cs="仿宋_GB2312"/>
                <w:sz w:val="20"/>
                <w:szCs w:val="20"/>
                <w:lang w:eastAsia="zh-CN"/>
              </w:rPr>
              <w:t>。</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eastAsia="仿宋_GB2312" w:cs="仿宋_GB2312"/>
                <w:sz w:val="20"/>
                <w:szCs w:val="20"/>
                <w:lang w:eastAsia="zh-CN"/>
              </w:rPr>
            </w:pPr>
            <w:r>
              <w:rPr>
                <w:rFonts w:hint="eastAsia" w:ascii="仿宋_GB2312" w:hAnsi="仿宋_GB2312" w:cs="仿宋_GB2312"/>
                <w:sz w:val="20"/>
                <w:szCs w:val="20"/>
              </w:rPr>
              <w:t>危险化学品应当储存在专用仓库、专用场地或者专用储存室、储存专柜内</w:t>
            </w:r>
            <w:r>
              <w:rPr>
                <w:rFonts w:hint="eastAsia" w:ascii="仿宋_GB2312" w:hAnsi="仿宋_GB2312" w:cs="仿宋_GB2312"/>
                <w:sz w:val="20"/>
                <w:szCs w:val="20"/>
                <w:lang w:eastAsia="zh-CN"/>
              </w:rPr>
              <w:t>。</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《中华人民共和国危险化学品安全法》第三十四条、第四十一条；</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《中华人民共和国危险化学品安全法》第四十一条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kern w:val="0"/>
                <w:sz w:val="20"/>
                <w:szCs w:val="20"/>
              </w:rPr>
            </w:pPr>
            <w:r>
              <w:rPr>
                <w:rFonts w:hint="eastAsia" w:ascii="仿宋_GB2312" w:hAnsi="仿宋_GB2312" w:cs="仿宋_GB2312"/>
                <w:kern w:val="0"/>
                <w:sz w:val="20"/>
                <w:szCs w:val="20"/>
              </w:rPr>
              <w:t>02.4.02.019</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场所环境类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建（构）筑物类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eastAsia="仿宋_GB2312" w:cs="仿宋_GB2312"/>
                <w:sz w:val="20"/>
                <w:szCs w:val="20"/>
                <w:lang w:eastAsia="zh-CN"/>
              </w:rPr>
            </w:pPr>
            <w:r>
              <w:rPr>
                <w:rFonts w:hint="eastAsia" w:ascii="仿宋_GB2312" w:hAnsi="仿宋_GB2312" w:cs="仿宋_GB2312"/>
                <w:sz w:val="20"/>
                <w:szCs w:val="20"/>
              </w:rPr>
              <w:t>危险化学品专用仓库的面积、防火分区及其与周边建（构）筑物、明火或散发火花地点、道路、电力线等的防火间距未满足《建筑防火通用规范》（GB55037）、《建筑设计防火规范》（GB50016）的要求</w:t>
            </w:r>
            <w:r>
              <w:rPr>
                <w:rFonts w:hint="eastAsia" w:ascii="仿宋_GB2312" w:hAnsi="仿宋_GB2312" w:cs="仿宋_GB2312"/>
                <w:sz w:val="20"/>
                <w:szCs w:val="20"/>
                <w:lang w:eastAsia="zh-CN"/>
              </w:rPr>
              <w:t>。</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eastAsia="仿宋_GB2312" w:cs="仿宋_GB2312"/>
                <w:sz w:val="20"/>
                <w:szCs w:val="20"/>
                <w:lang w:eastAsia="zh-CN"/>
              </w:rPr>
            </w:pPr>
            <w:r>
              <w:rPr>
                <w:rFonts w:hint="eastAsia" w:ascii="仿宋_GB2312" w:hAnsi="仿宋_GB2312" w:cs="仿宋_GB2312"/>
                <w:sz w:val="20"/>
                <w:szCs w:val="20"/>
              </w:rPr>
              <w:t>危险化学品专用仓库的面积、防火分区及其与周边建（构）筑物、明火或散发火花地点、道路、电力线等的防火间距应满足《建筑防火通用规范》（GB55037）、《建筑设计防火规范》（GB50016）的要求</w:t>
            </w:r>
            <w:r>
              <w:rPr>
                <w:rFonts w:hint="eastAsia" w:ascii="仿宋_GB2312" w:hAnsi="仿宋_GB2312" w:cs="仿宋_GB2312"/>
                <w:sz w:val="20"/>
                <w:szCs w:val="20"/>
                <w:lang w:eastAsia="zh-CN"/>
              </w:rPr>
              <w:t>。</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《建筑防火通用规范》（GB55037-2022）第3.2.2 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kern w:val="0"/>
                <w:sz w:val="20"/>
                <w:szCs w:val="20"/>
              </w:rPr>
            </w:pPr>
            <w:r>
              <w:rPr>
                <w:rFonts w:hint="eastAsia" w:ascii="仿宋_GB2312" w:hAnsi="仿宋_GB2312" w:cs="仿宋_GB2312"/>
                <w:kern w:val="0"/>
                <w:sz w:val="20"/>
                <w:szCs w:val="20"/>
              </w:rPr>
              <w:t>02.4.02.020</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场所环境类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建（构）筑物类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危险化学品专用仓库（专用储存室、气瓶间）的墙体未采用不燃烧材料的实体墙，且耐火等级不应低于二级。</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危险化学品专用仓库未按照《建筑防火通用规范》（GB55037）的规定设置安全出口。</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危险化学品专用仓库（专用储存室、气瓶间）的墙体应采用不燃烧材料的实体墙，且耐火等级不应低于二级。</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危险化学品专用仓库应按照《建筑防火通用规范》（GB55037）的规定设置安全出口。疏散门应采用向疏散方向开启的平开门，丙、丁、戊类仓库首层靠墙的外侧可采用推拉门或卷帘门。</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《建筑防火通用规范》（GB55037-2022）第5.2.2 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kern w:val="0"/>
                <w:sz w:val="20"/>
                <w:szCs w:val="20"/>
              </w:rPr>
            </w:pPr>
            <w:r>
              <w:rPr>
                <w:rFonts w:hint="eastAsia" w:ascii="仿宋_GB2312" w:hAnsi="仿宋_GB2312" w:cs="仿宋_GB2312"/>
                <w:kern w:val="0"/>
                <w:sz w:val="20"/>
                <w:szCs w:val="20"/>
              </w:rPr>
              <w:t>02.4.02.021</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场所环境类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建（构）筑物类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eastAsia="仿宋_GB2312" w:cs="仿宋_GB2312"/>
                <w:sz w:val="20"/>
                <w:szCs w:val="20"/>
                <w:lang w:eastAsia="zh-CN"/>
              </w:rPr>
            </w:pPr>
            <w:r>
              <w:rPr>
                <w:rFonts w:hint="eastAsia" w:ascii="仿宋_GB2312" w:hAnsi="仿宋_GB2312" w:cs="仿宋_GB2312"/>
                <w:sz w:val="20"/>
                <w:szCs w:val="20"/>
              </w:rPr>
              <w:t>氨制冷机房建筑结构未满足耐火要求</w:t>
            </w:r>
            <w:r>
              <w:rPr>
                <w:rFonts w:hint="eastAsia" w:ascii="仿宋_GB2312" w:hAnsi="仿宋_GB2312" w:cs="仿宋_GB2312"/>
                <w:sz w:val="20"/>
                <w:szCs w:val="20"/>
                <w:lang w:eastAsia="zh-CN"/>
              </w:rPr>
              <w:t>。</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eastAsia="仿宋_GB2312" w:cs="仿宋_GB2312"/>
                <w:sz w:val="20"/>
                <w:szCs w:val="20"/>
                <w:lang w:eastAsia="zh-CN"/>
              </w:rPr>
            </w:pPr>
            <w:r>
              <w:rPr>
                <w:rFonts w:hint="eastAsia" w:ascii="仿宋_GB2312" w:hAnsi="仿宋_GB2312" w:cs="仿宋_GB2312"/>
                <w:sz w:val="20"/>
                <w:szCs w:val="20"/>
              </w:rPr>
              <w:t>冷库与氨制冷机房及其控制室或变配电所贴邻布置时，相邻侧的墙体应至少有一面为防火墙，且较低一侧建筑屋顶耐火极限不应低于1.00h</w:t>
            </w:r>
            <w:r>
              <w:rPr>
                <w:rFonts w:hint="eastAsia" w:ascii="仿宋_GB2312" w:hAnsi="仿宋_GB2312" w:cs="仿宋_GB2312"/>
                <w:sz w:val="20"/>
                <w:szCs w:val="20"/>
                <w:lang w:eastAsia="zh-CN"/>
              </w:rPr>
              <w:t>。</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《冷库设计标准》（GB 50072-2021）第4.1.11条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kern w:val="0"/>
                <w:sz w:val="20"/>
                <w:szCs w:val="20"/>
              </w:rPr>
            </w:pPr>
            <w:r>
              <w:rPr>
                <w:rFonts w:hint="eastAsia" w:ascii="仿宋_GB2312" w:hAnsi="仿宋_GB2312" w:cs="仿宋_GB2312"/>
                <w:kern w:val="0"/>
                <w:sz w:val="20"/>
                <w:szCs w:val="20"/>
              </w:rPr>
              <w:t>02.4.02.022</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场所环境类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建（构）筑物类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供氢站与其他建筑物的最小防火间距未满足要求。</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eastAsia="仿宋_GB2312" w:cs="仿宋_GB2312"/>
                <w:sz w:val="20"/>
                <w:szCs w:val="20"/>
                <w:lang w:eastAsia="zh-CN"/>
              </w:rPr>
            </w:pPr>
            <w:r>
              <w:rPr>
                <w:rFonts w:hint="eastAsia" w:ascii="仿宋_GB2312" w:hAnsi="仿宋_GB2312" w:cs="仿宋_GB2312"/>
                <w:sz w:val="20"/>
                <w:szCs w:val="20"/>
              </w:rPr>
              <w:t>供氢站和其他建筑物的最小防火间距：与一、二级耐火等级建筑物不低于12m；与甲类仓库耐火等级不低于20m；与民用建筑耐火等级不低于25m；与厂内主要道路不低于10m</w:t>
            </w:r>
            <w:r>
              <w:rPr>
                <w:rFonts w:hint="eastAsia" w:ascii="仿宋_GB2312" w:hAnsi="仿宋_GB2312" w:cs="仿宋_GB2312"/>
                <w:sz w:val="20"/>
                <w:szCs w:val="20"/>
                <w:lang w:eastAsia="zh-CN"/>
              </w:rPr>
              <w:t>。</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《氢气使用安全技术规程》（GB 4962-2008）第4.1.1条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sz w:val="20"/>
                <w:szCs w:val="20"/>
              </w:rPr>
            </w:pPr>
            <w:r>
              <w:rPr>
                <w:rFonts w:hint="eastAsia" w:ascii="仿宋_GB2312" w:hAnsi="仿宋_GB2312" w:cs="仿宋_GB2312"/>
                <w:kern w:val="0"/>
                <w:sz w:val="20"/>
                <w:szCs w:val="20"/>
              </w:rPr>
              <w:t>02.4.02.023</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场所环境类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建（构）筑物类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eastAsia="仿宋_GB2312" w:cs="仿宋_GB2312"/>
                <w:sz w:val="20"/>
                <w:szCs w:val="20"/>
                <w:lang w:eastAsia="zh-CN"/>
              </w:rPr>
            </w:pPr>
            <w:r>
              <w:rPr>
                <w:rFonts w:hint="eastAsia" w:ascii="仿宋_GB2312" w:hAnsi="仿宋_GB2312" w:cs="仿宋_GB2312"/>
                <w:sz w:val="20"/>
                <w:szCs w:val="20"/>
              </w:rPr>
              <w:t>供氢站的耐火等级未满足要求</w:t>
            </w:r>
            <w:r>
              <w:rPr>
                <w:rFonts w:hint="eastAsia" w:ascii="仿宋_GB2312" w:hAnsi="仿宋_GB2312" w:cs="仿宋_GB2312"/>
                <w:sz w:val="20"/>
                <w:szCs w:val="20"/>
                <w:lang w:eastAsia="zh-CN"/>
              </w:rPr>
              <w:t>。</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eastAsia="仿宋_GB2312" w:cs="仿宋_GB2312"/>
                <w:sz w:val="20"/>
                <w:szCs w:val="20"/>
                <w:lang w:eastAsia="zh-CN"/>
              </w:rPr>
            </w:pPr>
            <w:r>
              <w:rPr>
                <w:rFonts w:hint="eastAsia" w:ascii="仿宋_GB2312" w:hAnsi="仿宋_GB2312" w:cs="仿宋_GB2312"/>
                <w:sz w:val="20"/>
                <w:szCs w:val="20"/>
              </w:rPr>
              <w:t>供氢站的耐火等级不应低于二级，应为独立的单层建筑，且不得设在建筑物的地下室、半地下室；应按GB50016的规定对站内的爆炸危险场所设置泄压设施。当实瓶数量不超过60瓶或占地面积不超过500㎡时，可与耐火等级不低于二级的用氢厂房或与耐火等级不低于二级的非明火作业的丁、戊类厂房毗连，但毗连的墙应为无门、窗及洞的防火墙</w:t>
            </w:r>
            <w:r>
              <w:rPr>
                <w:rFonts w:hint="eastAsia" w:ascii="仿宋_GB2312" w:hAnsi="仿宋_GB2312" w:cs="仿宋_GB2312"/>
                <w:sz w:val="20"/>
                <w:szCs w:val="20"/>
                <w:lang w:eastAsia="zh-CN"/>
              </w:rPr>
              <w:t>。</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《氢气使用安全技术规程》（GB 4962-2008）第4.1.11条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kern w:val="0"/>
                <w:sz w:val="20"/>
                <w:szCs w:val="20"/>
              </w:rPr>
            </w:pPr>
            <w:r>
              <w:rPr>
                <w:rFonts w:hint="eastAsia" w:ascii="仿宋_GB2312" w:hAnsi="仿宋_GB2312" w:cs="仿宋_GB2312"/>
                <w:kern w:val="0"/>
                <w:sz w:val="20"/>
                <w:szCs w:val="20"/>
              </w:rPr>
              <w:t>02.4.02.024</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场所环境类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平面布置类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储存场所未远离人员密集建筑设置。</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eastAsia="仿宋_GB2312" w:cs="仿宋_GB2312"/>
                <w:sz w:val="20"/>
                <w:szCs w:val="20"/>
                <w:lang w:eastAsia="zh-CN"/>
              </w:rPr>
            </w:pPr>
            <w:r>
              <w:rPr>
                <w:rFonts w:hint="eastAsia" w:ascii="仿宋_GB2312" w:hAnsi="仿宋_GB2312" w:cs="仿宋_GB2312"/>
                <w:sz w:val="20"/>
                <w:szCs w:val="20"/>
              </w:rPr>
              <w:t>储存场所应远离食堂、会议室、活动室等人员密集场所</w:t>
            </w:r>
            <w:r>
              <w:rPr>
                <w:rFonts w:hint="eastAsia" w:ascii="仿宋_GB2312" w:hAnsi="仿宋_GB2312" w:cs="仿宋_GB2312"/>
                <w:sz w:val="20"/>
                <w:szCs w:val="20"/>
                <w:lang w:eastAsia="zh-CN"/>
              </w:rPr>
              <w:t>。</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《危险化学品储存场所建设及储存安全要求》（DB11/T 755）第4.1.1.2条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kern w:val="0"/>
                <w:sz w:val="20"/>
                <w:szCs w:val="20"/>
              </w:rPr>
            </w:pPr>
            <w:r>
              <w:rPr>
                <w:rFonts w:hint="eastAsia" w:ascii="仿宋_GB2312" w:hAnsi="仿宋_GB2312" w:cs="仿宋_GB2312"/>
                <w:kern w:val="0"/>
                <w:sz w:val="20"/>
                <w:szCs w:val="20"/>
              </w:rPr>
              <w:t>02.4.03.025</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场所环境类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标志及标识类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危险化学品储存场所未设置明显的标志，未在危险化学品作业场所和安全设施、设备上设置明显的安全警示标志。未对其敷设的危险化学品管道设置明显标志，未对危险化学品管道定期检查、检测、巡护。</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生产、储存危险化学品的单位，应当对其敷设的危险化学品管道设置明显标志，并对危险化学品管道定期检查、检测、巡护。</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《中华人民共和国安全生产法》第三十五条；</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《中华人民共和国危险化学品安全法》第二十八条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sz w:val="20"/>
                <w:szCs w:val="20"/>
              </w:rPr>
            </w:pPr>
            <w:r>
              <w:rPr>
                <w:rFonts w:hint="eastAsia" w:ascii="仿宋_GB2312" w:hAnsi="仿宋_GB2312" w:cs="仿宋_GB2312"/>
                <w:kern w:val="0"/>
                <w:sz w:val="20"/>
                <w:szCs w:val="20"/>
              </w:rPr>
              <w:t>02.4.03.026</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场所环境类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标志及标识类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eastAsia="仿宋_GB2312" w:cs="仿宋_GB2312"/>
                <w:sz w:val="20"/>
                <w:szCs w:val="20"/>
                <w:lang w:eastAsia="zh-CN"/>
              </w:rPr>
            </w:pPr>
            <w:r>
              <w:rPr>
                <w:rFonts w:hint="eastAsia" w:ascii="仿宋_GB2312" w:hAnsi="仿宋_GB2312" w:cs="仿宋_GB2312"/>
                <w:sz w:val="20"/>
                <w:szCs w:val="20"/>
              </w:rPr>
              <w:t>危险化学品储存场所未由专人负责管理，储存场所内未张贴安全部门负责人、安全责任人和消防队、医院、公安局等应急服务机构地址和电话，以及危险化学品风险告知、现场处置方案等</w:t>
            </w:r>
            <w:r>
              <w:rPr>
                <w:rFonts w:hint="eastAsia" w:ascii="仿宋_GB2312" w:hAnsi="仿宋_GB2312" w:cs="仿宋_GB2312"/>
                <w:sz w:val="20"/>
                <w:szCs w:val="20"/>
                <w:lang w:eastAsia="zh-CN"/>
              </w:rPr>
              <w:t>。</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eastAsia="仿宋_GB2312" w:cs="仿宋_GB2312"/>
                <w:sz w:val="20"/>
                <w:szCs w:val="20"/>
                <w:lang w:eastAsia="zh-CN"/>
              </w:rPr>
            </w:pPr>
            <w:r>
              <w:rPr>
                <w:rFonts w:hint="eastAsia" w:ascii="仿宋_GB2312" w:hAnsi="仿宋_GB2312" w:cs="仿宋_GB2312"/>
                <w:sz w:val="20"/>
                <w:szCs w:val="20"/>
              </w:rPr>
              <w:t>危险化学品储存场所应由专人负责管理，储存场所内应张贴安全部门负责人、安全责任人和消防队、医院、公安局等应急服务机构地址和电话，以及危险化学品风险告知、现场处置方案等</w:t>
            </w:r>
            <w:r>
              <w:rPr>
                <w:rFonts w:hint="eastAsia" w:ascii="仿宋_GB2312" w:hAnsi="仿宋_GB2312" w:cs="仿宋_GB2312"/>
                <w:sz w:val="20"/>
                <w:szCs w:val="20"/>
                <w:lang w:eastAsia="zh-CN"/>
              </w:rPr>
              <w:t>。</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《中华人民共和国危险化学品安全法》第三十七条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sz w:val="20"/>
                <w:szCs w:val="20"/>
              </w:rPr>
            </w:pPr>
            <w:r>
              <w:rPr>
                <w:rFonts w:hint="eastAsia" w:ascii="仿宋_GB2312" w:hAnsi="仿宋_GB2312" w:cs="仿宋_GB2312"/>
                <w:kern w:val="0"/>
                <w:sz w:val="20"/>
                <w:szCs w:val="20"/>
              </w:rPr>
              <w:t>02.2.11.027</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设备设施及物料类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其他设备设施类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eastAsia="仿宋_GB2312" w:cs="仿宋_GB2312"/>
                <w:sz w:val="20"/>
                <w:szCs w:val="20"/>
                <w:lang w:eastAsia="zh-CN"/>
              </w:rPr>
            </w:pPr>
            <w:r>
              <w:rPr>
                <w:rFonts w:hint="eastAsia" w:ascii="仿宋_GB2312" w:hAnsi="仿宋_GB2312" w:cs="仿宋_GB2312"/>
                <w:sz w:val="20"/>
                <w:szCs w:val="20"/>
              </w:rPr>
              <w:t>涉及危险化学品的厂房、场所和储存设施未设置防直击雷的外部防雷装置，未采取防闪电电涌侵入的措施。各类防雷建筑物内部在使用过程中有可能遭受雷击的生产设备，未采取适当的防雷措施。建筑物防雷设施未每年检测一次；爆炸危险场所未半年检测一次</w:t>
            </w:r>
            <w:r>
              <w:rPr>
                <w:rFonts w:hint="eastAsia" w:ascii="仿宋_GB2312" w:hAnsi="仿宋_GB2312" w:cs="仿宋_GB2312"/>
                <w:sz w:val="20"/>
                <w:szCs w:val="20"/>
                <w:lang w:eastAsia="zh-CN"/>
              </w:rPr>
              <w:t>。</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eastAsia="仿宋_GB2312" w:cs="仿宋_GB2312"/>
                <w:sz w:val="20"/>
                <w:szCs w:val="20"/>
                <w:lang w:eastAsia="zh-CN"/>
              </w:rPr>
            </w:pPr>
            <w:r>
              <w:rPr>
                <w:rFonts w:hint="eastAsia" w:ascii="仿宋_GB2312" w:hAnsi="仿宋_GB2312" w:cs="仿宋_GB2312"/>
                <w:sz w:val="20"/>
                <w:szCs w:val="20"/>
              </w:rPr>
              <w:t>涉及危险化学品的厂房、场所和储存设施应当设置防直击雷的外部防雷装置，并采取防闪电电涌侵入的措施。各类防雷建筑物内部在使用过程中有可能遭受雷击的生产设备，应当采取适当的防雷措施。建筑物防雷设施应当每年检测一次，其中对爆炸危险场所应当每半年检测一次</w:t>
            </w:r>
            <w:r>
              <w:rPr>
                <w:rFonts w:hint="eastAsia" w:ascii="仿宋_GB2312" w:hAnsi="仿宋_GB2312" w:cs="仿宋_GB2312"/>
                <w:sz w:val="20"/>
                <w:szCs w:val="20"/>
                <w:lang w:eastAsia="zh-CN"/>
              </w:rPr>
              <w:t>。</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《建筑物防雷设计规范》（GB 50057-2010）第4.1.1条；</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《防雷减灾管理办法》（中国气象局令第44号）第十三条；</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《爆炸和火灾危险场所防雷装置检测技术规范》（GB/T 32937-2016）第5.2.1条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sz w:val="20"/>
                <w:szCs w:val="20"/>
              </w:rPr>
            </w:pPr>
            <w:r>
              <w:rPr>
                <w:rFonts w:hint="eastAsia" w:ascii="仿宋_GB2312" w:hAnsi="仿宋_GB2312" w:cs="仿宋_GB2312"/>
                <w:kern w:val="0"/>
                <w:sz w:val="20"/>
                <w:szCs w:val="20"/>
              </w:rPr>
              <w:t>02.2.11.028</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设备设施及物料类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其他设备设施类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有爆炸危险的危险化学品储存场所内电气设备未整体防爆。照明、事故照明设施、电气设备和输配电线路未采用防爆型。照明设施和电气设备的配电箱及电气开关未设置在仓库外并可靠接地，未安装过压、过载、短路、漏电保护设施，未采取防雨、防潮保护措施；防爆电气设备未定期检测。</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有爆炸危险的危险化学品储存场所内电气设备应整体防爆。照明、事故照明设施、电气设备和输配电线路应采用防爆型。照明设施和电气设备的配电箱及电气开关应设置在仓库外并可靠接地，并安装过压、过载、短路、漏电保护设施，采取防雨、防潮保护措施；</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应委托具有防爆专业资质的安全生产检测检验机构进行检查，时间间隔一般不超过3年。</w:t>
            </w:r>
          </w:p>
        </w:tc>
        <w:tc>
          <w:tcPr>
            <w:tcW w:w="1348" w:type="pct"/>
            <w:vAlign w:val="center"/>
          </w:tcPr>
          <w:p>
            <w:pPr>
              <w:suppressAutoHyphens/>
              <w:autoSpaceDE w:val="0"/>
              <w:autoSpaceDN w:val="0"/>
              <w:adjustRightInd w:val="0"/>
              <w:snapToGrid w:val="0"/>
              <w:spacing w:after="0" w:line="240" w:lineRule="auto"/>
              <w:rPr>
                <w:rFonts w:ascii="仿宋_GB2312" w:hAnsi="仿宋_GB2312" w:cs="仿宋_GB2312"/>
                <w:sz w:val="20"/>
                <w:szCs w:val="20"/>
              </w:rPr>
            </w:pPr>
            <w:r>
              <w:rPr>
                <w:rFonts w:hint="eastAsia" w:ascii="仿宋_GB2312" w:hAnsi="仿宋_GB2312" w:cs="仿宋_GB2312"/>
                <w:sz w:val="20"/>
                <w:szCs w:val="20"/>
              </w:rPr>
              <w:t>《爆炸危险环境电力装置设计规范》（GB 50058-2014）第5.2.3条；</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《危险场所电气防爆安全规范》（AQ 3009-2007）第7.1.3.2条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kern w:val="0"/>
                <w:sz w:val="20"/>
                <w:szCs w:val="20"/>
              </w:rPr>
            </w:pPr>
            <w:r>
              <w:rPr>
                <w:rFonts w:hint="eastAsia" w:ascii="仿宋_GB2312" w:hAnsi="仿宋_GB2312" w:cs="仿宋_GB2312"/>
                <w:kern w:val="0"/>
                <w:sz w:val="20"/>
                <w:szCs w:val="20"/>
              </w:rPr>
              <w:t>02.2.11.0</w:t>
            </w:r>
            <w:r>
              <w:rPr>
                <w:rFonts w:hint="eastAsia" w:ascii="仿宋_GB2312" w:hAnsi="仿宋_GB2312" w:cs="仿宋_GB2312"/>
                <w:kern w:val="0"/>
                <w:sz w:val="20"/>
                <w:szCs w:val="20"/>
                <w:lang w:val="en"/>
              </w:rPr>
              <w:t>29</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设备设施及物料类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其他设备设施类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eastAsia="仿宋_GB2312" w:cs="仿宋_GB2312"/>
                <w:sz w:val="20"/>
                <w:szCs w:val="20"/>
                <w:lang w:eastAsia="zh-CN"/>
              </w:rPr>
            </w:pPr>
            <w:r>
              <w:rPr>
                <w:rFonts w:hint="eastAsia" w:ascii="仿宋_GB2312" w:hAnsi="仿宋_GB2312" w:cs="仿宋_GB2312"/>
                <w:sz w:val="20"/>
                <w:szCs w:val="20"/>
              </w:rPr>
              <w:t>储存可能散发易燃、毒性气体或蒸气的危险化学品专用仓库、专用储存室和气瓶间内未设置气体浓度检测报警装置。气体浓度检测报警装置未与防爆风机联动</w:t>
            </w:r>
            <w:r>
              <w:rPr>
                <w:rFonts w:hint="eastAsia" w:ascii="仿宋_GB2312" w:hAnsi="仿宋_GB2312" w:cs="仿宋_GB2312"/>
                <w:sz w:val="20"/>
                <w:szCs w:val="20"/>
                <w:lang w:eastAsia="zh-CN"/>
              </w:rPr>
              <w:t>。</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储存可能散发易燃、毒性气体或蒸气的危险化学品专用仓库、专用储存室和气瓶间内应设置气体浓度检测报警装置。气体浓度检测报警装置应与防爆风机联动，其安装位置应符合下列要求：</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（1）检测比空气重的易燃或毒性气体检测器应安装在距地坪或楼地板 0.3m-0.6m 处；</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（2）检测比空气轻的易燃或毒性气体的检测器应安装在高出释放源 0.5m-2m 处；</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（3）检测器宜安装在无冲击、无振动、无强磁场干扰的场所，且周围留有不小于 0.3m 的净空；</w:t>
            </w:r>
          </w:p>
          <w:p>
            <w:pPr>
              <w:suppressAutoHyphens/>
              <w:autoSpaceDE w:val="0"/>
              <w:autoSpaceDN w:val="0"/>
              <w:adjustRightInd w:val="0"/>
              <w:snapToGrid w:val="0"/>
              <w:spacing w:after="0" w:line="240" w:lineRule="auto"/>
              <w:rPr>
                <w:rFonts w:hint="eastAsia" w:ascii="仿宋_GB2312" w:hAnsi="仿宋_GB2312" w:eastAsia="仿宋_GB2312" w:cs="仿宋_GB2312"/>
                <w:sz w:val="20"/>
                <w:szCs w:val="20"/>
                <w:lang w:eastAsia="zh-CN"/>
              </w:rPr>
            </w:pPr>
            <w:r>
              <w:rPr>
                <w:rFonts w:hint="eastAsia" w:ascii="仿宋_GB2312" w:hAnsi="仿宋_GB2312" w:cs="仿宋_GB2312"/>
                <w:sz w:val="20"/>
                <w:szCs w:val="20"/>
              </w:rPr>
              <w:t>（4）气体声光报警控制器应设置在专用储存室和气瓶间外并接至有人值守的值班室内</w:t>
            </w:r>
            <w:r>
              <w:rPr>
                <w:rFonts w:hint="eastAsia" w:ascii="仿宋_GB2312" w:hAnsi="仿宋_GB2312" w:cs="仿宋_GB2312"/>
                <w:sz w:val="20"/>
                <w:szCs w:val="20"/>
                <w:lang w:eastAsia="zh-CN"/>
              </w:rPr>
              <w:t>。</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《建筑设计防火规范（2018年版）》（GB 50016-2014）第8.4.3条；</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《石油化工可燃气体和有毒气体检测报警设计标准》GB/T 50493-2019 第 3.0.1 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sz w:val="20"/>
                <w:szCs w:val="20"/>
              </w:rPr>
            </w:pPr>
            <w:r>
              <w:rPr>
                <w:rFonts w:hint="eastAsia" w:ascii="仿宋_GB2312" w:hAnsi="仿宋_GB2312" w:cs="仿宋_GB2312"/>
                <w:sz w:val="20"/>
                <w:szCs w:val="20"/>
              </w:rPr>
              <w:t>02.</w:t>
            </w:r>
            <w:r>
              <w:rPr>
                <w:rFonts w:hint="eastAsia" w:ascii="仿宋_GB2312" w:hAnsi="仿宋_GB2312" w:cs="仿宋_GB2312"/>
                <w:kern w:val="0"/>
                <w:sz w:val="20"/>
                <w:szCs w:val="20"/>
              </w:rPr>
              <w:t>2.11</w:t>
            </w:r>
            <w:r>
              <w:rPr>
                <w:rFonts w:hint="eastAsia" w:ascii="仿宋_GB2312" w:hAnsi="仿宋_GB2312" w:cs="仿宋_GB2312"/>
                <w:sz w:val="20"/>
                <w:szCs w:val="20"/>
              </w:rPr>
              <w:t>.0</w:t>
            </w:r>
            <w:r>
              <w:rPr>
                <w:rFonts w:hint="eastAsia" w:ascii="仿宋_GB2312" w:hAnsi="仿宋_GB2312" w:cs="仿宋_GB2312"/>
                <w:sz w:val="20"/>
                <w:szCs w:val="20"/>
                <w:lang w:val="en"/>
              </w:rPr>
              <w:t>30</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设备设施及物料类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其他设备设施类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eastAsia="仿宋_GB2312" w:cs="仿宋_GB2312"/>
                <w:sz w:val="20"/>
                <w:szCs w:val="20"/>
                <w:lang w:eastAsia="zh-CN"/>
              </w:rPr>
            </w:pPr>
            <w:r>
              <w:rPr>
                <w:rFonts w:hint="eastAsia" w:ascii="仿宋_GB2312" w:hAnsi="仿宋_GB2312" w:cs="仿宋_GB2312"/>
                <w:sz w:val="20"/>
                <w:szCs w:val="20"/>
              </w:rPr>
              <w:t>易燃易爆危险化学品储存场所的出入口外未设置人体静电释放装置</w:t>
            </w:r>
            <w:r>
              <w:rPr>
                <w:rFonts w:hint="eastAsia" w:ascii="仿宋_GB2312" w:hAnsi="仿宋_GB2312" w:cs="仿宋_GB2312"/>
                <w:sz w:val="20"/>
                <w:szCs w:val="20"/>
                <w:lang w:eastAsia="zh-CN"/>
              </w:rPr>
              <w:t>。</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eastAsia="仿宋_GB2312" w:cs="仿宋_GB2312"/>
                <w:sz w:val="20"/>
                <w:szCs w:val="20"/>
                <w:lang w:eastAsia="zh-CN"/>
              </w:rPr>
            </w:pPr>
            <w:r>
              <w:rPr>
                <w:rFonts w:hint="eastAsia" w:ascii="仿宋_GB2312" w:hAnsi="仿宋_GB2312" w:cs="仿宋_GB2312"/>
                <w:sz w:val="20"/>
                <w:szCs w:val="20"/>
              </w:rPr>
              <w:t>易燃易爆危险化学品储存场所的出入口外应设置人体静电释放装置</w:t>
            </w:r>
            <w:r>
              <w:rPr>
                <w:rFonts w:hint="eastAsia" w:ascii="仿宋_GB2312" w:hAnsi="仿宋_GB2312" w:cs="仿宋_GB2312"/>
                <w:sz w:val="20"/>
                <w:szCs w:val="20"/>
                <w:lang w:eastAsia="zh-CN"/>
              </w:rPr>
              <w:t>。</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《防止静电事故通用要求》（GB 12158-2024）第10.5条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sz w:val="20"/>
                <w:szCs w:val="20"/>
              </w:rPr>
            </w:pPr>
            <w:r>
              <w:rPr>
                <w:rFonts w:hint="eastAsia" w:ascii="仿宋_GB2312" w:hAnsi="仿宋_GB2312" w:cs="仿宋_GB2312"/>
                <w:sz w:val="20"/>
                <w:szCs w:val="20"/>
              </w:rPr>
              <w:t>02.</w:t>
            </w:r>
            <w:r>
              <w:rPr>
                <w:rFonts w:hint="eastAsia" w:ascii="仿宋_GB2312" w:hAnsi="仿宋_GB2312" w:cs="仿宋_GB2312"/>
                <w:kern w:val="0"/>
                <w:sz w:val="20"/>
                <w:szCs w:val="20"/>
              </w:rPr>
              <w:t>2.11</w:t>
            </w:r>
            <w:r>
              <w:rPr>
                <w:rFonts w:hint="eastAsia" w:ascii="仿宋_GB2312" w:hAnsi="仿宋_GB2312" w:cs="仿宋_GB2312"/>
                <w:sz w:val="20"/>
                <w:szCs w:val="20"/>
              </w:rPr>
              <w:t>.0</w:t>
            </w:r>
            <w:r>
              <w:rPr>
                <w:rFonts w:hint="eastAsia" w:ascii="仿宋_GB2312" w:hAnsi="仿宋_GB2312" w:cs="仿宋_GB2312"/>
                <w:sz w:val="20"/>
                <w:szCs w:val="20"/>
                <w:lang w:val="en"/>
              </w:rPr>
              <w:t>31</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设备设施及物料类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其他设备设施类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eastAsia="仿宋_GB2312" w:cs="仿宋_GB2312"/>
                <w:sz w:val="20"/>
                <w:szCs w:val="20"/>
                <w:lang w:eastAsia="zh-CN"/>
              </w:rPr>
            </w:pPr>
            <w:r>
              <w:rPr>
                <w:rFonts w:hint="eastAsia" w:ascii="仿宋_GB2312" w:hAnsi="仿宋_GB2312" w:cs="仿宋_GB2312"/>
                <w:sz w:val="20"/>
                <w:szCs w:val="20"/>
              </w:rPr>
              <w:t>可能存在易燃液体、毒性液体、可燃气体、毒性气体的厂房、储存场所未设置机械通风</w:t>
            </w:r>
            <w:r>
              <w:rPr>
                <w:rFonts w:hint="eastAsia" w:ascii="仿宋_GB2312" w:hAnsi="仿宋_GB2312" w:cs="仿宋_GB2312"/>
                <w:sz w:val="20"/>
                <w:szCs w:val="20"/>
                <w:lang w:eastAsia="zh-CN"/>
              </w:rPr>
              <w:t>。</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储存场所的供暖、通风和空气调节系统应符合有关标准的要求，事故通风量宜根据工艺设计条件通过计算确定，且换气次数不应小于12次/h；</w:t>
            </w:r>
          </w:p>
          <w:p>
            <w:pPr>
              <w:suppressAutoHyphens/>
              <w:autoSpaceDE w:val="0"/>
              <w:autoSpaceDN w:val="0"/>
              <w:adjustRightInd w:val="0"/>
              <w:snapToGrid w:val="0"/>
              <w:spacing w:after="0" w:line="240" w:lineRule="auto"/>
              <w:rPr>
                <w:rFonts w:hint="eastAsia" w:ascii="仿宋_GB2312" w:hAnsi="仿宋_GB2312" w:eastAsia="仿宋_GB2312" w:cs="仿宋_GB2312"/>
                <w:sz w:val="20"/>
                <w:szCs w:val="20"/>
                <w:lang w:eastAsia="zh-CN"/>
              </w:rPr>
            </w:pPr>
            <w:r>
              <w:rPr>
                <w:rFonts w:hint="eastAsia" w:ascii="仿宋_GB2312" w:hAnsi="仿宋_GB2312" w:cs="仿宋_GB2312"/>
                <w:sz w:val="20"/>
                <w:szCs w:val="20"/>
              </w:rPr>
              <w:t>排除氢气与空气混合物时，建筑物全面排风系统室内吸风口上缘至顶棚平面或屋顶的距离不应大于0.1m，因建筑构造形成的有爆炸危险气体排出的死角处应设置导流设施</w:t>
            </w:r>
            <w:r>
              <w:rPr>
                <w:rFonts w:hint="eastAsia" w:ascii="仿宋_GB2312" w:hAnsi="仿宋_GB2312" w:cs="仿宋_GB2312"/>
                <w:sz w:val="20"/>
                <w:szCs w:val="20"/>
                <w:lang w:eastAsia="zh-CN"/>
              </w:rPr>
              <w:t>。</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《工业建筑供暖通风与空气调节设计规范》（GB 50019-2015）第6.3.10条；</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《危险化学品储存场所建设及储存安全要求》（DB11/T 755）第4.1.3.1条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sz w:val="20"/>
                <w:szCs w:val="20"/>
              </w:rPr>
            </w:pPr>
            <w:r>
              <w:rPr>
                <w:rFonts w:hint="eastAsia" w:ascii="仿宋_GB2312" w:hAnsi="仿宋_GB2312" w:cs="仿宋_GB2312"/>
                <w:sz w:val="20"/>
                <w:szCs w:val="20"/>
              </w:rPr>
              <w:t>02.</w:t>
            </w:r>
            <w:r>
              <w:rPr>
                <w:rFonts w:hint="eastAsia" w:ascii="仿宋_GB2312" w:hAnsi="仿宋_GB2312" w:cs="仿宋_GB2312"/>
                <w:kern w:val="0"/>
                <w:sz w:val="20"/>
                <w:szCs w:val="20"/>
              </w:rPr>
              <w:t>2.11</w:t>
            </w:r>
            <w:r>
              <w:rPr>
                <w:rFonts w:hint="eastAsia" w:ascii="仿宋_GB2312" w:hAnsi="仿宋_GB2312" w:cs="仿宋_GB2312"/>
                <w:sz w:val="20"/>
                <w:szCs w:val="20"/>
              </w:rPr>
              <w:t>.0</w:t>
            </w:r>
            <w:r>
              <w:rPr>
                <w:rFonts w:hint="eastAsia" w:ascii="仿宋_GB2312" w:hAnsi="仿宋_GB2312" w:cs="仿宋_GB2312"/>
                <w:sz w:val="20"/>
                <w:szCs w:val="20"/>
                <w:lang w:val="en"/>
              </w:rPr>
              <w:t>32</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设备设施及物料类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其他设备设施类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eastAsia="仿宋_GB2312" w:cs="仿宋_GB2312"/>
                <w:sz w:val="20"/>
                <w:szCs w:val="20"/>
                <w:lang w:eastAsia="zh-CN"/>
              </w:rPr>
            </w:pPr>
            <w:r>
              <w:rPr>
                <w:rFonts w:hint="eastAsia" w:ascii="仿宋_GB2312" w:hAnsi="仿宋_GB2312" w:cs="仿宋_GB2312"/>
                <w:sz w:val="20"/>
                <w:szCs w:val="20"/>
              </w:rPr>
              <w:t>应单独设置通风系统的未按要求单独设置</w:t>
            </w:r>
            <w:r>
              <w:rPr>
                <w:rFonts w:hint="eastAsia" w:ascii="仿宋_GB2312" w:hAnsi="仿宋_GB2312" w:cs="仿宋_GB2312"/>
                <w:sz w:val="20"/>
                <w:szCs w:val="20"/>
                <w:lang w:eastAsia="zh-CN"/>
              </w:rPr>
              <w:t>。</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下列情况之一时，应单独设置排风系统：</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1.不同的物质混合后能形成毒害更大或腐蚀性的混合物、化合物时；</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2.混合后易使蒸汽凝结并聚积粉尘时；</w:t>
            </w:r>
          </w:p>
          <w:p>
            <w:pPr>
              <w:suppressAutoHyphens/>
              <w:autoSpaceDE w:val="0"/>
              <w:autoSpaceDN w:val="0"/>
              <w:adjustRightInd w:val="0"/>
              <w:snapToGrid w:val="0"/>
              <w:spacing w:after="0" w:line="240" w:lineRule="auto"/>
              <w:rPr>
                <w:rFonts w:hint="eastAsia" w:ascii="仿宋_GB2312" w:hAnsi="仿宋_GB2312" w:eastAsia="仿宋_GB2312" w:cs="仿宋_GB2312"/>
                <w:sz w:val="20"/>
                <w:szCs w:val="20"/>
                <w:lang w:eastAsia="zh-CN"/>
              </w:rPr>
            </w:pPr>
            <w:r>
              <w:rPr>
                <w:rFonts w:hint="eastAsia" w:ascii="仿宋_GB2312" w:hAnsi="仿宋_GB2312" w:cs="仿宋_GB2312"/>
                <w:sz w:val="20"/>
                <w:szCs w:val="20"/>
              </w:rPr>
              <w:t>3.散发剧毒物质的房间和设备</w:t>
            </w:r>
            <w:r>
              <w:rPr>
                <w:rFonts w:hint="eastAsia" w:ascii="仿宋_GB2312" w:hAnsi="仿宋_GB2312" w:cs="仿宋_GB2312"/>
                <w:sz w:val="20"/>
                <w:szCs w:val="20"/>
                <w:lang w:eastAsia="zh-CN"/>
              </w:rPr>
              <w:t>。</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《工业建筑供暖通风与空气调节设计规范》（GB 50019-2015）第6.1.13条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sz w:val="20"/>
                <w:szCs w:val="20"/>
              </w:rPr>
            </w:pPr>
            <w:r>
              <w:rPr>
                <w:rFonts w:hint="eastAsia" w:ascii="仿宋_GB2312" w:hAnsi="仿宋_GB2312" w:cs="仿宋_GB2312"/>
                <w:sz w:val="20"/>
                <w:szCs w:val="20"/>
              </w:rPr>
              <w:t>02.</w:t>
            </w:r>
            <w:r>
              <w:rPr>
                <w:rFonts w:hint="eastAsia" w:ascii="仿宋_GB2312" w:hAnsi="仿宋_GB2312" w:cs="仿宋_GB2312"/>
                <w:kern w:val="0"/>
                <w:sz w:val="20"/>
                <w:szCs w:val="20"/>
              </w:rPr>
              <w:t>2.11</w:t>
            </w:r>
            <w:r>
              <w:rPr>
                <w:rFonts w:hint="eastAsia" w:ascii="仿宋_GB2312" w:hAnsi="仿宋_GB2312" w:cs="仿宋_GB2312"/>
                <w:sz w:val="20"/>
                <w:szCs w:val="20"/>
              </w:rPr>
              <w:t>.0</w:t>
            </w:r>
            <w:r>
              <w:rPr>
                <w:rFonts w:hint="eastAsia" w:ascii="仿宋_GB2312" w:hAnsi="仿宋_GB2312" w:cs="仿宋_GB2312"/>
                <w:sz w:val="20"/>
                <w:szCs w:val="20"/>
                <w:lang w:val="en"/>
              </w:rPr>
              <w:t>33</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设备设施及物料类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其他设备设施类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危险化学品仓库的配电箱及照明、通风等电气设备的开关未设置在仓库外。</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危险化学品仓库的配电箱及照明、通风等电气设备的开关应设置在仓库外。</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《危险化学品储存场所建设及储存安全要求》（DB11/T 755）第4.2.10条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sz w:val="20"/>
                <w:szCs w:val="20"/>
              </w:rPr>
            </w:pPr>
            <w:r>
              <w:rPr>
                <w:rFonts w:hint="eastAsia" w:ascii="仿宋_GB2312" w:hAnsi="仿宋_GB2312" w:cs="仿宋_GB2312"/>
                <w:sz w:val="20"/>
                <w:szCs w:val="20"/>
              </w:rPr>
              <w:t>02.</w:t>
            </w:r>
            <w:r>
              <w:rPr>
                <w:rFonts w:hint="eastAsia" w:ascii="仿宋_GB2312" w:hAnsi="仿宋_GB2312" w:cs="仿宋_GB2312"/>
                <w:kern w:val="0"/>
                <w:sz w:val="20"/>
                <w:szCs w:val="20"/>
              </w:rPr>
              <w:t>2.11</w:t>
            </w:r>
            <w:r>
              <w:rPr>
                <w:rFonts w:hint="eastAsia" w:ascii="仿宋_GB2312" w:hAnsi="仿宋_GB2312" w:cs="仿宋_GB2312"/>
                <w:sz w:val="20"/>
                <w:szCs w:val="20"/>
              </w:rPr>
              <w:t>.0</w:t>
            </w:r>
            <w:r>
              <w:rPr>
                <w:rFonts w:hint="eastAsia" w:ascii="仿宋_GB2312" w:hAnsi="仿宋_GB2312" w:cs="仿宋_GB2312"/>
                <w:sz w:val="20"/>
                <w:szCs w:val="20"/>
                <w:lang w:val="en"/>
              </w:rPr>
              <w:t>34</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设备设施及物料类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其他设备设施类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使用危险化学品的单位，未根据其生产、储存的危险化学品的种类和危险特性，在作业场所设置相应的监测、监控、通风、防晒、调温、防火、灭火、防爆、泄压、防毒、中和、防潮、防雷、防静电、防腐、防泄漏以及防护围堤或者隔离操作等安全设施、设备，未按照国家标准、行业标准或者国家有关规定对安全设施、设备进行经常性维护、保养，保证安全设施、设备的正常使用。</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生产、储存危险化学品的单位，应当根据其生产、储存的危险化学品的种类和危险特性，在作业场所设置相应的监测、监控、通风、防晒、调温、防火、灭火、防爆、泄压、防毒、中和、防潮、防雷、防静电、防腐、防泄漏以及防护围堤或者隔离操作等安全设施、设备，并按照国家标准、行业标准或者国家有关规定对安全设施、设备进行经常性维护、保养，保证安全设施、设备的正常使用。</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《中华人民共和国危险化学品安全法》第三十七条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sz w:val="20"/>
                <w:szCs w:val="20"/>
              </w:rPr>
            </w:pPr>
            <w:r>
              <w:rPr>
                <w:rFonts w:hint="eastAsia" w:ascii="仿宋_GB2312" w:hAnsi="仿宋_GB2312" w:cs="仿宋_GB2312"/>
                <w:sz w:val="20"/>
                <w:szCs w:val="20"/>
              </w:rPr>
              <w:t>02.</w:t>
            </w:r>
            <w:r>
              <w:rPr>
                <w:rFonts w:hint="eastAsia" w:ascii="仿宋_GB2312" w:hAnsi="仿宋_GB2312" w:cs="仿宋_GB2312"/>
                <w:kern w:val="0"/>
                <w:sz w:val="20"/>
                <w:szCs w:val="20"/>
              </w:rPr>
              <w:t>2.11</w:t>
            </w:r>
            <w:r>
              <w:rPr>
                <w:rFonts w:hint="eastAsia" w:ascii="仿宋_GB2312" w:hAnsi="仿宋_GB2312" w:cs="仿宋_GB2312"/>
                <w:sz w:val="20"/>
                <w:szCs w:val="20"/>
              </w:rPr>
              <w:t>.0</w:t>
            </w:r>
            <w:r>
              <w:rPr>
                <w:rFonts w:hint="eastAsia" w:ascii="仿宋_GB2312" w:hAnsi="仿宋_GB2312" w:cs="仿宋_GB2312"/>
                <w:sz w:val="20"/>
                <w:szCs w:val="20"/>
                <w:lang w:val="en"/>
              </w:rPr>
              <w:t>35</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设备设施及物料类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其他设备设施类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使用危险化学品的单位，关闭、破坏直接关系生产安全的监控、报警、防护、救生设施、设备，或者以其他任何方式影响其正常使用，篡改、隐瞒、销毁其相关数据、信息。</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生产、储存危险化学品的单位，不得关闭、破坏直接关系生产安全的监控、报警、防护、救生设施、设备，或者以其他任何方式影响其正常使用，不得篡改、隐瞒、销毁其相关数据、信息。</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《中华人民共和国危险化学品安全法》第三十八条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sz w:val="20"/>
                <w:szCs w:val="20"/>
              </w:rPr>
            </w:pPr>
            <w:r>
              <w:rPr>
                <w:rFonts w:hint="eastAsia" w:ascii="仿宋_GB2312" w:hAnsi="仿宋_GB2312" w:cs="仿宋_GB2312"/>
                <w:sz w:val="20"/>
                <w:szCs w:val="20"/>
              </w:rPr>
              <w:t>02.2.12.0</w:t>
            </w:r>
            <w:r>
              <w:rPr>
                <w:rFonts w:hint="eastAsia" w:ascii="仿宋_GB2312" w:hAnsi="仿宋_GB2312" w:cs="仿宋_GB2312"/>
                <w:sz w:val="20"/>
                <w:szCs w:val="20"/>
                <w:lang w:val="en"/>
              </w:rPr>
              <w:t>36</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设备设施及物料类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危险化学品类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未按标准规范要求分区分类储存危险化学品；相互禁配物质混放混存。</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应按标准规范要求分区分类储存危险化学品；相互禁配物质不得混放混存。</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《危险化学品储存场所建设及储存安全要求》（DB11/T 755）第5.1.1.1条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sz w:val="20"/>
                <w:szCs w:val="20"/>
              </w:rPr>
            </w:pPr>
            <w:r>
              <w:rPr>
                <w:rFonts w:hint="eastAsia" w:ascii="仿宋_GB2312" w:hAnsi="仿宋_GB2312" w:cs="仿宋_GB2312"/>
                <w:sz w:val="20"/>
                <w:szCs w:val="20"/>
              </w:rPr>
              <w:t>02.2.12.0</w:t>
            </w:r>
            <w:r>
              <w:rPr>
                <w:rFonts w:hint="eastAsia" w:ascii="仿宋_GB2312" w:hAnsi="仿宋_GB2312" w:cs="仿宋_GB2312"/>
                <w:sz w:val="20"/>
                <w:szCs w:val="20"/>
                <w:lang w:val="en"/>
              </w:rPr>
              <w:t>37</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设备设施及物料类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危险化学品类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危险化学品储量符合应设置专用仓库的条件但未按要求设置危险化学品专用库房。</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应设置专用仓库的情形：</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（1）易燃液体类危险化学品存放总量0.5t以上；</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（2）氧化性物质和有机过氧化物类危险化学品存放总量0.5t以上；</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（3）易燃气体存放总量 36Nm³（如工作压力15MPa时相当于40L的6瓶）以上；</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（4）腐蚀类危险化学品存放总量1t以上；</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（5）毒性气体；</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（6）非易燃无毒气体存放总量 60Nm³（如工作压力15MPa时相当于40L的10瓶）以上。</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《中华人民共和国危险化学品安全法》第四十一条；</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《危险化学品储存场所建设及储存安全要求》（DB11/T 755）第5.1.1.6条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sz w:val="20"/>
                <w:szCs w:val="20"/>
              </w:rPr>
            </w:pPr>
            <w:r>
              <w:rPr>
                <w:rFonts w:hint="eastAsia" w:ascii="仿宋_GB2312" w:hAnsi="仿宋_GB2312" w:cs="仿宋_GB2312"/>
                <w:sz w:val="20"/>
                <w:szCs w:val="20"/>
              </w:rPr>
              <w:t>02.2.12.0</w:t>
            </w:r>
            <w:r>
              <w:rPr>
                <w:rFonts w:hint="eastAsia" w:ascii="仿宋_GB2312" w:hAnsi="仿宋_GB2312" w:cs="仿宋_GB2312"/>
                <w:sz w:val="20"/>
                <w:szCs w:val="20"/>
                <w:lang w:val="en"/>
              </w:rPr>
              <w:t>38</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设备设施及物料类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危险化学品类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气瓶储量符合应设置气瓶间的条件但未按要求设置气瓶间。</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（1）易燃气体存放总量36Nm³（如工作压力15MPa时相当于40L的6瓶）以下或不超过一昼夜使用量；</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（2）非易燃无毒气体存放总量 60Nm³（如工作压力15MPa时相当于40L的10瓶）以下或不超过一昼夜使用量。</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《中华人民共和国危险化学品安全法》第四十一条；</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《危险化学品储存场所建设及储存安全要求》（DB11/T 755）第5.1.1.5条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sz w:val="20"/>
                <w:szCs w:val="20"/>
              </w:rPr>
            </w:pPr>
            <w:r>
              <w:rPr>
                <w:rFonts w:hint="eastAsia" w:ascii="仿宋_GB2312" w:hAnsi="仿宋_GB2312" w:cs="仿宋_GB2312"/>
                <w:sz w:val="20"/>
                <w:szCs w:val="20"/>
              </w:rPr>
              <w:t>02.2.12.0</w:t>
            </w:r>
            <w:r>
              <w:rPr>
                <w:rFonts w:hint="eastAsia" w:ascii="仿宋_GB2312" w:hAnsi="仿宋_GB2312" w:cs="仿宋_GB2312"/>
                <w:sz w:val="20"/>
                <w:szCs w:val="20"/>
                <w:lang w:val="en"/>
              </w:rPr>
              <w:t>39</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设备设施及物料类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危险化学品类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危险化学品储量符合应设置专用储存室的条件但未按要求设置危险化学品专用储存室。</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（1）易燃液体类危险化学品存放总量0.5t以下或不超过一昼夜使用量；</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（2）氧化性物质和有机过氧化物类危险化学品存放总量0.5t以下或不超过一昼夜使用量；</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（3）腐蚀类危险化学品存放总量1t以下或不超过一昼夜使用量。</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《中华人民共和国危险化学品安全法》第四十一条；</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《危险化学品储存场所建设及储存安全要求》（DB11/T 755）第5.1.1.4条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sz w:val="20"/>
                <w:szCs w:val="20"/>
              </w:rPr>
            </w:pPr>
            <w:r>
              <w:rPr>
                <w:rFonts w:hint="eastAsia" w:ascii="仿宋_GB2312" w:hAnsi="仿宋_GB2312" w:cs="仿宋_GB2312"/>
                <w:sz w:val="20"/>
                <w:szCs w:val="20"/>
              </w:rPr>
              <w:t>02.2.12.0</w:t>
            </w:r>
            <w:r>
              <w:rPr>
                <w:rFonts w:hint="eastAsia" w:ascii="仿宋_GB2312" w:hAnsi="仿宋_GB2312" w:cs="仿宋_GB2312"/>
                <w:sz w:val="20"/>
                <w:szCs w:val="20"/>
                <w:lang w:val="en"/>
              </w:rPr>
              <w:t>40</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设备设施及物料类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危险化学品类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厂房内甲、乙类中间仓库储量超过1昼夜的需要量。</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厂房内甲、乙类中间仓库储量不应超过1昼夜的需要量。</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《建筑设计防火规范（2018年版）》（GB 50016-2014）第3.3.6条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sz w:val="20"/>
                <w:szCs w:val="20"/>
              </w:rPr>
            </w:pPr>
            <w:r>
              <w:rPr>
                <w:rFonts w:hint="eastAsia" w:ascii="仿宋_GB2312" w:hAnsi="仿宋_GB2312" w:cs="仿宋_GB2312"/>
                <w:sz w:val="20"/>
                <w:szCs w:val="20"/>
              </w:rPr>
              <w:t>02.2.12.0</w:t>
            </w:r>
            <w:r>
              <w:rPr>
                <w:rFonts w:hint="eastAsia" w:ascii="仿宋_GB2312" w:hAnsi="仿宋_GB2312" w:cs="仿宋_GB2312"/>
                <w:sz w:val="20"/>
                <w:szCs w:val="20"/>
                <w:lang w:val="en"/>
              </w:rPr>
              <w:t>41</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lang w:eastAsia="zh-TW"/>
              </w:rPr>
            </w:pPr>
            <w:r>
              <w:rPr>
                <w:rFonts w:hint="eastAsia" w:ascii="仿宋_GB2312" w:hAnsi="仿宋_GB2312" w:cs="仿宋_GB2312"/>
                <w:sz w:val="20"/>
                <w:szCs w:val="20"/>
              </w:rPr>
              <w:t>设备设施及物料类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lang w:eastAsia="zh-TW"/>
              </w:rPr>
            </w:pPr>
            <w:r>
              <w:rPr>
                <w:rFonts w:hint="eastAsia" w:ascii="仿宋_GB2312" w:hAnsi="仿宋_GB2312" w:cs="仿宋_GB2312"/>
                <w:sz w:val="20"/>
                <w:szCs w:val="20"/>
              </w:rPr>
              <w:t>危险化学品类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eastAsia="仿宋_GB2312" w:cs="仿宋_GB2312"/>
                <w:sz w:val="20"/>
                <w:szCs w:val="20"/>
                <w:lang w:eastAsia="zh-CN"/>
              </w:rPr>
            </w:pPr>
            <w:r>
              <w:rPr>
                <w:rFonts w:hint="eastAsia" w:ascii="仿宋_GB2312" w:hAnsi="仿宋_GB2312" w:cs="仿宋_GB2312"/>
                <w:sz w:val="20"/>
                <w:szCs w:val="20"/>
              </w:rPr>
              <w:t>危险化学品储存柜，储存量超过本岗位当班使用量；每个专柜的储存量超过50L或50kg</w:t>
            </w:r>
            <w:r>
              <w:rPr>
                <w:rFonts w:hint="eastAsia" w:ascii="仿宋_GB2312" w:hAnsi="仿宋_GB2312" w:cs="仿宋_GB2312"/>
                <w:sz w:val="20"/>
                <w:szCs w:val="20"/>
                <w:lang w:eastAsia="zh-CN"/>
              </w:rPr>
              <w:t>。</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eastAsia="仿宋_GB2312" w:cs="仿宋_GB2312"/>
                <w:sz w:val="20"/>
                <w:szCs w:val="20"/>
                <w:lang w:eastAsia="zh-CN"/>
              </w:rPr>
            </w:pPr>
            <w:r>
              <w:rPr>
                <w:rFonts w:hint="eastAsia" w:ascii="仿宋_GB2312" w:hAnsi="仿宋_GB2312" w:cs="仿宋_GB2312"/>
                <w:sz w:val="20"/>
                <w:szCs w:val="20"/>
              </w:rPr>
              <w:t>采用危险化学品储存柜进行储存时，单一危险化学品储存柜的存储量不应超过50kg或50L</w:t>
            </w:r>
            <w:r>
              <w:rPr>
                <w:rFonts w:hint="eastAsia" w:ascii="仿宋_GB2312" w:hAnsi="仿宋_GB2312" w:cs="仿宋_GB2312"/>
                <w:sz w:val="20"/>
                <w:szCs w:val="20"/>
                <w:lang w:eastAsia="zh-CN"/>
              </w:rPr>
              <w:t>。</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《危险化学品储存场所建设及储存安全要求》（DB11/T 755）第5.3条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color w:val="FF0000"/>
                <w:sz w:val="20"/>
                <w:szCs w:val="20"/>
              </w:rPr>
            </w:pPr>
            <w:r>
              <w:rPr>
                <w:rFonts w:hint="eastAsia" w:ascii="仿宋_GB2312" w:hAnsi="仿宋_GB2312" w:cs="仿宋_GB2312"/>
                <w:kern w:val="0"/>
                <w:sz w:val="20"/>
                <w:szCs w:val="20"/>
              </w:rPr>
              <w:t>02.</w:t>
            </w:r>
            <w:r>
              <w:rPr>
                <w:rFonts w:hint="eastAsia" w:ascii="仿宋_GB2312" w:hAnsi="仿宋_GB2312" w:cs="仿宋_GB2312"/>
                <w:sz w:val="20"/>
                <w:szCs w:val="20"/>
              </w:rPr>
              <w:t>2.12</w:t>
            </w:r>
            <w:r>
              <w:rPr>
                <w:rFonts w:hint="eastAsia" w:ascii="仿宋_GB2312" w:hAnsi="仿宋_GB2312" w:cs="仿宋_GB2312"/>
                <w:kern w:val="0"/>
                <w:sz w:val="20"/>
                <w:szCs w:val="20"/>
              </w:rPr>
              <w:t>.04</w:t>
            </w:r>
            <w:r>
              <w:rPr>
                <w:rFonts w:hint="eastAsia" w:ascii="仿宋_GB2312" w:hAnsi="仿宋_GB2312" w:cs="仿宋_GB2312"/>
                <w:kern w:val="0"/>
                <w:sz w:val="20"/>
                <w:szCs w:val="20"/>
                <w:lang w:val="en"/>
              </w:rPr>
              <w:t>2</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lang w:eastAsia="zh-TW"/>
              </w:rPr>
            </w:pPr>
            <w:r>
              <w:rPr>
                <w:rFonts w:hint="eastAsia" w:ascii="仿宋_GB2312" w:hAnsi="仿宋_GB2312" w:cs="仿宋_GB2312"/>
                <w:sz w:val="20"/>
                <w:szCs w:val="20"/>
              </w:rPr>
              <w:t>设备设施及物料类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lang w:eastAsia="zh-TW"/>
              </w:rPr>
            </w:pPr>
            <w:r>
              <w:rPr>
                <w:rFonts w:hint="eastAsia" w:ascii="仿宋_GB2312" w:hAnsi="仿宋_GB2312" w:cs="仿宋_GB2312"/>
                <w:sz w:val="20"/>
                <w:szCs w:val="20"/>
              </w:rPr>
              <w:t>危险化学品类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危险化学品储存柜的制作材料未采用坚固耐用的不燃材质。处于腐蚀性环境或存放酸、碱等腐蚀性危险化学品的储存柜未应采取防腐措施。</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危险化学品储存柜的制作材料应采用坚固耐用的不燃材质。处于腐蚀性环境或存放酸、碱等腐蚀性危险化学品的储存柜还应采取防腐措施。</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《中华人民共和国危险化学品安全法》第三十七条；</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《腐蚀性商品储存养护技术条件》（GB 17915-2013）第4.1条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color w:val="FF0000"/>
                <w:sz w:val="20"/>
                <w:szCs w:val="20"/>
              </w:rPr>
            </w:pPr>
            <w:r>
              <w:rPr>
                <w:rFonts w:hint="eastAsia" w:ascii="仿宋_GB2312" w:hAnsi="仿宋_GB2312" w:cs="仿宋_GB2312"/>
                <w:kern w:val="0"/>
                <w:sz w:val="20"/>
                <w:szCs w:val="20"/>
              </w:rPr>
              <w:t>02.</w:t>
            </w:r>
            <w:r>
              <w:rPr>
                <w:rFonts w:hint="eastAsia" w:ascii="仿宋_GB2312" w:hAnsi="仿宋_GB2312" w:cs="仿宋_GB2312"/>
                <w:sz w:val="20"/>
                <w:szCs w:val="20"/>
              </w:rPr>
              <w:t>2.12</w:t>
            </w:r>
            <w:r>
              <w:rPr>
                <w:rFonts w:hint="eastAsia" w:ascii="仿宋_GB2312" w:hAnsi="仿宋_GB2312" w:cs="仿宋_GB2312"/>
                <w:kern w:val="0"/>
                <w:sz w:val="20"/>
                <w:szCs w:val="20"/>
              </w:rPr>
              <w:t>.04</w:t>
            </w:r>
            <w:r>
              <w:rPr>
                <w:rFonts w:hint="eastAsia" w:ascii="仿宋_GB2312" w:hAnsi="仿宋_GB2312" w:cs="仿宋_GB2312"/>
                <w:kern w:val="0"/>
                <w:sz w:val="20"/>
                <w:szCs w:val="20"/>
                <w:lang w:val="en"/>
              </w:rPr>
              <w:t>3</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lang w:eastAsia="zh-TW"/>
              </w:rPr>
            </w:pPr>
            <w:r>
              <w:rPr>
                <w:rFonts w:hint="eastAsia" w:ascii="仿宋_GB2312" w:hAnsi="仿宋_GB2312" w:cs="仿宋_GB2312"/>
                <w:sz w:val="20"/>
                <w:szCs w:val="20"/>
              </w:rPr>
              <w:t>设备设施及物料类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lang w:eastAsia="zh-TW"/>
              </w:rPr>
            </w:pPr>
            <w:r>
              <w:rPr>
                <w:rFonts w:hint="eastAsia" w:ascii="仿宋_GB2312" w:hAnsi="仿宋_GB2312" w:cs="仿宋_GB2312"/>
                <w:sz w:val="20"/>
                <w:szCs w:val="20"/>
              </w:rPr>
              <w:t>危险化学品类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未采用防爆柜、防腐柜等专柜储存易燃易爆、腐蚀性危险化学品；专柜未放置于阴凉干燥通风处；专柜未设有进风、排风管道，经吸附处理后排放到室外；防爆柜柜体未进行可靠接地。</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危险化学品储存柜应具有强制通风和吸收净化功能，存放易燃易爆危险化学品的储存柜应有导出静电的接地装置并接地；</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采用危险化学品储存柜进行储存时，危险化学品储存柜应符合下列要求：</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a）腐蚀性化学品应单独放在防腐蚀柜中，并配备防遗撒托盘；</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b）需低温存放的易燃易爆危险化学品应存放在具有防爆功能的冰箱内；</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c）爆炸性化学品和剧毒化学品应分别单独存放在专用储存柜中；</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d）液体化学试剂应放置在防遗洒托盘上，托盘的剩余容量不应小于本托盘中最大容器的容量。</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《危险化学品储存场所建设及储存安全要求》（DB11/T 755）第4.1.3.11条、第5.1.1.10条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color w:val="FF0000"/>
                <w:sz w:val="20"/>
                <w:szCs w:val="20"/>
              </w:rPr>
            </w:pPr>
            <w:r>
              <w:rPr>
                <w:rFonts w:hint="eastAsia" w:ascii="仿宋_GB2312" w:hAnsi="仿宋_GB2312" w:cs="仿宋_GB2312"/>
                <w:kern w:val="0"/>
                <w:sz w:val="20"/>
                <w:szCs w:val="20"/>
              </w:rPr>
              <w:t>02.</w:t>
            </w:r>
            <w:r>
              <w:rPr>
                <w:rFonts w:hint="eastAsia" w:ascii="仿宋_GB2312" w:hAnsi="仿宋_GB2312" w:cs="仿宋_GB2312"/>
                <w:sz w:val="20"/>
                <w:szCs w:val="20"/>
              </w:rPr>
              <w:t>2.12</w:t>
            </w:r>
            <w:r>
              <w:rPr>
                <w:rFonts w:hint="eastAsia" w:ascii="仿宋_GB2312" w:hAnsi="仿宋_GB2312" w:cs="仿宋_GB2312"/>
                <w:kern w:val="0"/>
                <w:sz w:val="20"/>
                <w:szCs w:val="20"/>
              </w:rPr>
              <w:t>.04</w:t>
            </w:r>
            <w:r>
              <w:rPr>
                <w:rFonts w:hint="eastAsia" w:ascii="仿宋_GB2312" w:hAnsi="仿宋_GB2312" w:cs="仿宋_GB2312"/>
                <w:kern w:val="0"/>
                <w:sz w:val="20"/>
                <w:szCs w:val="20"/>
                <w:lang w:val="en"/>
              </w:rPr>
              <w:t>4</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lang w:eastAsia="zh-TW"/>
              </w:rPr>
            </w:pPr>
            <w:r>
              <w:rPr>
                <w:rFonts w:hint="eastAsia" w:ascii="仿宋_GB2312" w:hAnsi="仿宋_GB2312" w:cs="仿宋_GB2312"/>
                <w:sz w:val="20"/>
                <w:szCs w:val="20"/>
              </w:rPr>
              <w:t>设备设施及物料类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lang w:eastAsia="zh-TW"/>
              </w:rPr>
            </w:pPr>
            <w:r>
              <w:rPr>
                <w:rFonts w:hint="eastAsia" w:ascii="仿宋_GB2312" w:hAnsi="仿宋_GB2312" w:cs="仿宋_GB2312"/>
                <w:sz w:val="20"/>
                <w:szCs w:val="20"/>
              </w:rPr>
              <w:t>危险化学品类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eastAsia="仿宋_GB2312" w:cs="仿宋_GB2312"/>
                <w:sz w:val="20"/>
                <w:szCs w:val="20"/>
                <w:lang w:eastAsia="zh-CN"/>
              </w:rPr>
            </w:pPr>
            <w:r>
              <w:rPr>
                <w:rFonts w:hint="eastAsia" w:ascii="仿宋_GB2312" w:hAnsi="仿宋_GB2312" w:cs="仿宋_GB2312"/>
                <w:sz w:val="20"/>
                <w:szCs w:val="20"/>
              </w:rPr>
              <w:t>危险化学品储存场所未根据所储存的危险化学品性质和特点配置个人防护用品及防护设施</w:t>
            </w:r>
            <w:r>
              <w:rPr>
                <w:rFonts w:hint="eastAsia" w:ascii="仿宋_GB2312" w:hAnsi="仿宋_GB2312" w:cs="仿宋_GB2312"/>
                <w:sz w:val="20"/>
                <w:szCs w:val="20"/>
                <w:lang w:eastAsia="zh-CN"/>
              </w:rPr>
              <w:t>。</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存在毒性、腐蚀性、刺激性危害的储存场所应设置淋洗器、洗眼器等安全冲洗装置，安全冲洗装置的服务半径不应大于15m，洗消水应有收集设施。安全冲洗装置宜安放在接近危险源的位置，但宜考虑到使用设备时冲洗液可能存在四处飞溅的危险或其他危险（例如暴露的有电导体），并采取相应防护措施；</w:t>
            </w:r>
          </w:p>
          <w:p>
            <w:pPr>
              <w:suppressAutoHyphens/>
              <w:autoSpaceDE w:val="0"/>
              <w:autoSpaceDN w:val="0"/>
              <w:adjustRightInd w:val="0"/>
              <w:snapToGrid w:val="0"/>
              <w:spacing w:after="0" w:line="240" w:lineRule="auto"/>
              <w:rPr>
                <w:rFonts w:hint="eastAsia" w:ascii="仿宋_GB2312" w:hAnsi="仿宋_GB2312" w:eastAsia="仿宋_GB2312" w:cs="仿宋_GB2312"/>
                <w:sz w:val="20"/>
                <w:szCs w:val="20"/>
                <w:lang w:eastAsia="zh-CN"/>
              </w:rPr>
            </w:pPr>
            <w:r>
              <w:rPr>
                <w:rFonts w:hint="eastAsia" w:ascii="仿宋_GB2312" w:hAnsi="仿宋_GB2312" w:cs="仿宋_GB2312"/>
                <w:sz w:val="20"/>
                <w:szCs w:val="20"/>
              </w:rPr>
              <w:t>在储存场所内方便取用的地点应设置急救箱或急救包，并根据所储存的危险化学品性质和特点配备个体防护装备和应急救援器材</w:t>
            </w:r>
            <w:r>
              <w:rPr>
                <w:rFonts w:hint="eastAsia" w:ascii="仿宋_GB2312" w:hAnsi="仿宋_GB2312" w:cs="仿宋_GB2312"/>
                <w:sz w:val="20"/>
                <w:szCs w:val="20"/>
                <w:lang w:eastAsia="zh-CN"/>
              </w:rPr>
              <w:t>。</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《危险化学品储存场所建设及储存安全要求》（DB11/T 755）第4.1.3.8条、第4.1.3.10条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color w:val="FF0000"/>
                <w:sz w:val="20"/>
                <w:szCs w:val="20"/>
              </w:rPr>
            </w:pPr>
            <w:r>
              <w:rPr>
                <w:rFonts w:hint="eastAsia" w:ascii="仿宋_GB2312" w:hAnsi="仿宋_GB2312" w:cs="仿宋_GB2312"/>
                <w:kern w:val="0"/>
                <w:sz w:val="20"/>
                <w:szCs w:val="20"/>
              </w:rPr>
              <w:t>02.</w:t>
            </w:r>
            <w:r>
              <w:rPr>
                <w:rFonts w:hint="eastAsia" w:ascii="仿宋_GB2312" w:hAnsi="仿宋_GB2312" w:cs="仿宋_GB2312"/>
                <w:sz w:val="20"/>
                <w:szCs w:val="20"/>
              </w:rPr>
              <w:t>2.12</w:t>
            </w:r>
            <w:r>
              <w:rPr>
                <w:rFonts w:hint="eastAsia" w:ascii="仿宋_GB2312" w:hAnsi="仿宋_GB2312" w:cs="仿宋_GB2312"/>
                <w:kern w:val="0"/>
                <w:sz w:val="20"/>
                <w:szCs w:val="20"/>
              </w:rPr>
              <w:t>.04</w:t>
            </w:r>
            <w:r>
              <w:rPr>
                <w:rFonts w:hint="eastAsia" w:ascii="仿宋_GB2312" w:hAnsi="仿宋_GB2312" w:cs="仿宋_GB2312"/>
                <w:kern w:val="0"/>
                <w:sz w:val="20"/>
                <w:szCs w:val="20"/>
                <w:lang w:val="en"/>
              </w:rPr>
              <w:t>5</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lang w:eastAsia="zh-TW"/>
              </w:rPr>
            </w:pPr>
            <w:r>
              <w:rPr>
                <w:rFonts w:hint="eastAsia" w:ascii="仿宋_GB2312" w:hAnsi="仿宋_GB2312" w:cs="仿宋_GB2312"/>
                <w:sz w:val="20"/>
                <w:szCs w:val="20"/>
              </w:rPr>
              <w:t>设备设施及物料类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危险化学品类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氨直接蒸发制冷的场所存在包装、分割、产品整理等作业；快速冻结装置未设置在单独的作业间内或作业人员超过9人。</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eastAsia="仿宋_GB2312" w:cs="仿宋_GB2312"/>
                <w:sz w:val="20"/>
                <w:szCs w:val="20"/>
                <w:lang w:eastAsia="zh-CN"/>
              </w:rPr>
            </w:pPr>
            <w:r>
              <w:rPr>
                <w:rFonts w:hint="eastAsia" w:ascii="仿宋_GB2312" w:hAnsi="仿宋_GB2312" w:cs="仿宋_GB2312"/>
                <w:sz w:val="20"/>
                <w:szCs w:val="20"/>
              </w:rPr>
              <w:t>使用液氨制冷的工贸企业，空调系统采用氨直接蒸发制冷的场所不应存在包装、分割、产品整理等作业；使用液氨制冷的工贸企业，快速冻结装置应设置在单独的作业间内，且快速冻结装置作业间内作业人员数量不得超过9人</w:t>
            </w:r>
            <w:r>
              <w:rPr>
                <w:rFonts w:hint="eastAsia" w:ascii="仿宋_GB2312" w:hAnsi="仿宋_GB2312" w:cs="仿宋_GB2312"/>
                <w:sz w:val="20"/>
                <w:szCs w:val="20"/>
                <w:lang w:eastAsia="zh-CN"/>
              </w:rPr>
              <w:t>。</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《工贸企业重大事故隐患判定标准》（应急管理部令第10号）第十二条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r>
              <w:rPr>
                <w:rFonts w:hint="eastAsia" w:ascii="仿宋_GB2312" w:hAnsi="仿宋_GB2312" w:cs="仿宋_GB2312"/>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color w:val="FF0000"/>
                <w:sz w:val="20"/>
                <w:szCs w:val="20"/>
              </w:rPr>
            </w:pPr>
            <w:r>
              <w:rPr>
                <w:rFonts w:hint="eastAsia" w:ascii="仿宋_GB2312" w:hAnsi="仿宋_GB2312" w:cs="仿宋_GB2312"/>
                <w:kern w:val="0"/>
                <w:sz w:val="20"/>
                <w:szCs w:val="20"/>
              </w:rPr>
              <w:t>02.</w:t>
            </w:r>
            <w:r>
              <w:rPr>
                <w:rFonts w:hint="eastAsia" w:ascii="仿宋_GB2312" w:hAnsi="仿宋_GB2312" w:cs="仿宋_GB2312"/>
                <w:sz w:val="20"/>
                <w:szCs w:val="20"/>
              </w:rPr>
              <w:t>2.12</w:t>
            </w:r>
            <w:r>
              <w:rPr>
                <w:rFonts w:hint="eastAsia" w:ascii="仿宋_GB2312" w:hAnsi="仿宋_GB2312" w:cs="仿宋_GB2312"/>
                <w:kern w:val="0"/>
                <w:sz w:val="20"/>
                <w:szCs w:val="20"/>
              </w:rPr>
              <w:t>.04</w:t>
            </w:r>
            <w:r>
              <w:rPr>
                <w:rFonts w:hint="eastAsia" w:ascii="仿宋_GB2312" w:hAnsi="仿宋_GB2312" w:cs="仿宋_GB2312"/>
                <w:kern w:val="0"/>
                <w:sz w:val="20"/>
                <w:szCs w:val="20"/>
                <w:lang w:val="en"/>
              </w:rPr>
              <w:t>6</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lang w:eastAsia="zh-TW"/>
              </w:rPr>
            </w:pPr>
            <w:r>
              <w:rPr>
                <w:rFonts w:hint="eastAsia" w:ascii="仿宋_GB2312" w:hAnsi="仿宋_GB2312" w:cs="仿宋_GB2312"/>
                <w:sz w:val="20"/>
                <w:szCs w:val="20"/>
              </w:rPr>
              <w:t>设备设施及物料类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危险化学品类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用液氨作为制备气氛的原料时，其管路系统使用铜和铜合金材料制造。液氨管道阀门未采用专用钢制阀门，使用灰铸铁阀门。</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用液氨作为制备气氛的原料时，其管路系统严禁使用铜和铜合金材料制造。液氨管道阀门采用专用钢制阀门，不应使用灰铸铁阀门。</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《液氨使用与储存安全技术规范》（DB11/T 1014-2021）第4.4.1.5 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color w:val="FF0000"/>
                <w:sz w:val="20"/>
                <w:szCs w:val="20"/>
              </w:rPr>
            </w:pPr>
            <w:r>
              <w:rPr>
                <w:rFonts w:hint="eastAsia" w:ascii="仿宋_GB2312" w:hAnsi="仿宋_GB2312" w:cs="仿宋_GB2312"/>
                <w:kern w:val="0"/>
                <w:sz w:val="20"/>
                <w:szCs w:val="20"/>
              </w:rPr>
              <w:t>02.</w:t>
            </w:r>
            <w:r>
              <w:rPr>
                <w:rFonts w:hint="eastAsia" w:ascii="仿宋_GB2312" w:hAnsi="仿宋_GB2312" w:cs="仿宋_GB2312"/>
                <w:sz w:val="20"/>
                <w:szCs w:val="20"/>
              </w:rPr>
              <w:t>2.12</w:t>
            </w:r>
            <w:r>
              <w:rPr>
                <w:rFonts w:hint="eastAsia" w:ascii="仿宋_GB2312" w:hAnsi="仿宋_GB2312" w:cs="仿宋_GB2312"/>
                <w:kern w:val="0"/>
                <w:sz w:val="20"/>
                <w:szCs w:val="20"/>
              </w:rPr>
              <w:t>.04</w:t>
            </w:r>
            <w:r>
              <w:rPr>
                <w:rFonts w:hint="eastAsia" w:ascii="仿宋_GB2312" w:hAnsi="仿宋_GB2312" w:cs="仿宋_GB2312"/>
                <w:kern w:val="0"/>
                <w:sz w:val="20"/>
                <w:szCs w:val="20"/>
                <w:lang w:val="en"/>
              </w:rPr>
              <w:t>7</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设备设施及物料类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危险化学品类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eastAsia="仿宋_GB2312" w:cs="仿宋_GB2312"/>
                <w:sz w:val="20"/>
                <w:szCs w:val="20"/>
                <w:lang w:eastAsia="zh-CN"/>
              </w:rPr>
            </w:pPr>
            <w:r>
              <w:rPr>
                <w:rFonts w:hint="eastAsia" w:ascii="仿宋_GB2312" w:hAnsi="仿宋_GB2312" w:cs="仿宋_GB2312"/>
                <w:sz w:val="20"/>
                <w:szCs w:val="20"/>
              </w:rPr>
              <w:t>用氨设备使用前未充分置换；或未在高温条件下燃尽炉内空气</w:t>
            </w:r>
            <w:r>
              <w:rPr>
                <w:rFonts w:hint="eastAsia" w:ascii="仿宋_GB2312" w:hAnsi="仿宋_GB2312" w:cs="仿宋_GB2312"/>
                <w:sz w:val="20"/>
                <w:szCs w:val="20"/>
                <w:lang w:eastAsia="zh-CN"/>
              </w:rPr>
              <w:t>。</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eastAsia="仿宋_GB2312" w:cs="仿宋_GB2312"/>
                <w:sz w:val="20"/>
                <w:szCs w:val="20"/>
                <w:lang w:eastAsia="zh-CN"/>
              </w:rPr>
            </w:pPr>
            <w:r>
              <w:rPr>
                <w:rFonts w:hint="eastAsia" w:ascii="仿宋_GB2312" w:hAnsi="仿宋_GB2312" w:cs="仿宋_GB2312"/>
                <w:sz w:val="20"/>
                <w:szCs w:val="20"/>
              </w:rPr>
              <w:t>可控气氛、保护气氛加热炉在通入可燃生产物料前应用中性气体充分置换掉炉内空气，或在高温条件下以燃烧法燃尽炉内的空气</w:t>
            </w:r>
            <w:r>
              <w:rPr>
                <w:rFonts w:hint="eastAsia" w:ascii="仿宋_GB2312" w:hAnsi="仿宋_GB2312" w:cs="仿宋_GB2312"/>
                <w:sz w:val="20"/>
                <w:szCs w:val="20"/>
                <w:lang w:eastAsia="zh-CN"/>
              </w:rPr>
              <w:t>。</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《金属热处理生产过程安全、卫生要求》（GB 15735-2012）第8.2.3条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color w:val="FF0000"/>
                <w:sz w:val="20"/>
                <w:szCs w:val="20"/>
              </w:rPr>
            </w:pPr>
            <w:r>
              <w:rPr>
                <w:rFonts w:hint="eastAsia" w:ascii="仿宋_GB2312" w:hAnsi="仿宋_GB2312" w:cs="仿宋_GB2312"/>
                <w:kern w:val="0"/>
                <w:sz w:val="20"/>
                <w:szCs w:val="20"/>
              </w:rPr>
              <w:t>02.</w:t>
            </w:r>
            <w:r>
              <w:rPr>
                <w:rFonts w:hint="eastAsia" w:ascii="仿宋_GB2312" w:hAnsi="仿宋_GB2312" w:cs="仿宋_GB2312"/>
                <w:sz w:val="20"/>
                <w:szCs w:val="20"/>
              </w:rPr>
              <w:t>2.12</w:t>
            </w:r>
            <w:r>
              <w:rPr>
                <w:rFonts w:hint="eastAsia" w:ascii="仿宋_GB2312" w:hAnsi="仿宋_GB2312" w:cs="仿宋_GB2312"/>
                <w:kern w:val="0"/>
                <w:sz w:val="20"/>
                <w:szCs w:val="20"/>
              </w:rPr>
              <w:t>.04</w:t>
            </w:r>
            <w:r>
              <w:rPr>
                <w:rFonts w:hint="eastAsia" w:ascii="仿宋_GB2312" w:hAnsi="仿宋_GB2312" w:cs="仿宋_GB2312"/>
                <w:kern w:val="0"/>
                <w:sz w:val="20"/>
                <w:szCs w:val="20"/>
                <w:lang w:val="en"/>
              </w:rPr>
              <w:t>8</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设备设施及物料类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危险化学品类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eastAsia="仿宋_GB2312" w:cs="仿宋_GB2312"/>
                <w:sz w:val="20"/>
                <w:szCs w:val="20"/>
                <w:lang w:eastAsia="zh-CN"/>
              </w:rPr>
            </w:pPr>
            <w:r>
              <w:rPr>
                <w:rFonts w:hint="eastAsia" w:ascii="仿宋_GB2312" w:hAnsi="仿宋_GB2312" w:cs="仿宋_GB2312"/>
                <w:sz w:val="20"/>
                <w:szCs w:val="20"/>
              </w:rPr>
              <w:t>氢气管道未采用无缝金属管道；管道的连接未采用焊接或其他有效防止氢气泄漏的连接方式；管道未采用密封性能好的阀门和附件的</w:t>
            </w:r>
            <w:r>
              <w:rPr>
                <w:rFonts w:hint="eastAsia" w:ascii="仿宋_GB2312" w:hAnsi="仿宋_GB2312" w:cs="仿宋_GB2312"/>
                <w:sz w:val="20"/>
                <w:szCs w:val="20"/>
                <w:lang w:eastAsia="zh-CN"/>
              </w:rPr>
              <w:t>。</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氢气管道应采用无缝金属管道，禁止采用铸铁管道，管道的连接应采用焊接或其他有效防止氢气泄漏的连接方式。管道应采用密封性能好的阀门和附件，管道上的阀门宜采用球阀、截止阀。</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《氢气使用安全技术规程》（GB 4962-2008）第4.1.13条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color w:val="FF0000"/>
                <w:sz w:val="20"/>
                <w:szCs w:val="20"/>
              </w:rPr>
            </w:pPr>
            <w:r>
              <w:rPr>
                <w:rFonts w:hint="eastAsia" w:ascii="仿宋_GB2312" w:hAnsi="仿宋_GB2312" w:cs="仿宋_GB2312"/>
                <w:kern w:val="0"/>
                <w:sz w:val="20"/>
                <w:szCs w:val="20"/>
              </w:rPr>
              <w:t>02.</w:t>
            </w:r>
            <w:r>
              <w:rPr>
                <w:rFonts w:hint="eastAsia" w:ascii="仿宋_GB2312" w:hAnsi="仿宋_GB2312" w:cs="仿宋_GB2312"/>
                <w:sz w:val="20"/>
                <w:szCs w:val="20"/>
              </w:rPr>
              <w:t>2.12</w:t>
            </w:r>
            <w:r>
              <w:rPr>
                <w:rFonts w:hint="eastAsia" w:ascii="仿宋_GB2312" w:hAnsi="仿宋_GB2312" w:cs="仿宋_GB2312"/>
                <w:kern w:val="0"/>
                <w:sz w:val="20"/>
                <w:szCs w:val="20"/>
              </w:rPr>
              <w:t>.049</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设备设施及物料类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危险化学品类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eastAsia="仿宋_GB2312" w:cs="仿宋_GB2312"/>
                <w:sz w:val="20"/>
                <w:szCs w:val="20"/>
                <w:lang w:eastAsia="zh-CN"/>
              </w:rPr>
            </w:pPr>
            <w:r>
              <w:rPr>
                <w:rFonts w:hint="eastAsia" w:ascii="仿宋_GB2312" w:hAnsi="仿宋_GB2312" w:cs="仿宋_GB2312"/>
                <w:sz w:val="20"/>
                <w:szCs w:val="20"/>
              </w:rPr>
              <w:t>用氢设备未按要求设置阻火器</w:t>
            </w:r>
            <w:r>
              <w:rPr>
                <w:rFonts w:hint="eastAsia" w:ascii="仿宋_GB2312" w:hAnsi="仿宋_GB2312" w:cs="仿宋_GB2312"/>
                <w:sz w:val="20"/>
                <w:szCs w:val="20"/>
                <w:lang w:eastAsia="zh-CN"/>
              </w:rPr>
              <w:t>。</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eastAsia="仿宋_GB2312" w:cs="仿宋_GB2312"/>
                <w:sz w:val="20"/>
                <w:szCs w:val="20"/>
                <w:lang w:eastAsia="zh-CN"/>
              </w:rPr>
            </w:pPr>
            <w:r>
              <w:rPr>
                <w:rFonts w:hint="eastAsia" w:ascii="仿宋_GB2312" w:hAnsi="仿宋_GB2312" w:cs="仿宋_GB2312"/>
                <w:sz w:val="20"/>
                <w:szCs w:val="20"/>
              </w:rPr>
              <w:t>氢气作焊接、切割、燃料和保护气等使用时，每台（组）用氢设备的支管上应设阻火器；氢气排放管应设阻火器，阻火器应设在管口处</w:t>
            </w:r>
            <w:r>
              <w:rPr>
                <w:rFonts w:hint="eastAsia" w:ascii="仿宋_GB2312" w:hAnsi="仿宋_GB2312" w:cs="仿宋_GB2312"/>
                <w:sz w:val="20"/>
                <w:szCs w:val="20"/>
                <w:lang w:eastAsia="zh-CN"/>
              </w:rPr>
              <w:t>。</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《氢气使用安全技术规程》（GB 4962-2008）第4.4.5条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color w:val="FF0000"/>
                <w:sz w:val="20"/>
                <w:szCs w:val="20"/>
              </w:rPr>
            </w:pPr>
            <w:r>
              <w:rPr>
                <w:rFonts w:hint="eastAsia" w:ascii="仿宋_GB2312" w:hAnsi="仿宋_GB2312" w:cs="仿宋_GB2312"/>
                <w:kern w:val="0"/>
                <w:sz w:val="20"/>
                <w:szCs w:val="20"/>
              </w:rPr>
              <w:t>02.</w:t>
            </w:r>
            <w:r>
              <w:rPr>
                <w:rFonts w:hint="eastAsia" w:ascii="仿宋_GB2312" w:hAnsi="仿宋_GB2312" w:cs="仿宋_GB2312"/>
                <w:sz w:val="20"/>
                <w:szCs w:val="20"/>
              </w:rPr>
              <w:t>2.12</w:t>
            </w:r>
            <w:r>
              <w:rPr>
                <w:rFonts w:hint="eastAsia" w:ascii="仿宋_GB2312" w:hAnsi="仿宋_GB2312" w:cs="仿宋_GB2312"/>
                <w:kern w:val="0"/>
                <w:sz w:val="20"/>
                <w:szCs w:val="20"/>
              </w:rPr>
              <w:t>.05</w:t>
            </w:r>
            <w:r>
              <w:rPr>
                <w:rFonts w:hint="eastAsia" w:ascii="仿宋_GB2312" w:hAnsi="仿宋_GB2312" w:cs="仿宋_GB2312"/>
                <w:kern w:val="0"/>
                <w:sz w:val="20"/>
                <w:szCs w:val="20"/>
                <w:lang w:val="en"/>
              </w:rPr>
              <w:t>0</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设备设施及物料类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危险化学品类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eastAsia="仿宋_GB2312" w:cs="仿宋_GB2312"/>
                <w:sz w:val="20"/>
                <w:szCs w:val="20"/>
                <w:lang w:eastAsia="zh-CN"/>
              </w:rPr>
            </w:pPr>
            <w:r>
              <w:rPr>
                <w:rFonts w:hint="eastAsia" w:ascii="仿宋_GB2312" w:hAnsi="仿宋_GB2312" w:cs="仿宋_GB2312"/>
                <w:sz w:val="20"/>
                <w:szCs w:val="20"/>
              </w:rPr>
              <w:t>氢气系统未设置惰性气体置换吹扫设施</w:t>
            </w:r>
            <w:r>
              <w:rPr>
                <w:rFonts w:hint="eastAsia" w:ascii="仿宋_GB2312" w:hAnsi="仿宋_GB2312" w:cs="仿宋_GB2312"/>
                <w:sz w:val="20"/>
                <w:szCs w:val="20"/>
                <w:lang w:eastAsia="zh-CN"/>
              </w:rPr>
              <w:t>。</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eastAsia="仿宋_GB2312" w:cs="仿宋_GB2312"/>
                <w:sz w:val="20"/>
                <w:szCs w:val="20"/>
                <w:lang w:eastAsia="zh-CN"/>
              </w:rPr>
            </w:pPr>
            <w:r>
              <w:rPr>
                <w:rFonts w:hint="eastAsia" w:ascii="仿宋_GB2312" w:hAnsi="仿宋_GB2312" w:cs="仿宋_GB2312"/>
                <w:sz w:val="20"/>
                <w:szCs w:val="20"/>
              </w:rPr>
              <w:t>氢气系统应设有氧含量小于3%的惰性气体置换吹扫设施</w:t>
            </w:r>
            <w:r>
              <w:rPr>
                <w:rFonts w:hint="eastAsia" w:ascii="仿宋_GB2312" w:hAnsi="仿宋_GB2312" w:cs="仿宋_GB2312"/>
                <w:sz w:val="20"/>
                <w:szCs w:val="20"/>
                <w:lang w:eastAsia="zh-CN"/>
              </w:rPr>
              <w:t>。</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《氢气使用安全技术规程》（GB 4962-2008）第4.3.4条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color w:val="FF0000"/>
                <w:sz w:val="20"/>
                <w:szCs w:val="20"/>
              </w:rPr>
            </w:pPr>
            <w:r>
              <w:rPr>
                <w:rFonts w:hint="eastAsia" w:ascii="仿宋_GB2312" w:hAnsi="仿宋_GB2312" w:cs="仿宋_GB2312"/>
                <w:kern w:val="0"/>
                <w:sz w:val="20"/>
                <w:szCs w:val="20"/>
              </w:rPr>
              <w:t>02.</w:t>
            </w:r>
            <w:r>
              <w:rPr>
                <w:rFonts w:hint="eastAsia" w:ascii="仿宋_GB2312" w:hAnsi="仿宋_GB2312" w:cs="仿宋_GB2312"/>
                <w:sz w:val="20"/>
                <w:szCs w:val="20"/>
              </w:rPr>
              <w:t>2.12</w:t>
            </w:r>
            <w:r>
              <w:rPr>
                <w:rFonts w:hint="eastAsia" w:ascii="仿宋_GB2312" w:hAnsi="仿宋_GB2312" w:cs="仿宋_GB2312"/>
                <w:kern w:val="0"/>
                <w:sz w:val="20"/>
                <w:szCs w:val="20"/>
              </w:rPr>
              <w:t>.05</w:t>
            </w:r>
            <w:r>
              <w:rPr>
                <w:rFonts w:hint="eastAsia" w:ascii="仿宋_GB2312" w:hAnsi="仿宋_GB2312" w:cs="仿宋_GB2312"/>
                <w:kern w:val="0"/>
                <w:sz w:val="20"/>
                <w:szCs w:val="20"/>
                <w:lang w:val="en"/>
              </w:rPr>
              <w:t>1</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设备设施及物料类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危险化学品类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eastAsia="仿宋_GB2312" w:cs="仿宋_GB2312"/>
                <w:sz w:val="20"/>
                <w:szCs w:val="20"/>
                <w:lang w:eastAsia="zh-CN"/>
              </w:rPr>
            </w:pPr>
            <w:r>
              <w:rPr>
                <w:rFonts w:hint="eastAsia" w:ascii="仿宋_GB2312" w:hAnsi="仿宋_GB2312" w:cs="仿宋_GB2312"/>
                <w:sz w:val="20"/>
                <w:szCs w:val="20"/>
              </w:rPr>
              <w:t>氢气管道穿过生活间、办公室、配电室、仪表室、楼梯间和其他不使用氢气的房间</w:t>
            </w:r>
            <w:r>
              <w:rPr>
                <w:rFonts w:hint="eastAsia" w:ascii="仿宋_GB2312" w:hAnsi="仿宋_GB2312" w:cs="仿宋_GB2312"/>
                <w:sz w:val="20"/>
                <w:szCs w:val="20"/>
                <w:lang w:eastAsia="zh-CN"/>
              </w:rPr>
              <w:t>。</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eastAsia="仿宋_GB2312" w:cs="仿宋_GB2312"/>
                <w:sz w:val="20"/>
                <w:szCs w:val="20"/>
                <w:lang w:eastAsia="zh-CN"/>
              </w:rPr>
            </w:pPr>
            <w:r>
              <w:rPr>
                <w:rFonts w:hint="eastAsia" w:ascii="仿宋_GB2312" w:hAnsi="仿宋_GB2312" w:cs="仿宋_GB2312"/>
                <w:sz w:val="20"/>
                <w:szCs w:val="20"/>
              </w:rPr>
              <w:t>氢气管道不得穿过生活间、办公室、配电室、仪表室、楼梯间和其他不使用氢气的房间</w:t>
            </w:r>
            <w:r>
              <w:rPr>
                <w:rFonts w:hint="eastAsia" w:ascii="仿宋_GB2312" w:hAnsi="仿宋_GB2312" w:cs="仿宋_GB2312"/>
                <w:sz w:val="20"/>
                <w:szCs w:val="20"/>
                <w:lang w:eastAsia="zh-CN"/>
              </w:rPr>
              <w:t>。</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《氢气使用安全技术规程》（GB 4962-2008）第4.4.7条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color w:val="FF0000"/>
                <w:sz w:val="20"/>
                <w:szCs w:val="20"/>
              </w:rPr>
            </w:pPr>
            <w:r>
              <w:rPr>
                <w:rFonts w:hint="eastAsia" w:ascii="仿宋_GB2312" w:hAnsi="仿宋_GB2312" w:cs="仿宋_GB2312"/>
                <w:color w:val="000000"/>
                <w:kern w:val="0"/>
                <w:sz w:val="20"/>
                <w:szCs w:val="20"/>
                <w:lang w:bidi="ar"/>
              </w:rPr>
              <w:t>02.</w:t>
            </w:r>
            <w:r>
              <w:rPr>
                <w:rFonts w:hint="eastAsia" w:ascii="仿宋_GB2312" w:hAnsi="仿宋_GB2312" w:cs="仿宋_GB2312"/>
                <w:sz w:val="20"/>
                <w:szCs w:val="20"/>
              </w:rPr>
              <w:t>2.12</w:t>
            </w:r>
            <w:r>
              <w:rPr>
                <w:rFonts w:hint="eastAsia" w:ascii="仿宋_GB2312" w:hAnsi="仿宋_GB2312" w:cs="仿宋_GB2312"/>
                <w:color w:val="000000"/>
                <w:kern w:val="0"/>
                <w:sz w:val="20"/>
                <w:szCs w:val="20"/>
                <w:lang w:bidi="ar"/>
              </w:rPr>
              <w:t>.05</w:t>
            </w:r>
            <w:r>
              <w:rPr>
                <w:rFonts w:hint="eastAsia" w:ascii="仿宋_GB2312" w:hAnsi="仿宋_GB2312" w:cs="仿宋_GB2312"/>
                <w:color w:val="000000"/>
                <w:kern w:val="0"/>
                <w:sz w:val="20"/>
                <w:szCs w:val="20"/>
                <w:lang w:val="en" w:bidi="ar"/>
              </w:rPr>
              <w:t>2</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设备设施及物料类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危险化学品类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eastAsia="仿宋_GB2312" w:cs="仿宋_GB2312"/>
                <w:sz w:val="20"/>
                <w:szCs w:val="20"/>
                <w:lang w:eastAsia="zh-CN"/>
              </w:rPr>
            </w:pPr>
            <w:r>
              <w:rPr>
                <w:rFonts w:hint="eastAsia" w:ascii="仿宋_GB2312" w:hAnsi="仿宋_GB2312" w:cs="仿宋_GB2312"/>
                <w:sz w:val="20"/>
                <w:szCs w:val="20"/>
              </w:rPr>
              <w:t>液氯未按要求储存于阴凉、通风的库房内；储存场所未设置泄漏应急处理设备</w:t>
            </w:r>
            <w:r>
              <w:rPr>
                <w:rFonts w:hint="eastAsia" w:ascii="仿宋_GB2312" w:hAnsi="仿宋_GB2312" w:cs="仿宋_GB2312"/>
                <w:sz w:val="20"/>
                <w:szCs w:val="20"/>
                <w:lang w:eastAsia="zh-CN"/>
              </w:rPr>
              <w:t>。</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eastAsia="仿宋_GB2312" w:cs="仿宋_GB2312"/>
                <w:sz w:val="20"/>
                <w:szCs w:val="20"/>
                <w:lang w:eastAsia="zh-CN"/>
              </w:rPr>
            </w:pPr>
            <w:r>
              <w:rPr>
                <w:rFonts w:hint="eastAsia" w:ascii="仿宋_GB2312" w:hAnsi="仿宋_GB2312" w:cs="仿宋_GB2312"/>
                <w:sz w:val="20"/>
                <w:szCs w:val="20"/>
              </w:rPr>
              <w:t>液氯应储存于阴凉、通风仓库内，库房温度不宜超过30℃，相对湿度不超过80％，防止阳光直射。空瓶和实瓶应分开放置，并应设置明显标志。储存区应备有泄漏应急处理设备</w:t>
            </w:r>
            <w:r>
              <w:rPr>
                <w:rFonts w:hint="eastAsia" w:ascii="仿宋_GB2312" w:hAnsi="仿宋_GB2312" w:cs="仿宋_GB2312"/>
                <w:sz w:val="20"/>
                <w:szCs w:val="20"/>
                <w:lang w:eastAsia="zh-CN"/>
              </w:rPr>
              <w:t>。</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《北京市重点监管的危险化学品安全措施和应急处置原则》第一部分：氯</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color w:val="FF0000"/>
                <w:sz w:val="20"/>
                <w:szCs w:val="20"/>
              </w:rPr>
            </w:pPr>
            <w:r>
              <w:rPr>
                <w:rFonts w:hint="eastAsia" w:ascii="仿宋_GB2312" w:hAnsi="仿宋_GB2312" w:cs="仿宋_GB2312"/>
                <w:color w:val="000000"/>
                <w:kern w:val="0"/>
                <w:sz w:val="20"/>
                <w:szCs w:val="20"/>
                <w:lang w:bidi="ar"/>
              </w:rPr>
              <w:t>02.</w:t>
            </w:r>
            <w:r>
              <w:rPr>
                <w:rFonts w:hint="eastAsia" w:ascii="仿宋_GB2312" w:hAnsi="仿宋_GB2312" w:cs="仿宋_GB2312"/>
                <w:sz w:val="20"/>
                <w:szCs w:val="20"/>
              </w:rPr>
              <w:t>2.12</w:t>
            </w:r>
            <w:r>
              <w:rPr>
                <w:rFonts w:hint="eastAsia" w:ascii="仿宋_GB2312" w:hAnsi="仿宋_GB2312" w:cs="仿宋_GB2312"/>
                <w:color w:val="000000"/>
                <w:kern w:val="0"/>
                <w:sz w:val="20"/>
                <w:szCs w:val="20"/>
                <w:lang w:bidi="ar"/>
              </w:rPr>
              <w:t>.05</w:t>
            </w:r>
            <w:r>
              <w:rPr>
                <w:rFonts w:hint="eastAsia" w:ascii="仿宋_GB2312" w:hAnsi="仿宋_GB2312" w:cs="仿宋_GB2312"/>
                <w:color w:val="000000"/>
                <w:kern w:val="0"/>
                <w:sz w:val="20"/>
                <w:szCs w:val="20"/>
                <w:lang w:val="en" w:bidi="ar"/>
              </w:rPr>
              <w:t>3</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设备设施及物料类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危险化学品类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eastAsia="仿宋_GB2312" w:cs="仿宋_GB2312"/>
                <w:sz w:val="20"/>
                <w:szCs w:val="20"/>
                <w:lang w:eastAsia="zh-CN"/>
              </w:rPr>
            </w:pPr>
            <w:r>
              <w:rPr>
                <w:rFonts w:hint="eastAsia" w:ascii="仿宋_GB2312" w:hAnsi="仿宋_GB2312" w:cs="仿宋_GB2312"/>
                <w:sz w:val="20"/>
                <w:szCs w:val="20"/>
              </w:rPr>
              <w:t>氯气管道未按要求敷设；地下管沟的涉氯管道未采用双层套管或缺少泄漏检测设施</w:t>
            </w:r>
            <w:r>
              <w:rPr>
                <w:rFonts w:hint="eastAsia" w:ascii="仿宋_GB2312" w:hAnsi="仿宋_GB2312" w:cs="仿宋_GB2312"/>
                <w:sz w:val="20"/>
                <w:szCs w:val="20"/>
                <w:lang w:eastAsia="zh-CN"/>
              </w:rPr>
              <w:t>。</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氯气管道不应穿（跨）越公共区域。氯气管道不应埋地敷设，厂区内需进入地下管沟的涉氯气管道应采用双层套管。双层套管的夹层内、切断阀的附近等位置应设泄漏检测设施。</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《特种气体系统工程技术标准》（GB 50646-2020）第6.3.5条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color w:val="FF0000"/>
                <w:sz w:val="20"/>
                <w:szCs w:val="20"/>
              </w:rPr>
            </w:pPr>
            <w:r>
              <w:rPr>
                <w:rFonts w:hint="eastAsia" w:ascii="仿宋_GB2312" w:hAnsi="仿宋_GB2312" w:cs="仿宋_GB2312"/>
                <w:color w:val="000000"/>
                <w:kern w:val="0"/>
                <w:sz w:val="20"/>
                <w:szCs w:val="20"/>
                <w:lang w:bidi="ar"/>
              </w:rPr>
              <w:t>02.</w:t>
            </w:r>
            <w:r>
              <w:rPr>
                <w:rFonts w:hint="eastAsia" w:ascii="仿宋_GB2312" w:hAnsi="仿宋_GB2312" w:cs="仿宋_GB2312"/>
                <w:sz w:val="20"/>
                <w:szCs w:val="20"/>
              </w:rPr>
              <w:t>2.12</w:t>
            </w:r>
            <w:r>
              <w:rPr>
                <w:rFonts w:hint="eastAsia" w:ascii="仿宋_GB2312" w:hAnsi="仿宋_GB2312" w:cs="仿宋_GB2312"/>
                <w:color w:val="000000"/>
                <w:kern w:val="0"/>
                <w:sz w:val="20"/>
                <w:szCs w:val="20"/>
                <w:lang w:bidi="ar"/>
              </w:rPr>
              <w:t>.0</w:t>
            </w:r>
            <w:r>
              <w:rPr>
                <w:rFonts w:hint="eastAsia" w:ascii="仿宋_GB2312" w:hAnsi="仿宋_GB2312" w:cs="仿宋_GB2312"/>
                <w:color w:val="000000"/>
                <w:kern w:val="0"/>
                <w:sz w:val="20"/>
                <w:szCs w:val="20"/>
                <w:lang w:val="en" w:bidi="ar"/>
              </w:rPr>
              <w:t>54</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设备设施及物料类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危险化学品类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eastAsia="仿宋_GB2312" w:cs="仿宋_GB2312"/>
                <w:sz w:val="20"/>
                <w:szCs w:val="20"/>
                <w:lang w:eastAsia="zh-CN"/>
              </w:rPr>
            </w:pPr>
            <w:r>
              <w:rPr>
                <w:rFonts w:hint="eastAsia" w:ascii="仿宋_GB2312" w:hAnsi="仿宋_GB2312" w:cs="仿宋_GB2312"/>
                <w:sz w:val="20"/>
                <w:szCs w:val="20"/>
              </w:rPr>
              <w:t>使用煤气（天然气）的设备设施未按规定设置压力监测报警装置、监测报警装置未与紧急自动切断装置联锁、火焰监测和熄火保护系统的</w:t>
            </w:r>
            <w:r>
              <w:rPr>
                <w:rFonts w:hint="eastAsia" w:ascii="仿宋_GB2312" w:hAnsi="仿宋_GB2312" w:cs="仿宋_GB2312"/>
                <w:sz w:val="20"/>
                <w:szCs w:val="20"/>
                <w:lang w:eastAsia="zh-CN"/>
              </w:rPr>
              <w:t>。</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工业企业有下列情形之一的，应当判定为重大事故隐患：</w:t>
            </w:r>
          </w:p>
          <w:p>
            <w:pPr>
              <w:suppressAutoHyphens/>
              <w:autoSpaceDE w:val="0"/>
              <w:autoSpaceDN w:val="0"/>
              <w:adjustRightInd w:val="0"/>
              <w:snapToGrid w:val="0"/>
              <w:spacing w:after="0" w:line="240" w:lineRule="auto"/>
              <w:rPr>
                <w:rFonts w:hint="eastAsia" w:ascii="仿宋_GB2312" w:hAnsi="仿宋_GB2312" w:eastAsia="仿宋_GB2312" w:cs="仿宋_GB2312"/>
                <w:sz w:val="20"/>
                <w:szCs w:val="20"/>
                <w:lang w:eastAsia="zh-CN"/>
              </w:rPr>
            </w:pPr>
            <w:r>
              <w:rPr>
                <w:rFonts w:hint="eastAsia" w:ascii="仿宋_GB2312" w:hAnsi="仿宋_GB2312" w:cs="仿宋_GB2312"/>
                <w:sz w:val="20"/>
                <w:szCs w:val="20"/>
              </w:rPr>
              <w:t>1.有色企业使用煤气（天然气）并强制送风的燃烧装置的燃气总管未设置压力监测报警装置，或者监测报警装置未与紧急自动切断装置联锁的</w:t>
            </w:r>
            <w:r>
              <w:rPr>
                <w:rFonts w:hint="eastAsia" w:ascii="仿宋_GB2312" w:hAnsi="仿宋_GB2312" w:cs="仿宋_GB2312"/>
                <w:sz w:val="20"/>
                <w:szCs w:val="20"/>
                <w:lang w:eastAsia="zh-CN"/>
              </w:rPr>
              <w:t>；</w:t>
            </w:r>
          </w:p>
          <w:p>
            <w:pPr>
              <w:suppressAutoHyphens/>
              <w:autoSpaceDE w:val="0"/>
              <w:autoSpaceDN w:val="0"/>
              <w:adjustRightInd w:val="0"/>
              <w:snapToGrid w:val="0"/>
              <w:spacing w:after="0" w:line="240" w:lineRule="auto"/>
              <w:rPr>
                <w:rFonts w:hint="eastAsia" w:ascii="仿宋_GB2312" w:hAnsi="仿宋_GB2312" w:eastAsia="仿宋_GB2312" w:cs="仿宋_GB2312"/>
                <w:sz w:val="20"/>
                <w:szCs w:val="20"/>
                <w:lang w:eastAsia="zh-CN"/>
              </w:rPr>
            </w:pPr>
            <w:r>
              <w:rPr>
                <w:rFonts w:hint="eastAsia" w:ascii="仿宋_GB2312" w:hAnsi="仿宋_GB2312" w:cs="仿宋_GB2312"/>
                <w:sz w:val="20"/>
                <w:szCs w:val="20"/>
              </w:rPr>
              <w:t>2.建材企业采用预混燃烧方式的燃气窑炉（热发生炉煤气窑炉除外）的燃气总管未设置管道压力监测报警装置，或者监测报警装置未与紧急自动切断装置联锁的</w:t>
            </w:r>
            <w:r>
              <w:rPr>
                <w:rFonts w:hint="eastAsia" w:ascii="仿宋_GB2312" w:hAnsi="仿宋_GB2312" w:cs="仿宋_GB2312"/>
                <w:sz w:val="20"/>
                <w:szCs w:val="20"/>
                <w:lang w:eastAsia="zh-CN"/>
              </w:rPr>
              <w:t>；</w:t>
            </w:r>
          </w:p>
          <w:p>
            <w:pPr>
              <w:suppressAutoHyphens/>
              <w:autoSpaceDE w:val="0"/>
              <w:autoSpaceDN w:val="0"/>
              <w:adjustRightInd w:val="0"/>
              <w:snapToGrid w:val="0"/>
              <w:spacing w:after="0" w:line="240" w:lineRule="auto"/>
              <w:rPr>
                <w:rFonts w:hint="eastAsia" w:ascii="仿宋_GB2312" w:hAnsi="仿宋_GB2312" w:eastAsia="仿宋_GB2312" w:cs="仿宋_GB2312"/>
                <w:sz w:val="20"/>
                <w:szCs w:val="20"/>
                <w:lang w:eastAsia="zh-CN"/>
              </w:rPr>
            </w:pPr>
            <w:r>
              <w:rPr>
                <w:rFonts w:hint="eastAsia" w:ascii="仿宋_GB2312" w:hAnsi="仿宋_GB2312" w:cs="仿宋_GB2312"/>
                <w:sz w:val="20"/>
                <w:szCs w:val="20"/>
              </w:rPr>
              <w:t>3.机械企业使用煤气（天然气）的燃烧装置的燃气总管未设置管道压力监测报警装置，或者监测报警装置未与紧急自动切断装置联锁，或者燃烧装置未设置火焰监测和熄火保护系统的</w:t>
            </w:r>
            <w:r>
              <w:rPr>
                <w:rFonts w:hint="eastAsia" w:ascii="仿宋_GB2312" w:hAnsi="仿宋_GB2312" w:cs="仿宋_GB2312"/>
                <w:sz w:val="20"/>
                <w:szCs w:val="20"/>
                <w:lang w:eastAsia="zh-CN"/>
              </w:rPr>
              <w:t>；</w:t>
            </w:r>
          </w:p>
          <w:p>
            <w:pPr>
              <w:suppressAutoHyphens/>
              <w:autoSpaceDE w:val="0"/>
              <w:autoSpaceDN w:val="0"/>
              <w:adjustRightInd w:val="0"/>
              <w:snapToGrid w:val="0"/>
              <w:spacing w:after="0" w:line="240" w:lineRule="auto"/>
              <w:rPr>
                <w:rFonts w:hint="eastAsia" w:ascii="仿宋_GB2312" w:hAnsi="仿宋_GB2312" w:eastAsia="仿宋_GB2312" w:cs="仿宋_GB2312"/>
                <w:sz w:val="20"/>
                <w:szCs w:val="20"/>
                <w:lang w:eastAsia="zh-CN"/>
              </w:rPr>
            </w:pPr>
            <w:r>
              <w:rPr>
                <w:rFonts w:hint="eastAsia" w:ascii="仿宋_GB2312" w:hAnsi="仿宋_GB2312" w:cs="仿宋_GB2312"/>
                <w:sz w:val="20"/>
                <w:szCs w:val="20"/>
              </w:rPr>
              <w:t>4.日用玻璃、陶瓷制造企业采用预混燃烧方式的燃气窑炉（热发生炉煤气窑炉除外）的燃气总管未设置管道压力监测报警装置，或者监测报警装置未与紧急自动切断装置联锁的</w:t>
            </w:r>
            <w:r>
              <w:rPr>
                <w:rFonts w:hint="eastAsia" w:ascii="仿宋_GB2312" w:hAnsi="仿宋_GB2312" w:cs="仿宋_GB2312"/>
                <w:sz w:val="20"/>
                <w:szCs w:val="20"/>
                <w:lang w:eastAsia="zh-CN"/>
              </w:rPr>
              <w:t>。</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《工贸企业重大事故隐患判定标准》（应急管理部令第10号）第五条至第八条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r>
              <w:rPr>
                <w:rFonts w:hint="eastAsia" w:ascii="仿宋_GB2312" w:hAnsi="仿宋_GB2312" w:cs="仿宋_GB2312"/>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color w:val="FF0000"/>
                <w:sz w:val="20"/>
                <w:szCs w:val="20"/>
              </w:rPr>
            </w:pPr>
            <w:r>
              <w:rPr>
                <w:rFonts w:hint="eastAsia" w:ascii="仿宋_GB2312" w:hAnsi="仿宋_GB2312" w:cs="仿宋_GB2312"/>
                <w:color w:val="000000"/>
                <w:kern w:val="0"/>
                <w:sz w:val="20"/>
                <w:szCs w:val="20"/>
                <w:lang w:bidi="ar"/>
              </w:rPr>
              <w:t>02.</w:t>
            </w:r>
            <w:r>
              <w:rPr>
                <w:rFonts w:hint="eastAsia" w:ascii="仿宋_GB2312" w:hAnsi="仿宋_GB2312" w:cs="仿宋_GB2312"/>
                <w:sz w:val="20"/>
                <w:szCs w:val="20"/>
              </w:rPr>
              <w:t>2.12</w:t>
            </w:r>
            <w:r>
              <w:rPr>
                <w:rFonts w:hint="eastAsia" w:ascii="仿宋_GB2312" w:hAnsi="仿宋_GB2312" w:cs="仿宋_GB2312"/>
                <w:color w:val="000000"/>
                <w:kern w:val="0"/>
                <w:sz w:val="20"/>
                <w:szCs w:val="20"/>
                <w:lang w:bidi="ar"/>
              </w:rPr>
              <w:t>.0</w:t>
            </w:r>
            <w:r>
              <w:rPr>
                <w:rFonts w:hint="eastAsia" w:ascii="仿宋_GB2312" w:hAnsi="仿宋_GB2312" w:cs="仿宋_GB2312"/>
                <w:color w:val="000000"/>
                <w:kern w:val="0"/>
                <w:sz w:val="20"/>
                <w:szCs w:val="20"/>
                <w:lang w:val="en" w:bidi="ar"/>
              </w:rPr>
              <w:t>55</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设备设施及物料类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危险化学品类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机械企业使用可燃性有机溶剂清洗设备设施、工装器具、地面时，未采取防止可燃气体在周边密闭或者半密闭空间内积聚措施的；</w:t>
            </w:r>
          </w:p>
          <w:p>
            <w:pPr>
              <w:suppressAutoHyphens/>
              <w:autoSpaceDE w:val="0"/>
              <w:autoSpaceDN w:val="0"/>
              <w:adjustRightInd w:val="0"/>
              <w:snapToGrid w:val="0"/>
              <w:spacing w:after="0" w:line="240" w:lineRule="auto"/>
              <w:rPr>
                <w:rFonts w:hint="eastAsia" w:ascii="仿宋_GB2312" w:hAnsi="仿宋_GB2312" w:eastAsia="仿宋_GB2312" w:cs="仿宋_GB2312"/>
                <w:sz w:val="20"/>
                <w:szCs w:val="20"/>
                <w:lang w:eastAsia="zh-CN"/>
              </w:rPr>
            </w:pPr>
            <w:r>
              <w:rPr>
                <w:rFonts w:hint="eastAsia" w:ascii="仿宋_GB2312" w:hAnsi="仿宋_GB2312" w:cs="仿宋_GB2312"/>
                <w:sz w:val="20"/>
                <w:szCs w:val="20"/>
              </w:rPr>
              <w:t>机械、轻工企业使用非水性漆的调漆间、喷漆室未设置固定式可燃气体浓度监测报警装置或者通风设施的</w:t>
            </w:r>
            <w:r>
              <w:rPr>
                <w:rFonts w:hint="eastAsia" w:ascii="仿宋_GB2312" w:hAnsi="仿宋_GB2312" w:cs="仿宋_GB2312"/>
                <w:sz w:val="20"/>
                <w:szCs w:val="20"/>
                <w:lang w:eastAsia="zh-CN"/>
              </w:rPr>
              <w:t>。</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企业有下列情形之一的，应当判定为重大事故隐患：</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1.机械企业使用可燃性有机溶剂清洗设备设施、工装器具、地面时，未采取防止可燃气体在周边密闭或者半密闭空间内积聚措施的；</w:t>
            </w:r>
          </w:p>
          <w:p>
            <w:pPr>
              <w:suppressAutoHyphens/>
              <w:autoSpaceDE w:val="0"/>
              <w:autoSpaceDN w:val="0"/>
              <w:adjustRightInd w:val="0"/>
              <w:snapToGrid w:val="0"/>
              <w:spacing w:after="0" w:line="240" w:lineRule="auto"/>
              <w:rPr>
                <w:rFonts w:hint="eastAsia" w:ascii="仿宋_GB2312" w:hAnsi="仿宋_GB2312" w:eastAsia="仿宋_GB2312" w:cs="仿宋_GB2312"/>
                <w:sz w:val="20"/>
                <w:szCs w:val="20"/>
                <w:lang w:eastAsia="zh-CN"/>
              </w:rPr>
            </w:pPr>
            <w:r>
              <w:rPr>
                <w:rFonts w:hint="eastAsia" w:ascii="仿宋_GB2312" w:hAnsi="仿宋_GB2312" w:cs="仿宋_GB2312"/>
                <w:sz w:val="20"/>
                <w:szCs w:val="20"/>
              </w:rPr>
              <w:t>2.机械、轻工企业使用非水性漆的调漆间、喷漆室未设置固定式可燃气体浓度监测报警装置或者通风设施的</w:t>
            </w:r>
            <w:r>
              <w:rPr>
                <w:rFonts w:hint="eastAsia" w:ascii="仿宋_GB2312" w:hAnsi="仿宋_GB2312" w:cs="仿宋_GB2312"/>
                <w:sz w:val="20"/>
                <w:szCs w:val="20"/>
                <w:lang w:eastAsia="zh-CN"/>
              </w:rPr>
              <w:t>。</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《工贸企业重大事故隐患判定标准》（应急管理部令第10号）第七条、第八条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r>
              <w:rPr>
                <w:rFonts w:hint="eastAsia" w:ascii="仿宋_GB2312" w:hAnsi="仿宋_GB2312" w:cs="仿宋_GB2312"/>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sz w:val="20"/>
                <w:szCs w:val="20"/>
              </w:rPr>
            </w:pPr>
            <w:r>
              <w:rPr>
                <w:rFonts w:hint="eastAsia" w:ascii="仿宋_GB2312" w:hAnsi="仿宋_GB2312" w:cs="仿宋_GB2312"/>
                <w:sz w:val="20"/>
                <w:szCs w:val="20"/>
              </w:rPr>
              <w:t>02.2.12</w:t>
            </w:r>
            <w:r>
              <w:rPr>
                <w:rFonts w:hint="eastAsia" w:ascii="仿宋_GB2312" w:hAnsi="仿宋_GB2312" w:cs="仿宋_GB2312"/>
                <w:sz w:val="20"/>
                <w:szCs w:val="20"/>
                <w:lang w:val="en"/>
              </w:rPr>
              <w:t>.056</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设备设施及物料类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危险化学品类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液氧的贮存、汽化、充装、使用场所的周围5m内有通向低处场所（如地下室、坑穴、地井、沟渠）的开口；地沟入口处缺少挡液堰。</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液氧的贮存、汽化、充装、使用场所的周围5m内不应有通向低处场所（如地下室、坑穴、地井、沟渠）的开口；地沟入口处必须有挡液堰。</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《低温液体贮运设备 使用安全规则》（JB</w:t>
            </w:r>
            <w:r>
              <w:rPr>
                <w:rFonts w:hint="eastAsia" w:ascii="仿宋_GB2312" w:hAnsi="仿宋_GB2312" w:cs="仿宋_GB2312"/>
                <w:sz w:val="20"/>
                <w:szCs w:val="20"/>
                <w:lang w:val="en-US" w:eastAsia="zh-CN"/>
              </w:rPr>
              <w:t xml:space="preserve"> </w:t>
            </w:r>
            <w:r>
              <w:rPr>
                <w:rFonts w:hint="eastAsia" w:ascii="仿宋_GB2312" w:hAnsi="仿宋_GB2312" w:cs="仿宋_GB2312"/>
                <w:sz w:val="20"/>
                <w:szCs w:val="20"/>
              </w:rPr>
              <w:t>6898-2015）第4.2.12条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sz w:val="20"/>
                <w:szCs w:val="20"/>
              </w:rPr>
            </w:pPr>
            <w:r>
              <w:rPr>
                <w:rFonts w:hint="eastAsia" w:ascii="仿宋_GB2312" w:hAnsi="仿宋_GB2312" w:cs="仿宋_GB2312"/>
                <w:color w:val="000000"/>
                <w:kern w:val="0"/>
                <w:sz w:val="20"/>
                <w:szCs w:val="20"/>
                <w:lang w:bidi="ar"/>
              </w:rPr>
              <w:t>02.</w:t>
            </w:r>
            <w:r>
              <w:rPr>
                <w:rFonts w:hint="eastAsia" w:ascii="仿宋_GB2312" w:hAnsi="仿宋_GB2312" w:cs="仿宋_GB2312"/>
                <w:sz w:val="20"/>
                <w:szCs w:val="20"/>
              </w:rPr>
              <w:t>2.12</w:t>
            </w:r>
            <w:r>
              <w:rPr>
                <w:rFonts w:hint="eastAsia" w:ascii="仿宋_GB2312" w:hAnsi="仿宋_GB2312" w:cs="仿宋_GB2312"/>
                <w:color w:val="000000"/>
                <w:kern w:val="0"/>
                <w:sz w:val="20"/>
                <w:szCs w:val="20"/>
                <w:lang w:bidi="ar"/>
              </w:rPr>
              <w:t>.</w:t>
            </w:r>
            <w:r>
              <w:rPr>
                <w:rFonts w:hint="eastAsia" w:ascii="仿宋_GB2312" w:hAnsi="仿宋_GB2312" w:cs="仿宋_GB2312"/>
                <w:color w:val="000000"/>
                <w:kern w:val="0"/>
                <w:sz w:val="20"/>
                <w:szCs w:val="20"/>
                <w:lang w:val="en" w:bidi="ar"/>
              </w:rPr>
              <w:t>057</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设备设施及物料类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危险化学品类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氧气、氮气等放散管和液氧、液氮等排放管未引至室外安全处，放散管口距地面低于4.5m。</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氧气、氮气等放散管和液氧、液氮等排放管应引至室外安全处，放散管口距地面不得低于4.5m。</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《氧气站设计规范》 （GB50030-2013）第6.0.13条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sz w:val="20"/>
                <w:szCs w:val="20"/>
              </w:rPr>
            </w:pPr>
            <w:r>
              <w:rPr>
                <w:rFonts w:hint="eastAsia" w:ascii="仿宋_GB2312" w:hAnsi="仿宋_GB2312" w:cs="仿宋_GB2312"/>
                <w:color w:val="000000"/>
                <w:kern w:val="0"/>
                <w:sz w:val="20"/>
                <w:szCs w:val="20"/>
                <w:lang w:bidi="ar"/>
              </w:rPr>
              <w:t>02.</w:t>
            </w:r>
            <w:r>
              <w:rPr>
                <w:rFonts w:hint="eastAsia" w:ascii="仿宋_GB2312" w:hAnsi="仿宋_GB2312" w:cs="仿宋_GB2312"/>
                <w:sz w:val="20"/>
                <w:szCs w:val="20"/>
              </w:rPr>
              <w:t>2.12</w:t>
            </w:r>
            <w:r>
              <w:rPr>
                <w:rFonts w:hint="eastAsia" w:ascii="仿宋_GB2312" w:hAnsi="仿宋_GB2312" w:cs="仿宋_GB2312"/>
                <w:color w:val="000000"/>
                <w:kern w:val="0"/>
                <w:sz w:val="20"/>
                <w:szCs w:val="20"/>
                <w:lang w:bidi="ar"/>
              </w:rPr>
              <w:t>.</w:t>
            </w:r>
            <w:r>
              <w:rPr>
                <w:rFonts w:hint="eastAsia" w:ascii="仿宋_GB2312" w:hAnsi="仿宋_GB2312" w:cs="仿宋_GB2312"/>
                <w:color w:val="000000"/>
                <w:kern w:val="0"/>
                <w:sz w:val="20"/>
                <w:szCs w:val="20"/>
                <w:lang w:val="en" w:bidi="ar"/>
              </w:rPr>
              <w:t>058</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设备设施及物料类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危险化学品类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氧气管道穿过不使用氧气的房间。</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氧气管道不应穿过不使用氧气的房间。</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《氧气站设计规范》（GB 50030-2013）第11.0.4条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sz w:val="20"/>
                <w:szCs w:val="20"/>
              </w:rPr>
            </w:pPr>
            <w:r>
              <w:rPr>
                <w:rFonts w:hint="eastAsia" w:ascii="仿宋_GB2312" w:hAnsi="仿宋_GB2312" w:cs="仿宋_GB2312"/>
                <w:sz w:val="20"/>
                <w:szCs w:val="20"/>
              </w:rPr>
              <w:t>02.3.02</w:t>
            </w:r>
            <w:r>
              <w:rPr>
                <w:rFonts w:hint="eastAsia" w:ascii="仿宋_GB2312" w:hAnsi="仿宋_GB2312" w:cs="仿宋_GB2312"/>
                <w:sz w:val="20"/>
                <w:szCs w:val="20"/>
                <w:lang w:val="en"/>
              </w:rPr>
              <w:t>.059</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人员类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操作行为类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eastAsia="仿宋_GB2312" w:cs="仿宋_GB2312"/>
                <w:sz w:val="20"/>
                <w:szCs w:val="20"/>
                <w:lang w:eastAsia="zh-CN"/>
              </w:rPr>
            </w:pPr>
            <w:r>
              <w:rPr>
                <w:rFonts w:hint="eastAsia" w:ascii="仿宋_GB2312" w:hAnsi="仿宋_GB2312" w:cs="仿宋_GB2312"/>
                <w:sz w:val="20"/>
                <w:szCs w:val="20"/>
              </w:rPr>
              <w:t>焊接与切割作业中，危险化学品暂存场所与明火距离不足时未采取安全措施</w:t>
            </w:r>
            <w:r>
              <w:rPr>
                <w:rFonts w:hint="eastAsia" w:ascii="仿宋_GB2312" w:hAnsi="仿宋_GB2312" w:cs="仿宋_GB2312"/>
                <w:sz w:val="20"/>
                <w:szCs w:val="20"/>
                <w:lang w:eastAsia="zh-CN"/>
              </w:rPr>
              <w:t>。</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焊接或切割作业只应在无火灾隐患的条件下实施。</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有条件时，应将工件移至指定的安全区进行焊接或切割作业；</w:t>
            </w:r>
          </w:p>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工件及火源都无法转移时，应采取措施限制火源以免发生火灾。</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《焊接与切割安全》（GB 9448-2025）第7.3条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sz w:val="20"/>
                <w:szCs w:val="20"/>
              </w:rPr>
            </w:pPr>
            <w:r>
              <w:rPr>
                <w:rFonts w:hint="eastAsia" w:ascii="仿宋_GB2312" w:hAnsi="仿宋_GB2312" w:cs="仿宋_GB2312"/>
                <w:color w:val="000000"/>
                <w:kern w:val="0"/>
                <w:sz w:val="20"/>
                <w:szCs w:val="20"/>
                <w:lang w:bidi="ar"/>
              </w:rPr>
              <w:t>02.</w:t>
            </w:r>
            <w:r>
              <w:rPr>
                <w:rFonts w:hint="eastAsia" w:ascii="仿宋_GB2312" w:hAnsi="仿宋_GB2312" w:cs="仿宋_GB2312"/>
                <w:sz w:val="20"/>
                <w:szCs w:val="20"/>
              </w:rPr>
              <w:t>3.02</w:t>
            </w:r>
            <w:r>
              <w:rPr>
                <w:rFonts w:hint="eastAsia" w:ascii="仿宋_GB2312" w:hAnsi="仿宋_GB2312" w:cs="仿宋_GB2312"/>
                <w:sz w:val="20"/>
                <w:szCs w:val="20"/>
                <w:lang w:val="en"/>
              </w:rPr>
              <w:t>.</w:t>
            </w:r>
            <w:r>
              <w:rPr>
                <w:rFonts w:hint="eastAsia" w:ascii="仿宋_GB2312" w:hAnsi="仿宋_GB2312" w:cs="仿宋_GB2312"/>
                <w:color w:val="000000"/>
                <w:kern w:val="0"/>
                <w:sz w:val="20"/>
                <w:szCs w:val="20"/>
                <w:lang w:val="en" w:bidi="ar"/>
              </w:rPr>
              <w:t>060</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人员类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操作行为类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野蛮装卸、搬运危险化学品。</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装卸、搬运危险化学品时应轻装、轻卸，不应摔、碰、撞击、拖拉、摩擦、倾倒和滚动。</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《危险化学品储存场所建设及储存安全要求》（DB11/T 755）第5.1.2.11条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sz w:val="20"/>
                <w:szCs w:val="20"/>
              </w:rPr>
            </w:pPr>
            <w:r>
              <w:rPr>
                <w:rFonts w:hint="eastAsia" w:ascii="仿宋_GB2312" w:hAnsi="仿宋_GB2312" w:cs="仿宋_GB2312"/>
                <w:sz w:val="20"/>
                <w:szCs w:val="20"/>
              </w:rPr>
              <w:t>02.3.02</w:t>
            </w:r>
            <w:r>
              <w:rPr>
                <w:rFonts w:hint="eastAsia" w:ascii="仿宋_GB2312" w:hAnsi="仿宋_GB2312" w:cs="仿宋_GB2312"/>
                <w:sz w:val="20"/>
                <w:szCs w:val="20"/>
                <w:lang w:val="en"/>
              </w:rPr>
              <w:t>.061</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人员类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操作行为类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在储存场所内对危险化学品进行分装、改装和堆积可燃性物品。</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不应在储存场所内对危险化学品进行分装、改装和堆积可燃性物品。</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《危险化学品储存场所建设及储存安全要求》（DB11/T 755）第5.1.2.14条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 w:type="pct"/>
            <w:vAlign w:val="center"/>
          </w:tcPr>
          <w:p>
            <w:pPr>
              <w:widowControl/>
              <w:adjustRightInd w:val="0"/>
              <w:snapToGrid w:val="0"/>
              <w:spacing w:after="0" w:line="240" w:lineRule="auto"/>
              <w:jc w:val="center"/>
              <w:textAlignment w:val="center"/>
              <w:rPr>
                <w:rFonts w:hint="eastAsia" w:ascii="仿宋_GB2312" w:hAnsi="仿宋_GB2312" w:cs="仿宋_GB2312"/>
                <w:sz w:val="20"/>
                <w:szCs w:val="20"/>
              </w:rPr>
            </w:pPr>
            <w:r>
              <w:rPr>
                <w:rFonts w:hint="eastAsia" w:ascii="仿宋_GB2312" w:hAnsi="仿宋_GB2312" w:cs="仿宋_GB2312"/>
                <w:color w:val="000000"/>
                <w:kern w:val="0"/>
                <w:sz w:val="20"/>
                <w:szCs w:val="20"/>
                <w:lang w:bidi="ar"/>
              </w:rPr>
              <w:t>02.</w:t>
            </w:r>
            <w:r>
              <w:rPr>
                <w:rFonts w:hint="eastAsia" w:ascii="仿宋_GB2312" w:hAnsi="仿宋_GB2312" w:cs="仿宋_GB2312"/>
                <w:sz w:val="20"/>
                <w:szCs w:val="20"/>
              </w:rPr>
              <w:t>3.02</w:t>
            </w:r>
            <w:r>
              <w:rPr>
                <w:rFonts w:hint="eastAsia" w:ascii="仿宋_GB2312" w:hAnsi="仿宋_GB2312" w:cs="仿宋_GB2312"/>
                <w:sz w:val="20"/>
                <w:szCs w:val="20"/>
                <w:lang w:val="en"/>
              </w:rPr>
              <w:t>.</w:t>
            </w:r>
            <w:r>
              <w:rPr>
                <w:rFonts w:hint="eastAsia" w:ascii="仿宋_GB2312" w:hAnsi="仿宋_GB2312" w:cs="仿宋_GB2312"/>
                <w:color w:val="000000"/>
                <w:kern w:val="0"/>
                <w:sz w:val="20"/>
                <w:szCs w:val="20"/>
                <w:lang w:val="en" w:bidi="ar"/>
              </w:rPr>
              <w:t>062</w:t>
            </w:r>
          </w:p>
        </w:tc>
        <w:tc>
          <w:tcPr>
            <w:tcW w:w="378"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人员类</w:t>
            </w:r>
          </w:p>
        </w:tc>
        <w:tc>
          <w:tcPr>
            <w:tcW w:w="390" w:type="pct"/>
            <w:vAlign w:val="center"/>
          </w:tcPr>
          <w:p>
            <w:pPr>
              <w:suppressAutoHyphens/>
              <w:autoSpaceDE w:val="0"/>
              <w:autoSpaceDN w:val="0"/>
              <w:adjustRightInd w:val="0"/>
              <w:snapToGrid w:val="0"/>
              <w:spacing w:after="0" w:line="240" w:lineRule="auto"/>
              <w:jc w:val="center"/>
              <w:rPr>
                <w:rFonts w:hint="eastAsia" w:ascii="仿宋_GB2312" w:hAnsi="仿宋_GB2312" w:cs="仿宋_GB2312"/>
                <w:sz w:val="20"/>
                <w:szCs w:val="20"/>
              </w:rPr>
            </w:pPr>
            <w:r>
              <w:rPr>
                <w:rFonts w:hint="eastAsia" w:ascii="仿宋_GB2312" w:hAnsi="仿宋_GB2312" w:cs="仿宋_GB2312"/>
                <w:sz w:val="20"/>
                <w:szCs w:val="20"/>
              </w:rPr>
              <w:t>操作行为类</w:t>
            </w:r>
          </w:p>
        </w:tc>
        <w:tc>
          <w:tcPr>
            <w:tcW w:w="1016"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剧毒化学品、爆炸品的领取，未由双人以当日使用或实验的用量领取，如有剩余未在当日由双人退回。实行“双人验收、双人保管、双人发放、双本账、双把锁”的五双管理。</w:t>
            </w:r>
          </w:p>
        </w:tc>
        <w:tc>
          <w:tcPr>
            <w:tcW w:w="1365"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剧毒化学品、爆炸品的领取，应由双人以当日使用或实验的用量领取，如有剩余应在当日由双人退回。实行“双人验收、双人保管、双人发放、双本账、双把锁”管理。</w:t>
            </w:r>
          </w:p>
        </w:tc>
        <w:tc>
          <w:tcPr>
            <w:tcW w:w="1348" w:type="pct"/>
            <w:vAlign w:val="center"/>
          </w:tcPr>
          <w:p>
            <w:pPr>
              <w:suppressAutoHyphens/>
              <w:autoSpaceDE w:val="0"/>
              <w:autoSpaceDN w:val="0"/>
              <w:adjustRightInd w:val="0"/>
              <w:snapToGrid w:val="0"/>
              <w:spacing w:after="0" w:line="240" w:lineRule="auto"/>
              <w:rPr>
                <w:rFonts w:hint="eastAsia" w:ascii="仿宋_GB2312" w:hAnsi="仿宋_GB2312" w:cs="仿宋_GB2312"/>
                <w:sz w:val="20"/>
                <w:szCs w:val="20"/>
              </w:rPr>
            </w:pPr>
            <w:r>
              <w:rPr>
                <w:rFonts w:hint="eastAsia" w:ascii="仿宋_GB2312" w:hAnsi="仿宋_GB2312" w:cs="仿宋_GB2312"/>
                <w:sz w:val="20"/>
                <w:szCs w:val="20"/>
              </w:rPr>
              <w:t>《危险化学品储存场所建设及储存安全要求》（DB11/T 755）第5.1.1.10条</w:t>
            </w:r>
          </w:p>
        </w:tc>
        <w:tc>
          <w:tcPr>
            <w:tcW w:w="157" w:type="pct"/>
            <w:vAlign w:val="center"/>
          </w:tcPr>
          <w:p>
            <w:pPr>
              <w:widowControl/>
              <w:adjustRightInd w:val="0"/>
              <w:snapToGrid w:val="0"/>
              <w:spacing w:after="0" w:line="240" w:lineRule="auto"/>
              <w:jc w:val="center"/>
              <w:rPr>
                <w:rFonts w:hint="eastAsia" w:ascii="仿宋_GB2312" w:hAnsi="仿宋_GB2312" w:cs="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00" w:type="pct"/>
            <w:gridSpan w:val="7"/>
            <w:noWrap/>
            <w:vAlign w:val="center"/>
          </w:tcPr>
          <w:p>
            <w:pPr>
              <w:adjustRightInd w:val="0"/>
              <w:snapToGrid w:val="0"/>
              <w:spacing w:after="0" w:line="240" w:lineRule="auto"/>
              <w:rPr>
                <w:rFonts w:hint="eastAsia" w:ascii="仿宋_GB2312" w:hAnsi="仿宋_GB2312" w:cs="仿宋_GB2312"/>
                <w:kern w:val="0"/>
                <w:sz w:val="20"/>
                <w:szCs w:val="20"/>
              </w:rPr>
            </w:pPr>
            <w:r>
              <w:rPr>
                <w:rFonts w:hint="eastAsia" w:ascii="仿宋_GB2312" w:hAnsi="仿宋_GB2312" w:cs="仿宋_GB2312"/>
                <w:kern w:val="0"/>
                <w:sz w:val="20"/>
                <w:szCs w:val="20"/>
              </w:rPr>
              <w:t>注：加★为冶金有色建材机械轻工纺织烟草行业重大事故隐患。</w:t>
            </w:r>
          </w:p>
        </w:tc>
      </w:tr>
    </w:tbl>
    <w:p>
      <w:pPr>
        <w:pStyle w:val="2"/>
        <w:adjustRightInd w:val="0"/>
        <w:snapToGrid w:val="0"/>
        <w:spacing w:before="156" w:beforeLines="50" w:after="156" w:afterLines="50" w:line="800" w:lineRule="exact"/>
        <w:ind w:firstLine="0" w:firstLineChars="0"/>
        <w:jc w:val="center"/>
        <w:rPr>
          <w:rFonts w:hint="eastAsia" w:ascii="方正小标宋简体" w:hAnsi="方正小标宋简体" w:eastAsia="方正小标宋简体" w:cs="方正小标宋简体"/>
          <w:kern w:val="2"/>
          <w:sz w:val="44"/>
          <w:szCs w:val="44"/>
          <w:lang w:bidi="ar"/>
        </w:rPr>
        <w:sectPr>
          <w:footerReference r:id="rId8" w:type="default"/>
          <w:pgSz w:w="16838" w:h="11906" w:orient="landscape"/>
          <w:pgMar w:top="1800" w:right="1440" w:bottom="1800" w:left="1440" w:header="851" w:footer="992" w:gutter="0"/>
          <w:pgNumType w:fmt="decimal"/>
          <w:cols w:space="425" w:num="1"/>
          <w:docGrid w:type="lines" w:linePitch="312" w:charSpace="0"/>
        </w:sectPr>
      </w:pPr>
    </w:p>
    <w:p>
      <w:pPr>
        <w:adjustRightInd w:val="0"/>
        <w:snapToGrid w:val="0"/>
        <w:spacing w:line="240" w:lineRule="auto"/>
        <w:jc w:val="center"/>
        <w:rPr>
          <w:rFonts w:hint="eastAsia" w:ascii="方正小标宋简体" w:hAnsi="方正小标宋简体" w:eastAsia="方正小标宋简体" w:cs="方正小标宋简体"/>
          <w:sz w:val="44"/>
          <w:szCs w:val="44"/>
        </w:rPr>
      </w:pPr>
      <w:bookmarkStart w:id="14" w:name="_Toc1058078259_WPSOffice_Level1"/>
      <w:r>
        <w:rPr>
          <w:rFonts w:hint="eastAsia" w:ascii="方正小标宋简体" w:hAnsi="方正小标宋简体" w:eastAsia="方正小标宋简体" w:cs="方正小标宋简体"/>
          <w:sz w:val="44"/>
          <w:szCs w:val="44"/>
        </w:rPr>
        <w:t>北京市其他类型使用单位危险化学品隐患自查清单</w:t>
      </w:r>
      <w:bookmarkEnd w:id="14"/>
    </w:p>
    <w:tbl>
      <w:tblPr>
        <w:tblStyle w:val="12"/>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020"/>
        <w:gridCol w:w="1007"/>
        <w:gridCol w:w="1104"/>
        <w:gridCol w:w="2871"/>
        <w:gridCol w:w="3911"/>
        <w:gridCol w:w="3882"/>
        <w:gridCol w:w="38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tblHeader/>
        </w:trPr>
        <w:tc>
          <w:tcPr>
            <w:tcW w:w="359" w:type="pct"/>
            <w:vMerge w:val="restart"/>
            <w:tcBorders>
              <w:tl2br w:val="nil"/>
              <w:tr2bl w:val="nil"/>
            </w:tcBorders>
            <w:shd w:val="clear" w:color="auto" w:fill="B4C6E7"/>
            <w:vAlign w:val="center"/>
          </w:tcPr>
          <w:p>
            <w:pPr>
              <w:widowControl/>
              <w:adjustRightInd w:val="0"/>
              <w:snapToGrid w:val="0"/>
              <w:spacing w:after="0" w:line="240" w:lineRule="auto"/>
              <w:jc w:val="center"/>
              <w:rPr>
                <w:rFonts w:hint="eastAsia" w:ascii="仿宋_GB2312" w:hAnsi="仿宋_GB2312" w:cs="仿宋_GB2312"/>
                <w:b/>
                <w:bCs/>
                <w:kern w:val="0"/>
                <w:sz w:val="20"/>
                <w:szCs w:val="20"/>
              </w:rPr>
            </w:pPr>
            <w:r>
              <w:rPr>
                <w:rFonts w:hint="eastAsia" w:ascii="仿宋_GB2312" w:hAnsi="仿宋_GB2312" w:cs="仿宋_GB2312"/>
                <w:b/>
                <w:bCs/>
                <w:kern w:val="0"/>
                <w:sz w:val="20"/>
                <w:szCs w:val="20"/>
              </w:rPr>
              <w:t>编号</w:t>
            </w:r>
          </w:p>
        </w:tc>
        <w:tc>
          <w:tcPr>
            <w:tcW w:w="744" w:type="pct"/>
            <w:gridSpan w:val="2"/>
            <w:tcBorders>
              <w:tl2br w:val="nil"/>
              <w:tr2bl w:val="nil"/>
            </w:tcBorders>
            <w:shd w:val="clear" w:color="auto" w:fill="B4C6E7"/>
            <w:vAlign w:val="center"/>
          </w:tcPr>
          <w:p>
            <w:pPr>
              <w:widowControl/>
              <w:adjustRightInd w:val="0"/>
              <w:snapToGrid w:val="0"/>
              <w:spacing w:after="0" w:line="240" w:lineRule="auto"/>
              <w:jc w:val="center"/>
              <w:rPr>
                <w:rFonts w:hint="eastAsia" w:ascii="仿宋_GB2312" w:hAnsi="仿宋_GB2312" w:cs="仿宋_GB2312"/>
                <w:b/>
                <w:bCs/>
                <w:kern w:val="0"/>
                <w:sz w:val="20"/>
                <w:szCs w:val="20"/>
              </w:rPr>
            </w:pPr>
            <w:r>
              <w:rPr>
                <w:rFonts w:hint="eastAsia" w:ascii="仿宋_GB2312" w:hAnsi="仿宋_GB2312" w:cs="仿宋_GB2312"/>
                <w:b/>
                <w:bCs/>
                <w:kern w:val="0"/>
                <w:sz w:val="20"/>
                <w:szCs w:val="20"/>
              </w:rPr>
              <w:t>隐患分类</w:t>
            </w:r>
          </w:p>
        </w:tc>
        <w:tc>
          <w:tcPr>
            <w:tcW w:w="1012" w:type="pct"/>
            <w:vMerge w:val="restart"/>
            <w:tcBorders>
              <w:tl2br w:val="nil"/>
              <w:tr2bl w:val="nil"/>
            </w:tcBorders>
            <w:shd w:val="clear" w:color="auto" w:fill="B4C6E7"/>
            <w:vAlign w:val="center"/>
          </w:tcPr>
          <w:p>
            <w:pPr>
              <w:widowControl/>
              <w:adjustRightInd w:val="0"/>
              <w:snapToGrid w:val="0"/>
              <w:spacing w:after="0" w:line="240" w:lineRule="auto"/>
              <w:jc w:val="center"/>
              <w:rPr>
                <w:rFonts w:hint="eastAsia" w:ascii="仿宋_GB2312" w:hAnsi="仿宋_GB2312" w:cs="仿宋_GB2312"/>
                <w:b/>
                <w:bCs/>
                <w:kern w:val="0"/>
                <w:sz w:val="20"/>
                <w:szCs w:val="20"/>
              </w:rPr>
            </w:pPr>
            <w:r>
              <w:rPr>
                <w:rFonts w:hint="eastAsia" w:ascii="仿宋_GB2312" w:hAnsi="仿宋_GB2312" w:cs="仿宋_GB2312"/>
                <w:b/>
                <w:bCs/>
                <w:kern w:val="0"/>
                <w:sz w:val="20"/>
                <w:szCs w:val="20"/>
              </w:rPr>
              <w:t>自查内容</w:t>
            </w:r>
          </w:p>
        </w:tc>
        <w:tc>
          <w:tcPr>
            <w:tcW w:w="1379" w:type="pct"/>
            <w:vMerge w:val="restart"/>
            <w:tcBorders>
              <w:tl2br w:val="nil"/>
              <w:tr2bl w:val="nil"/>
            </w:tcBorders>
            <w:shd w:val="clear" w:color="auto" w:fill="B4C6E7"/>
            <w:vAlign w:val="center"/>
          </w:tcPr>
          <w:p>
            <w:pPr>
              <w:widowControl/>
              <w:adjustRightInd w:val="0"/>
              <w:snapToGrid w:val="0"/>
              <w:spacing w:after="0" w:line="240" w:lineRule="auto"/>
              <w:jc w:val="center"/>
              <w:rPr>
                <w:rFonts w:hint="eastAsia" w:ascii="仿宋_GB2312" w:hAnsi="仿宋_GB2312" w:cs="仿宋_GB2312"/>
                <w:b/>
                <w:bCs/>
                <w:kern w:val="0"/>
                <w:sz w:val="20"/>
                <w:szCs w:val="20"/>
              </w:rPr>
            </w:pPr>
            <w:r>
              <w:rPr>
                <w:rFonts w:hint="eastAsia" w:ascii="仿宋_GB2312" w:hAnsi="仿宋_GB2312" w:cs="仿宋_GB2312"/>
                <w:b/>
                <w:bCs/>
                <w:kern w:val="0"/>
                <w:sz w:val="20"/>
                <w:szCs w:val="20"/>
              </w:rPr>
              <w:t>自查标准</w:t>
            </w:r>
          </w:p>
        </w:tc>
        <w:tc>
          <w:tcPr>
            <w:tcW w:w="1369" w:type="pct"/>
            <w:vMerge w:val="restart"/>
            <w:tcBorders>
              <w:tl2br w:val="nil"/>
              <w:tr2bl w:val="nil"/>
            </w:tcBorders>
            <w:shd w:val="clear" w:color="auto" w:fill="B4C6E7"/>
            <w:vAlign w:val="center"/>
          </w:tcPr>
          <w:p>
            <w:pPr>
              <w:widowControl/>
              <w:adjustRightInd w:val="0"/>
              <w:snapToGrid w:val="0"/>
              <w:spacing w:after="0" w:line="240" w:lineRule="auto"/>
              <w:jc w:val="center"/>
              <w:rPr>
                <w:rFonts w:hint="eastAsia" w:ascii="仿宋_GB2312" w:hAnsi="仿宋_GB2312" w:cs="仿宋_GB2312"/>
                <w:b/>
                <w:bCs/>
                <w:kern w:val="0"/>
                <w:sz w:val="20"/>
                <w:szCs w:val="20"/>
              </w:rPr>
            </w:pPr>
            <w:r>
              <w:rPr>
                <w:rFonts w:hint="eastAsia" w:ascii="仿宋_GB2312" w:hAnsi="仿宋_GB2312" w:cs="仿宋_GB2312"/>
                <w:b/>
                <w:bCs/>
                <w:kern w:val="0"/>
                <w:sz w:val="20"/>
                <w:szCs w:val="20"/>
              </w:rPr>
              <w:t>设置依据</w:t>
            </w:r>
          </w:p>
        </w:tc>
        <w:tc>
          <w:tcPr>
            <w:tcW w:w="134" w:type="pct"/>
            <w:vMerge w:val="restart"/>
            <w:tcBorders>
              <w:tl2br w:val="nil"/>
              <w:tr2bl w:val="nil"/>
            </w:tcBorders>
            <w:shd w:val="clear" w:color="auto" w:fill="B4C6E7"/>
            <w:vAlign w:val="center"/>
          </w:tcPr>
          <w:p>
            <w:pPr>
              <w:widowControl/>
              <w:adjustRightInd w:val="0"/>
              <w:snapToGrid w:val="0"/>
              <w:spacing w:after="0" w:line="240" w:lineRule="auto"/>
              <w:jc w:val="center"/>
              <w:textAlignment w:val="center"/>
              <w:rPr>
                <w:rFonts w:hint="eastAsia" w:ascii="仿宋_GB2312" w:hAnsi="仿宋_GB2312" w:cs="仿宋_GB2312"/>
                <w:b/>
                <w:color w:val="000000"/>
                <w:sz w:val="20"/>
                <w:szCs w:val="20"/>
              </w:rPr>
            </w:pPr>
            <w:r>
              <w:rPr>
                <w:rFonts w:hint="eastAsia" w:ascii="仿宋_GB2312" w:hAnsi="仿宋_GB2312" w:cs="仿宋_GB2312"/>
                <w:b/>
                <w:color w:val="000000"/>
                <w:kern w:val="0"/>
                <w:sz w:val="20"/>
                <w:szCs w:val="20"/>
                <w:lang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blHeader/>
        </w:trPr>
        <w:tc>
          <w:tcPr>
            <w:tcW w:w="359" w:type="pct"/>
            <w:vMerge w:val="continue"/>
            <w:tcBorders>
              <w:tl2br w:val="nil"/>
              <w:tr2bl w:val="nil"/>
            </w:tcBorders>
            <w:shd w:val="clear" w:color="auto" w:fill="B4C6E7"/>
            <w:vAlign w:val="center"/>
          </w:tcPr>
          <w:p>
            <w:pPr>
              <w:adjustRightInd w:val="0"/>
              <w:snapToGrid w:val="0"/>
              <w:spacing w:after="0" w:line="240" w:lineRule="auto"/>
              <w:jc w:val="center"/>
              <w:rPr>
                <w:rFonts w:hint="eastAsia" w:ascii="仿宋_GB2312" w:hAnsi="仿宋_GB2312" w:cs="仿宋_GB2312"/>
                <w:b/>
                <w:color w:val="000000"/>
                <w:sz w:val="20"/>
                <w:szCs w:val="20"/>
              </w:rPr>
            </w:pPr>
          </w:p>
        </w:tc>
        <w:tc>
          <w:tcPr>
            <w:tcW w:w="355" w:type="pct"/>
            <w:tcBorders>
              <w:tl2br w:val="nil"/>
              <w:tr2bl w:val="nil"/>
            </w:tcBorders>
            <w:shd w:val="clear" w:color="auto" w:fill="B4C6E7"/>
            <w:vAlign w:val="center"/>
          </w:tcPr>
          <w:p>
            <w:pPr>
              <w:widowControl/>
              <w:adjustRightInd w:val="0"/>
              <w:snapToGrid w:val="0"/>
              <w:spacing w:after="0" w:line="240" w:lineRule="auto"/>
              <w:jc w:val="center"/>
              <w:rPr>
                <w:rFonts w:hint="eastAsia" w:ascii="仿宋_GB2312" w:hAnsi="仿宋_GB2312" w:cs="仿宋_GB2312"/>
                <w:b/>
                <w:bCs/>
                <w:kern w:val="0"/>
                <w:sz w:val="20"/>
                <w:szCs w:val="20"/>
              </w:rPr>
            </w:pPr>
            <w:r>
              <w:rPr>
                <w:rFonts w:hint="eastAsia" w:ascii="仿宋_GB2312" w:hAnsi="仿宋_GB2312" w:cs="仿宋_GB2312"/>
                <w:b/>
                <w:bCs/>
                <w:kern w:val="0"/>
                <w:sz w:val="20"/>
                <w:szCs w:val="20"/>
              </w:rPr>
              <w:t>“一类”隐患</w:t>
            </w:r>
          </w:p>
        </w:tc>
        <w:tc>
          <w:tcPr>
            <w:tcW w:w="389" w:type="pct"/>
            <w:tcBorders>
              <w:tl2br w:val="nil"/>
              <w:tr2bl w:val="nil"/>
            </w:tcBorders>
            <w:shd w:val="clear" w:color="auto" w:fill="B4C6E7"/>
            <w:vAlign w:val="center"/>
          </w:tcPr>
          <w:p>
            <w:pPr>
              <w:widowControl/>
              <w:adjustRightInd w:val="0"/>
              <w:snapToGrid w:val="0"/>
              <w:spacing w:after="0" w:line="240" w:lineRule="auto"/>
              <w:jc w:val="center"/>
              <w:rPr>
                <w:rFonts w:hint="eastAsia" w:ascii="仿宋_GB2312" w:hAnsi="仿宋_GB2312" w:cs="仿宋_GB2312"/>
                <w:b/>
                <w:bCs/>
                <w:kern w:val="0"/>
                <w:sz w:val="20"/>
                <w:szCs w:val="20"/>
              </w:rPr>
            </w:pPr>
            <w:r>
              <w:rPr>
                <w:rFonts w:hint="eastAsia" w:ascii="仿宋_GB2312" w:hAnsi="仿宋_GB2312" w:cs="仿宋_GB2312"/>
                <w:b/>
                <w:bCs/>
                <w:kern w:val="0"/>
                <w:sz w:val="20"/>
                <w:szCs w:val="20"/>
              </w:rPr>
              <w:t>“二类”隐患</w:t>
            </w:r>
          </w:p>
        </w:tc>
        <w:tc>
          <w:tcPr>
            <w:tcW w:w="1012" w:type="pct"/>
            <w:vMerge w:val="continue"/>
            <w:tcBorders>
              <w:tl2br w:val="nil"/>
              <w:tr2bl w:val="nil"/>
            </w:tcBorders>
            <w:shd w:val="clear" w:color="auto" w:fill="B4C6E7"/>
            <w:vAlign w:val="center"/>
          </w:tcPr>
          <w:p>
            <w:pPr>
              <w:adjustRightInd w:val="0"/>
              <w:snapToGrid w:val="0"/>
              <w:spacing w:after="0" w:line="240" w:lineRule="auto"/>
              <w:jc w:val="center"/>
              <w:rPr>
                <w:rFonts w:hint="eastAsia" w:ascii="仿宋_GB2312" w:hAnsi="仿宋_GB2312" w:cs="仿宋_GB2312"/>
                <w:b/>
                <w:color w:val="000000"/>
                <w:sz w:val="20"/>
                <w:szCs w:val="20"/>
              </w:rPr>
            </w:pPr>
          </w:p>
        </w:tc>
        <w:tc>
          <w:tcPr>
            <w:tcW w:w="1379" w:type="pct"/>
            <w:vMerge w:val="continue"/>
            <w:tcBorders>
              <w:tl2br w:val="nil"/>
              <w:tr2bl w:val="nil"/>
            </w:tcBorders>
            <w:shd w:val="clear" w:color="auto" w:fill="B4C6E7"/>
            <w:vAlign w:val="center"/>
          </w:tcPr>
          <w:p>
            <w:pPr>
              <w:adjustRightInd w:val="0"/>
              <w:snapToGrid w:val="0"/>
              <w:spacing w:after="0" w:line="240" w:lineRule="auto"/>
              <w:jc w:val="center"/>
              <w:rPr>
                <w:rFonts w:hint="eastAsia" w:ascii="仿宋_GB2312" w:hAnsi="仿宋_GB2312" w:cs="仿宋_GB2312"/>
                <w:b/>
                <w:color w:val="000000"/>
                <w:sz w:val="20"/>
                <w:szCs w:val="20"/>
              </w:rPr>
            </w:pPr>
          </w:p>
        </w:tc>
        <w:tc>
          <w:tcPr>
            <w:tcW w:w="1369" w:type="pct"/>
            <w:vMerge w:val="continue"/>
            <w:tcBorders>
              <w:tl2br w:val="nil"/>
              <w:tr2bl w:val="nil"/>
            </w:tcBorders>
            <w:shd w:val="clear" w:color="auto" w:fill="B4C6E7"/>
            <w:vAlign w:val="center"/>
          </w:tcPr>
          <w:p>
            <w:pPr>
              <w:adjustRightInd w:val="0"/>
              <w:snapToGrid w:val="0"/>
              <w:spacing w:after="0" w:line="240" w:lineRule="auto"/>
              <w:jc w:val="center"/>
              <w:rPr>
                <w:rFonts w:hint="eastAsia" w:ascii="仿宋_GB2312" w:hAnsi="仿宋_GB2312" w:cs="仿宋_GB2312"/>
                <w:b/>
                <w:color w:val="000000"/>
                <w:sz w:val="20"/>
                <w:szCs w:val="20"/>
              </w:rPr>
            </w:pPr>
          </w:p>
        </w:tc>
        <w:tc>
          <w:tcPr>
            <w:tcW w:w="134" w:type="pct"/>
            <w:vMerge w:val="continue"/>
            <w:tcBorders>
              <w:tl2br w:val="nil"/>
              <w:tr2bl w:val="nil"/>
            </w:tcBorders>
            <w:shd w:val="clear" w:color="auto" w:fill="B4C6E7"/>
            <w:vAlign w:val="center"/>
          </w:tcPr>
          <w:p>
            <w:pPr>
              <w:adjustRightInd w:val="0"/>
              <w:snapToGrid w:val="0"/>
              <w:spacing w:after="0" w:line="240" w:lineRule="auto"/>
              <w:jc w:val="center"/>
              <w:rPr>
                <w:rFonts w:hint="eastAsia" w:ascii="仿宋_GB2312" w:hAnsi="仿宋_GB2312" w:cs="仿宋_GB2312"/>
                <w:b/>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000" w:type="pct"/>
            <w:gridSpan w:val="7"/>
            <w:tcBorders>
              <w:tl2br w:val="nil"/>
              <w:tr2bl w:val="nil"/>
            </w:tcBorders>
            <w:shd w:val="clear" w:color="auto" w:fill="B4C6E7"/>
            <w:vAlign w:val="center"/>
          </w:tcPr>
          <w:p>
            <w:pPr>
              <w:widowControl/>
              <w:adjustRightInd w:val="0"/>
              <w:snapToGrid w:val="0"/>
              <w:spacing w:after="0" w:line="240" w:lineRule="auto"/>
              <w:jc w:val="center"/>
              <w:textAlignment w:val="center"/>
              <w:rPr>
                <w:rFonts w:hint="eastAsia" w:ascii="仿宋_GB2312" w:hAnsi="仿宋_GB2312" w:cs="仿宋_GB2312"/>
                <w:b/>
                <w:color w:val="000000"/>
                <w:sz w:val="20"/>
                <w:szCs w:val="20"/>
              </w:rPr>
            </w:pPr>
            <w:r>
              <w:rPr>
                <w:rFonts w:hint="eastAsia" w:ascii="仿宋_GB2312" w:hAnsi="仿宋_GB2312" w:cs="仿宋_GB2312"/>
                <w:b/>
                <w:color w:val="000000"/>
                <w:kern w:val="0"/>
                <w:sz w:val="20"/>
                <w:szCs w:val="20"/>
                <w:lang w:bidi="ar"/>
              </w:rPr>
              <w:t>基础管理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45" w:hRule="atLeast"/>
        </w:trPr>
        <w:tc>
          <w:tcPr>
            <w:tcW w:w="35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14.1.02.001</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基础资料类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机构及人员配备类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未按要求设置安全生产管理机构或配备专兼职安全生产管理人员。</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单位应按要求设置安全生产管理机构或配备专兼职安全生产管理人员：</w:t>
            </w:r>
            <w:r>
              <w:rPr>
                <w:rFonts w:hint="eastAsia" w:ascii="仿宋_GB2312" w:hAnsi="仿宋_GB2312" w:cs="仿宋_GB2312"/>
                <w:color w:val="000000"/>
                <w:kern w:val="0"/>
                <w:sz w:val="20"/>
                <w:szCs w:val="20"/>
                <w:lang w:bidi="ar"/>
              </w:rPr>
              <w:br w:type="textWrapping"/>
            </w:r>
            <w:r>
              <w:rPr>
                <w:rFonts w:hint="eastAsia" w:ascii="仿宋_GB2312" w:hAnsi="仿宋_GB2312" w:cs="仿宋_GB2312"/>
                <w:color w:val="000000"/>
                <w:kern w:val="0"/>
                <w:sz w:val="20"/>
                <w:szCs w:val="20"/>
                <w:lang w:bidi="ar"/>
              </w:rPr>
              <w:t>1.从业人员超过100人的，应设置安全生产管理机构或者配备专职安全生产管理人员；</w:t>
            </w:r>
            <w:r>
              <w:rPr>
                <w:rFonts w:hint="eastAsia" w:ascii="仿宋_GB2312" w:hAnsi="仿宋_GB2312" w:cs="仿宋_GB2312"/>
                <w:color w:val="000000"/>
                <w:kern w:val="0"/>
                <w:sz w:val="20"/>
                <w:szCs w:val="20"/>
                <w:lang w:bidi="ar"/>
              </w:rPr>
              <w:br w:type="textWrapping"/>
            </w:r>
            <w:r>
              <w:rPr>
                <w:rFonts w:hint="eastAsia" w:ascii="仿宋_GB2312" w:hAnsi="仿宋_GB2312" w:cs="仿宋_GB2312"/>
                <w:color w:val="000000"/>
                <w:kern w:val="0"/>
                <w:sz w:val="20"/>
                <w:szCs w:val="20"/>
                <w:lang w:bidi="ar"/>
              </w:rPr>
              <w:t>2.从业人员在100人以下的，应配备专职或者兼职的安全生产管理人员。</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《中华人民共和国安全生产法》第二十四条</w:t>
            </w:r>
          </w:p>
        </w:tc>
        <w:tc>
          <w:tcPr>
            <w:tcW w:w="134" w:type="pct"/>
            <w:tcBorders>
              <w:tl2br w:val="nil"/>
              <w:tr2bl w:val="nil"/>
            </w:tcBorders>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45" w:hRule="atLeast"/>
        </w:trPr>
        <w:tc>
          <w:tcPr>
            <w:tcW w:w="35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14.1.03.002</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基础资料类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制度类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未建立涉及使用危险化学品的安全生产安管理制度，或安全生产管理制度未根据法律法规调整、危险化学品使用情况变化及时审核、更新。</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单位应建立健全安全管理规章制度：</w:t>
            </w:r>
            <w:r>
              <w:rPr>
                <w:rFonts w:hint="eastAsia" w:ascii="仿宋_GB2312" w:hAnsi="仿宋_GB2312" w:cs="仿宋_GB2312"/>
                <w:color w:val="000000"/>
                <w:kern w:val="0"/>
                <w:sz w:val="20"/>
                <w:szCs w:val="20"/>
                <w:lang w:bidi="ar"/>
              </w:rPr>
              <w:br w:type="textWrapping"/>
            </w:r>
            <w:r>
              <w:rPr>
                <w:rFonts w:hint="eastAsia" w:ascii="仿宋_GB2312" w:hAnsi="仿宋_GB2312" w:cs="仿宋_GB2312"/>
                <w:color w:val="000000"/>
                <w:kern w:val="0"/>
                <w:sz w:val="20"/>
                <w:szCs w:val="20"/>
                <w:lang w:bidi="ar"/>
              </w:rPr>
              <w:t>1.单位的安全管理规章制度应涵盖使用危险化学品的安全风险分级管控和隐患排查治理双重预防机制；</w:t>
            </w:r>
            <w:r>
              <w:rPr>
                <w:rFonts w:hint="eastAsia" w:ascii="仿宋_GB2312" w:hAnsi="仿宋_GB2312" w:cs="仿宋_GB2312"/>
                <w:color w:val="000000"/>
                <w:kern w:val="0"/>
                <w:sz w:val="20"/>
                <w:szCs w:val="20"/>
                <w:lang w:bidi="ar"/>
              </w:rPr>
              <w:br w:type="textWrapping"/>
            </w:r>
            <w:r>
              <w:rPr>
                <w:rFonts w:hint="eastAsia" w:ascii="仿宋_GB2312" w:hAnsi="仿宋_GB2312" w:cs="仿宋_GB2312"/>
                <w:color w:val="000000"/>
                <w:kern w:val="0"/>
                <w:sz w:val="20"/>
                <w:szCs w:val="20"/>
                <w:lang w:bidi="ar"/>
              </w:rPr>
              <w:t>2.规章制度应明确单位主要负责人对本单位的危险化学品安全生产工作全面负责。</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eastAsia="仿宋_GB2312" w:cs="仿宋_GB2312"/>
                <w:color w:val="000000"/>
                <w:kern w:val="0"/>
                <w:sz w:val="20"/>
                <w:szCs w:val="20"/>
                <w:lang w:eastAsia="zh-CN" w:bidi="ar"/>
              </w:rPr>
            </w:pPr>
            <w:r>
              <w:rPr>
                <w:rFonts w:hint="eastAsia" w:ascii="仿宋_GB2312" w:hAnsi="仿宋_GB2312" w:cs="仿宋_GB2312"/>
                <w:color w:val="000000"/>
                <w:kern w:val="0"/>
                <w:sz w:val="20"/>
                <w:szCs w:val="20"/>
                <w:lang w:bidi="ar"/>
              </w:rPr>
              <w:t>《中华人民共和国安全生产法》第三十九条</w:t>
            </w:r>
            <w:r>
              <w:rPr>
                <w:rFonts w:hint="eastAsia" w:ascii="仿宋_GB2312" w:hAnsi="仿宋_GB2312" w:cs="仿宋_GB2312"/>
                <w:color w:val="000000"/>
                <w:kern w:val="0"/>
                <w:sz w:val="20"/>
                <w:szCs w:val="20"/>
                <w:lang w:eastAsia="zh-CN" w:bidi="ar"/>
              </w:rPr>
              <w:t>；</w:t>
            </w:r>
          </w:p>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《中华人民共和国危险化学品安全法》第四十七条</w:t>
            </w:r>
          </w:p>
        </w:tc>
        <w:tc>
          <w:tcPr>
            <w:tcW w:w="134" w:type="pct"/>
            <w:tcBorders>
              <w:tl2br w:val="nil"/>
              <w:tr2bl w:val="nil"/>
            </w:tcBorders>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35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14.1.03.003</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基础资料类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责任制类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未建立涉及使用危险化学品的安全生产责任制，或安全生产责任制针对危险化学品使用内容整体缺失、不完善。</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kern w:val="0"/>
                <w:sz w:val="20"/>
                <w:szCs w:val="20"/>
                <w:lang w:bidi="ar"/>
              </w:rPr>
            </w:pPr>
            <w:r>
              <w:rPr>
                <w:rFonts w:hint="eastAsia" w:ascii="仿宋_GB2312" w:hAnsi="仿宋_GB2312" w:cs="仿宋_GB2312"/>
                <w:color w:val="000000"/>
                <w:kern w:val="0"/>
                <w:sz w:val="20"/>
                <w:szCs w:val="20"/>
                <w:lang w:bidi="ar"/>
              </w:rPr>
              <w:t>单位应建立全员安全</w:t>
            </w:r>
            <w:bookmarkStart w:id="15" w:name="OLE_LINK4"/>
            <w:r>
              <w:rPr>
                <w:rFonts w:hint="eastAsia" w:ascii="仿宋_GB2312" w:hAnsi="仿宋_GB2312" w:cs="仿宋_GB2312"/>
                <w:color w:val="000000"/>
                <w:kern w:val="0"/>
                <w:sz w:val="20"/>
                <w:szCs w:val="20"/>
                <w:lang w:bidi="ar"/>
              </w:rPr>
              <w:t>生产责任制</w:t>
            </w:r>
            <w:bookmarkEnd w:id="15"/>
            <w:r>
              <w:rPr>
                <w:rFonts w:hint="eastAsia" w:ascii="仿宋_GB2312" w:hAnsi="仿宋_GB2312" w:cs="仿宋_GB2312"/>
                <w:color w:val="000000"/>
                <w:kern w:val="0"/>
                <w:sz w:val="20"/>
                <w:szCs w:val="20"/>
                <w:lang w:bidi="ar"/>
              </w:rPr>
              <w:t>，完善各有关岗位涉及危险化学品使用的安全生产职责：</w:t>
            </w:r>
          </w:p>
          <w:p>
            <w:pPr>
              <w:widowControl/>
              <w:adjustRightInd w:val="0"/>
              <w:snapToGrid w:val="0"/>
              <w:spacing w:after="0" w:line="240" w:lineRule="auto"/>
              <w:jc w:val="left"/>
              <w:textAlignment w:val="center"/>
              <w:rPr>
                <w:rFonts w:hint="eastAsia" w:ascii="仿宋_GB2312" w:hAnsi="仿宋_GB2312" w:cs="仿宋_GB2312"/>
                <w:color w:val="000000"/>
                <w:kern w:val="0"/>
                <w:sz w:val="20"/>
                <w:szCs w:val="20"/>
                <w:lang w:bidi="ar"/>
              </w:rPr>
            </w:pPr>
            <w:r>
              <w:rPr>
                <w:rFonts w:hint="eastAsia" w:ascii="仿宋_GB2312" w:hAnsi="仿宋_GB2312" w:cs="仿宋_GB2312"/>
                <w:color w:val="000000"/>
                <w:kern w:val="0"/>
                <w:sz w:val="20"/>
                <w:szCs w:val="20"/>
                <w:lang w:bidi="ar"/>
              </w:rPr>
              <w:t>1.主要负责人、安全生产管理人员、各岗位人员的安全生产职责；</w:t>
            </w:r>
            <w:r>
              <w:rPr>
                <w:rFonts w:hint="eastAsia" w:ascii="仿宋_GB2312" w:hAnsi="仿宋_GB2312" w:cs="仿宋_GB2312"/>
                <w:color w:val="000000"/>
                <w:kern w:val="0"/>
                <w:sz w:val="20"/>
                <w:szCs w:val="20"/>
                <w:lang w:bidi="ar"/>
              </w:rPr>
              <w:br w:type="textWrapping"/>
            </w:r>
            <w:r>
              <w:rPr>
                <w:rFonts w:hint="eastAsia" w:ascii="仿宋_GB2312" w:hAnsi="仿宋_GB2312" w:cs="仿宋_GB2312"/>
                <w:color w:val="000000"/>
                <w:kern w:val="0"/>
                <w:sz w:val="20"/>
                <w:szCs w:val="20"/>
                <w:lang w:bidi="ar"/>
              </w:rPr>
              <w:t>2.安全生产管理机构、各部门的安全生产职责；</w:t>
            </w:r>
          </w:p>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3.安全生产责任考核及奖惩。</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eastAsia="仿宋_GB2312" w:cs="仿宋_GB2312"/>
                <w:color w:val="000000"/>
                <w:kern w:val="0"/>
                <w:sz w:val="20"/>
                <w:szCs w:val="20"/>
                <w:lang w:eastAsia="zh-CN" w:bidi="ar"/>
              </w:rPr>
            </w:pPr>
            <w:r>
              <w:rPr>
                <w:rFonts w:hint="eastAsia" w:ascii="仿宋_GB2312" w:hAnsi="仿宋_GB2312" w:cs="仿宋_GB2312"/>
                <w:color w:val="000000"/>
                <w:kern w:val="0"/>
                <w:sz w:val="20"/>
                <w:szCs w:val="20"/>
                <w:lang w:bidi="ar"/>
              </w:rPr>
              <w:t>《中华人民共和国安全生产法》第四条、第二十一条、第二十二条</w:t>
            </w:r>
            <w:r>
              <w:rPr>
                <w:rFonts w:hint="eastAsia" w:ascii="仿宋_GB2312" w:hAnsi="仿宋_GB2312" w:cs="仿宋_GB2312"/>
                <w:color w:val="000000"/>
                <w:kern w:val="0"/>
                <w:sz w:val="20"/>
                <w:szCs w:val="20"/>
                <w:lang w:eastAsia="zh-CN" w:bidi="ar"/>
              </w:rPr>
              <w:t>；</w:t>
            </w:r>
          </w:p>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《中华人民共和国危险化学品安全法》第五条</w:t>
            </w:r>
          </w:p>
        </w:tc>
        <w:tc>
          <w:tcPr>
            <w:tcW w:w="134" w:type="pct"/>
            <w:tcBorders>
              <w:tl2br w:val="nil"/>
              <w:tr2bl w:val="nil"/>
            </w:tcBorders>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65" w:hRule="atLeast"/>
        </w:trPr>
        <w:tc>
          <w:tcPr>
            <w:tcW w:w="35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14.1.09.004</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基础资料类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应急救援类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未按要求编制应急救援预案、应急处置方案或未及时修订。</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单位应按要求针对使用危险化学品编制应急救援预案或应急处置方案等或并及时、定期修订。</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eastAsia="仿宋_GB2312" w:cs="仿宋_GB2312"/>
                <w:color w:val="000000"/>
                <w:kern w:val="0"/>
                <w:sz w:val="20"/>
                <w:szCs w:val="20"/>
                <w:lang w:eastAsia="zh-CN" w:bidi="ar"/>
              </w:rPr>
            </w:pPr>
            <w:r>
              <w:rPr>
                <w:rFonts w:hint="eastAsia" w:ascii="仿宋_GB2312" w:hAnsi="仿宋_GB2312" w:cs="仿宋_GB2312"/>
                <w:color w:val="000000"/>
                <w:kern w:val="0"/>
                <w:sz w:val="20"/>
                <w:szCs w:val="20"/>
                <w:lang w:bidi="ar"/>
              </w:rPr>
              <w:t>《中华人民共和国危险化学品安全法》第十三条</w:t>
            </w:r>
            <w:r>
              <w:rPr>
                <w:rFonts w:hint="eastAsia" w:ascii="仿宋_GB2312" w:hAnsi="仿宋_GB2312" w:cs="仿宋_GB2312"/>
                <w:color w:val="000000"/>
                <w:kern w:val="0"/>
                <w:sz w:val="20"/>
                <w:szCs w:val="20"/>
                <w:lang w:eastAsia="zh-CN" w:bidi="ar"/>
              </w:rPr>
              <w:t>；</w:t>
            </w:r>
          </w:p>
          <w:p>
            <w:pPr>
              <w:widowControl/>
              <w:adjustRightInd w:val="0"/>
              <w:snapToGrid w:val="0"/>
              <w:spacing w:after="0" w:line="240" w:lineRule="auto"/>
              <w:jc w:val="left"/>
              <w:textAlignment w:val="center"/>
              <w:rPr>
                <w:rFonts w:hint="eastAsia" w:ascii="仿宋_GB2312" w:hAnsi="仿宋_GB2312" w:eastAsia="仿宋_GB2312" w:cs="仿宋_GB2312"/>
                <w:color w:val="000000"/>
                <w:kern w:val="0"/>
                <w:sz w:val="20"/>
                <w:szCs w:val="20"/>
                <w:lang w:eastAsia="zh-CN" w:bidi="ar"/>
              </w:rPr>
            </w:pPr>
            <w:r>
              <w:rPr>
                <w:rFonts w:hint="eastAsia" w:ascii="仿宋_GB2312" w:hAnsi="仿宋_GB2312" w:cs="仿宋_GB2312"/>
                <w:color w:val="000000"/>
                <w:kern w:val="0"/>
                <w:sz w:val="20"/>
                <w:szCs w:val="20"/>
                <w:lang w:bidi="ar"/>
              </w:rPr>
              <w:t>《生产安全事故应急条例》第五、六条</w:t>
            </w:r>
            <w:r>
              <w:rPr>
                <w:rFonts w:hint="eastAsia" w:ascii="仿宋_GB2312" w:hAnsi="仿宋_GB2312" w:cs="仿宋_GB2312"/>
                <w:color w:val="000000"/>
                <w:kern w:val="0"/>
                <w:sz w:val="20"/>
                <w:szCs w:val="20"/>
                <w:lang w:eastAsia="zh-CN" w:bidi="ar"/>
              </w:rPr>
              <w:t>；</w:t>
            </w:r>
          </w:p>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《生产安全事故应急预案管理办法》第十三条到第十九条</w:t>
            </w:r>
          </w:p>
        </w:tc>
        <w:tc>
          <w:tcPr>
            <w:tcW w:w="134" w:type="pct"/>
            <w:tcBorders>
              <w:tl2br w:val="nil"/>
              <w:tr2bl w:val="nil"/>
            </w:tcBorders>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2" w:hRule="atLeast"/>
        </w:trPr>
        <w:tc>
          <w:tcPr>
            <w:tcW w:w="35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14.1.09.005</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基础资料类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应急救援类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未根据实际需求配备涉及使用危险化学品的应急设施和装备、储备应急物资、指定专人负责管理，未建立使用状况的台账，未定期检测和维护。</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应根据本单位使用危险化学品实际需求：</w:t>
            </w:r>
            <w:r>
              <w:rPr>
                <w:rFonts w:hint="eastAsia" w:ascii="仿宋_GB2312" w:hAnsi="仿宋_GB2312" w:cs="仿宋_GB2312"/>
                <w:color w:val="000000"/>
                <w:kern w:val="0"/>
                <w:sz w:val="20"/>
                <w:szCs w:val="20"/>
                <w:lang w:bidi="ar"/>
              </w:rPr>
              <w:br w:type="textWrapping"/>
            </w:r>
            <w:r>
              <w:rPr>
                <w:rFonts w:hint="eastAsia" w:ascii="仿宋_GB2312" w:hAnsi="仿宋_GB2312" w:cs="仿宋_GB2312"/>
                <w:color w:val="000000"/>
                <w:kern w:val="0"/>
                <w:sz w:val="20"/>
                <w:szCs w:val="20"/>
                <w:lang w:bidi="ar"/>
              </w:rPr>
              <w:t>1.配备必要的应急设施和装备，储备应急物资，指定专人负责管理；</w:t>
            </w:r>
            <w:r>
              <w:rPr>
                <w:rFonts w:hint="eastAsia" w:ascii="仿宋_GB2312" w:hAnsi="仿宋_GB2312" w:cs="仿宋_GB2312"/>
                <w:color w:val="000000"/>
                <w:kern w:val="0"/>
                <w:sz w:val="20"/>
                <w:szCs w:val="20"/>
                <w:lang w:bidi="ar"/>
              </w:rPr>
              <w:br w:type="textWrapping"/>
            </w:r>
            <w:r>
              <w:rPr>
                <w:rFonts w:hint="eastAsia" w:ascii="仿宋_GB2312" w:hAnsi="仿宋_GB2312" w:cs="仿宋_GB2312"/>
                <w:color w:val="000000"/>
                <w:kern w:val="0"/>
                <w:sz w:val="20"/>
                <w:szCs w:val="20"/>
                <w:lang w:bidi="ar"/>
              </w:rPr>
              <w:t>2.应建立应急设施和装备、应急物资的使用台账；</w:t>
            </w:r>
            <w:r>
              <w:rPr>
                <w:rFonts w:hint="eastAsia" w:ascii="仿宋_GB2312" w:hAnsi="仿宋_GB2312" w:cs="仿宋_GB2312"/>
                <w:color w:val="000000"/>
                <w:kern w:val="0"/>
                <w:sz w:val="20"/>
                <w:szCs w:val="20"/>
                <w:lang w:bidi="ar"/>
              </w:rPr>
              <w:br w:type="textWrapping"/>
            </w:r>
            <w:r>
              <w:rPr>
                <w:rFonts w:hint="eastAsia" w:ascii="仿宋_GB2312" w:hAnsi="仿宋_GB2312" w:cs="仿宋_GB2312"/>
                <w:color w:val="000000"/>
                <w:kern w:val="0"/>
                <w:sz w:val="20"/>
                <w:szCs w:val="20"/>
                <w:lang w:bidi="ar"/>
              </w:rPr>
              <w:t>3.定期检测和维护，使其处于良好状态。</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eastAsia="仿宋_GB2312" w:cs="仿宋_GB2312"/>
                <w:color w:val="000000"/>
                <w:kern w:val="0"/>
                <w:sz w:val="20"/>
                <w:szCs w:val="20"/>
                <w:lang w:eastAsia="zh-CN" w:bidi="ar"/>
              </w:rPr>
            </w:pPr>
            <w:r>
              <w:rPr>
                <w:rFonts w:hint="eastAsia" w:ascii="仿宋_GB2312" w:hAnsi="仿宋_GB2312" w:cs="仿宋_GB2312"/>
                <w:color w:val="000000"/>
                <w:kern w:val="0"/>
                <w:sz w:val="20"/>
                <w:szCs w:val="20"/>
                <w:lang w:bidi="ar"/>
              </w:rPr>
              <w:t>《中华人民共和国安全生产法》第八十二条</w:t>
            </w:r>
            <w:r>
              <w:rPr>
                <w:rFonts w:hint="eastAsia" w:ascii="仿宋_GB2312" w:hAnsi="仿宋_GB2312" w:cs="仿宋_GB2312"/>
                <w:color w:val="000000"/>
                <w:kern w:val="0"/>
                <w:sz w:val="20"/>
                <w:szCs w:val="20"/>
                <w:lang w:eastAsia="zh-CN" w:bidi="ar"/>
              </w:rPr>
              <w:t>；</w:t>
            </w:r>
          </w:p>
          <w:p>
            <w:pPr>
              <w:widowControl/>
              <w:adjustRightInd w:val="0"/>
              <w:snapToGrid w:val="0"/>
              <w:spacing w:after="0" w:line="240" w:lineRule="auto"/>
              <w:jc w:val="left"/>
              <w:textAlignment w:val="center"/>
              <w:rPr>
                <w:rFonts w:hint="eastAsia" w:ascii="仿宋_GB2312" w:hAnsi="仿宋_GB2312" w:eastAsia="仿宋_GB2312" w:cs="仿宋_GB2312"/>
                <w:color w:val="000000"/>
                <w:kern w:val="0"/>
                <w:sz w:val="20"/>
                <w:szCs w:val="20"/>
                <w:lang w:eastAsia="zh-CN" w:bidi="ar"/>
              </w:rPr>
            </w:pPr>
            <w:r>
              <w:rPr>
                <w:rFonts w:hint="eastAsia" w:ascii="仿宋_GB2312" w:hAnsi="仿宋_GB2312" w:cs="仿宋_GB2312"/>
                <w:color w:val="000000"/>
                <w:kern w:val="0"/>
                <w:sz w:val="20"/>
                <w:szCs w:val="20"/>
                <w:lang w:bidi="ar"/>
              </w:rPr>
              <w:t>《中华人民共和国危险化学品安全法》第九十一条</w:t>
            </w:r>
            <w:r>
              <w:rPr>
                <w:rFonts w:hint="eastAsia" w:ascii="仿宋_GB2312" w:hAnsi="仿宋_GB2312" w:cs="仿宋_GB2312"/>
                <w:color w:val="000000"/>
                <w:kern w:val="0"/>
                <w:sz w:val="20"/>
                <w:szCs w:val="20"/>
                <w:lang w:eastAsia="zh-CN" w:bidi="ar"/>
              </w:rPr>
              <w:t>；</w:t>
            </w:r>
          </w:p>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《生产安全事故应急预案管理办法》第三十八条</w:t>
            </w:r>
          </w:p>
        </w:tc>
        <w:tc>
          <w:tcPr>
            <w:tcW w:w="134" w:type="pct"/>
            <w:tcBorders>
              <w:tl2br w:val="nil"/>
              <w:tr2bl w:val="nil"/>
            </w:tcBorders>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35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14.1.09.006</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基础资料类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应急救援类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未按规定针对涉及使用危险化学品的实际情况定期组织应急演练。</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单位应按规定针对使用危险化学品业务定期组织应急演练，提高从业人员的应急处置能力。</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eastAsia="仿宋_GB2312" w:cs="仿宋_GB2312"/>
                <w:color w:val="000000"/>
                <w:kern w:val="0"/>
                <w:sz w:val="20"/>
                <w:szCs w:val="20"/>
                <w:lang w:eastAsia="zh-CN" w:bidi="ar"/>
              </w:rPr>
            </w:pPr>
            <w:r>
              <w:rPr>
                <w:rFonts w:hint="eastAsia" w:ascii="仿宋_GB2312" w:hAnsi="仿宋_GB2312" w:cs="仿宋_GB2312"/>
                <w:color w:val="000000"/>
                <w:kern w:val="0"/>
                <w:sz w:val="20"/>
                <w:szCs w:val="20"/>
                <w:lang w:bidi="ar"/>
              </w:rPr>
              <w:t>《中华人民共和国安全生产法》第八十四条</w:t>
            </w:r>
            <w:r>
              <w:rPr>
                <w:rFonts w:hint="eastAsia" w:ascii="仿宋_GB2312" w:hAnsi="仿宋_GB2312" w:cs="仿宋_GB2312"/>
                <w:color w:val="000000"/>
                <w:kern w:val="0"/>
                <w:sz w:val="20"/>
                <w:szCs w:val="20"/>
                <w:lang w:eastAsia="zh-CN" w:bidi="ar"/>
              </w:rPr>
              <w:t>；</w:t>
            </w:r>
          </w:p>
          <w:p>
            <w:pPr>
              <w:widowControl/>
              <w:adjustRightInd w:val="0"/>
              <w:snapToGrid w:val="0"/>
              <w:spacing w:after="0" w:line="240" w:lineRule="auto"/>
              <w:jc w:val="left"/>
              <w:textAlignment w:val="center"/>
              <w:rPr>
                <w:rFonts w:hint="eastAsia" w:ascii="仿宋_GB2312" w:hAnsi="仿宋_GB2312" w:eastAsia="仿宋_GB2312" w:cs="仿宋_GB2312"/>
                <w:color w:val="000000"/>
                <w:kern w:val="0"/>
                <w:sz w:val="20"/>
                <w:szCs w:val="20"/>
                <w:lang w:eastAsia="zh-CN" w:bidi="ar"/>
              </w:rPr>
            </w:pPr>
            <w:r>
              <w:rPr>
                <w:rFonts w:hint="eastAsia" w:ascii="仿宋_GB2312" w:hAnsi="仿宋_GB2312" w:cs="仿宋_GB2312"/>
                <w:color w:val="000000"/>
                <w:kern w:val="0"/>
                <w:sz w:val="20"/>
                <w:szCs w:val="20"/>
                <w:lang w:bidi="ar"/>
              </w:rPr>
              <w:t>《中华人民共和国危险化学品安全法》第九十一条</w:t>
            </w:r>
            <w:r>
              <w:rPr>
                <w:rFonts w:hint="eastAsia" w:ascii="仿宋_GB2312" w:hAnsi="仿宋_GB2312" w:cs="仿宋_GB2312"/>
                <w:color w:val="000000"/>
                <w:kern w:val="0"/>
                <w:sz w:val="20"/>
                <w:szCs w:val="20"/>
                <w:lang w:eastAsia="zh-CN" w:bidi="ar"/>
              </w:rPr>
              <w:t>；</w:t>
            </w:r>
          </w:p>
          <w:p>
            <w:pPr>
              <w:widowControl/>
              <w:adjustRightInd w:val="0"/>
              <w:snapToGrid w:val="0"/>
              <w:spacing w:after="0" w:line="240" w:lineRule="auto"/>
              <w:jc w:val="left"/>
              <w:textAlignment w:val="center"/>
              <w:rPr>
                <w:rFonts w:hint="eastAsia" w:ascii="仿宋_GB2312" w:hAnsi="仿宋_GB2312" w:eastAsia="仿宋_GB2312" w:cs="仿宋_GB2312"/>
                <w:color w:val="000000"/>
                <w:kern w:val="0"/>
                <w:sz w:val="20"/>
                <w:szCs w:val="20"/>
                <w:lang w:eastAsia="zh-CN" w:bidi="ar"/>
              </w:rPr>
            </w:pPr>
            <w:r>
              <w:rPr>
                <w:rFonts w:hint="eastAsia" w:ascii="仿宋_GB2312" w:hAnsi="仿宋_GB2312" w:cs="仿宋_GB2312"/>
                <w:color w:val="000000"/>
                <w:kern w:val="0"/>
                <w:sz w:val="20"/>
                <w:szCs w:val="20"/>
                <w:lang w:bidi="ar"/>
              </w:rPr>
              <w:t>《生产安全事故应急条例》第六、八条</w:t>
            </w:r>
            <w:r>
              <w:rPr>
                <w:rFonts w:hint="eastAsia" w:ascii="仿宋_GB2312" w:hAnsi="仿宋_GB2312" w:cs="仿宋_GB2312"/>
                <w:color w:val="000000"/>
                <w:kern w:val="0"/>
                <w:sz w:val="20"/>
                <w:szCs w:val="20"/>
                <w:lang w:eastAsia="zh-CN" w:bidi="ar"/>
              </w:rPr>
              <w:t>；</w:t>
            </w:r>
          </w:p>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《生产安全事故应急预案管理办法》第三十三、三十五、三十六条</w:t>
            </w:r>
          </w:p>
        </w:tc>
        <w:tc>
          <w:tcPr>
            <w:tcW w:w="134" w:type="pct"/>
            <w:tcBorders>
              <w:tl2br w:val="nil"/>
              <w:tr2bl w:val="nil"/>
            </w:tcBorders>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35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kern w:val="0"/>
                <w:sz w:val="20"/>
                <w:szCs w:val="20"/>
                <w:lang w:bidi="ar"/>
              </w:rPr>
            </w:pPr>
            <w:r>
              <w:rPr>
                <w:rFonts w:hint="eastAsia" w:ascii="仿宋_GB2312" w:hAnsi="仿宋_GB2312" w:cs="仿宋_GB2312"/>
                <w:color w:val="000000"/>
                <w:kern w:val="0"/>
                <w:sz w:val="20"/>
                <w:szCs w:val="20"/>
                <w:lang w:bidi="ar"/>
              </w:rPr>
              <w:t>14.1.10.007</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kern w:val="0"/>
                <w:sz w:val="20"/>
                <w:szCs w:val="20"/>
                <w:lang w:bidi="ar"/>
              </w:rPr>
            </w:pPr>
            <w:r>
              <w:rPr>
                <w:rFonts w:hint="eastAsia" w:ascii="仿宋_GB2312" w:hAnsi="仿宋_GB2312" w:cs="仿宋_GB2312"/>
                <w:color w:val="000000"/>
                <w:kern w:val="0"/>
                <w:sz w:val="20"/>
                <w:szCs w:val="20"/>
                <w:lang w:bidi="ar"/>
              </w:rPr>
              <w:t>基础资料类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kern w:val="0"/>
                <w:sz w:val="20"/>
                <w:szCs w:val="20"/>
                <w:lang w:bidi="ar"/>
              </w:rPr>
            </w:pPr>
            <w:r>
              <w:rPr>
                <w:rFonts w:hint="eastAsia" w:ascii="仿宋_GB2312" w:hAnsi="仿宋_GB2312" w:cs="仿宋_GB2312"/>
                <w:color w:val="000000"/>
                <w:kern w:val="0"/>
                <w:sz w:val="20"/>
                <w:szCs w:val="20"/>
                <w:lang w:bidi="ar"/>
              </w:rPr>
              <w:t>教育培训类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kern w:val="0"/>
                <w:sz w:val="20"/>
                <w:szCs w:val="20"/>
                <w:lang w:bidi="ar"/>
              </w:rPr>
            </w:pPr>
            <w:r>
              <w:rPr>
                <w:rFonts w:hint="eastAsia" w:ascii="仿宋_GB2312" w:hAnsi="仿宋_GB2312" w:cs="仿宋_GB2312"/>
                <w:color w:val="000000"/>
                <w:kern w:val="0"/>
                <w:sz w:val="20"/>
                <w:szCs w:val="20"/>
                <w:lang w:bidi="ar"/>
              </w:rPr>
              <w:t>未制订涉及使用危险化学品的年度安全生产培训计划。</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eastAsia="仿宋_GB2312" w:cs="仿宋_GB2312"/>
                <w:color w:val="000000"/>
                <w:kern w:val="0"/>
                <w:sz w:val="20"/>
                <w:szCs w:val="20"/>
                <w:lang w:eastAsia="zh-CN" w:bidi="ar"/>
              </w:rPr>
            </w:pPr>
            <w:r>
              <w:rPr>
                <w:rFonts w:hint="eastAsia" w:ascii="仿宋_GB2312" w:hAnsi="仿宋_GB2312" w:cs="仿宋_GB2312"/>
                <w:color w:val="000000"/>
                <w:kern w:val="0"/>
                <w:sz w:val="20"/>
                <w:szCs w:val="20"/>
                <w:lang w:bidi="ar"/>
              </w:rPr>
              <w:t>单位应制订本单位涉及使用危险化学品的年度安全生产培训计划</w:t>
            </w:r>
            <w:r>
              <w:rPr>
                <w:rFonts w:hint="eastAsia" w:ascii="仿宋_GB2312" w:hAnsi="仿宋_GB2312" w:cs="仿宋_GB2312"/>
                <w:color w:val="000000"/>
                <w:kern w:val="0"/>
                <w:sz w:val="20"/>
                <w:szCs w:val="20"/>
                <w:lang w:eastAsia="zh-CN" w:bidi="ar"/>
              </w:rPr>
              <w:t>。</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eastAsia="仿宋_GB2312" w:cs="仿宋_GB2312"/>
                <w:color w:val="000000"/>
                <w:kern w:val="0"/>
                <w:sz w:val="20"/>
                <w:szCs w:val="20"/>
                <w:lang w:eastAsia="zh-CN" w:bidi="ar"/>
              </w:rPr>
            </w:pPr>
            <w:r>
              <w:rPr>
                <w:rFonts w:hint="eastAsia" w:ascii="仿宋_GB2312" w:hAnsi="仿宋_GB2312" w:cs="仿宋_GB2312"/>
                <w:color w:val="000000"/>
                <w:kern w:val="0"/>
                <w:sz w:val="20"/>
                <w:szCs w:val="20"/>
                <w:lang w:bidi="ar"/>
              </w:rPr>
              <w:t>《中华人民共和国安全生产法》第二十一条（三）</w:t>
            </w:r>
            <w:r>
              <w:rPr>
                <w:rFonts w:hint="eastAsia" w:ascii="仿宋_GB2312" w:hAnsi="仿宋_GB2312" w:cs="仿宋_GB2312"/>
                <w:color w:val="000000"/>
                <w:kern w:val="0"/>
                <w:sz w:val="20"/>
                <w:szCs w:val="20"/>
                <w:lang w:eastAsia="zh-CN" w:bidi="ar"/>
              </w:rPr>
              <w:t>；</w:t>
            </w:r>
          </w:p>
          <w:p>
            <w:pPr>
              <w:widowControl/>
              <w:adjustRightInd w:val="0"/>
              <w:snapToGrid w:val="0"/>
              <w:spacing w:after="0" w:line="240" w:lineRule="auto"/>
              <w:jc w:val="left"/>
              <w:textAlignment w:val="center"/>
              <w:rPr>
                <w:rFonts w:hint="eastAsia" w:ascii="仿宋_GB2312" w:hAnsi="仿宋_GB2312" w:cs="仿宋_GB2312"/>
                <w:color w:val="000000"/>
                <w:kern w:val="0"/>
                <w:sz w:val="20"/>
                <w:szCs w:val="20"/>
                <w:lang w:bidi="ar"/>
              </w:rPr>
            </w:pPr>
            <w:bookmarkStart w:id="16" w:name="OLE_LINK12"/>
            <w:r>
              <w:rPr>
                <w:rFonts w:hint="eastAsia" w:ascii="仿宋_GB2312" w:hAnsi="仿宋_GB2312" w:cs="仿宋_GB2312"/>
                <w:color w:val="000000"/>
                <w:kern w:val="0"/>
                <w:sz w:val="20"/>
                <w:szCs w:val="20"/>
                <w:lang w:bidi="ar"/>
              </w:rPr>
              <w:t>《中华人民共和国危险化学品安全法》第五条</w:t>
            </w:r>
            <w:bookmarkEnd w:id="16"/>
          </w:p>
        </w:tc>
        <w:tc>
          <w:tcPr>
            <w:tcW w:w="134" w:type="pct"/>
            <w:tcBorders>
              <w:tl2br w:val="nil"/>
              <w:tr2bl w:val="nil"/>
            </w:tcBorders>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35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kern w:val="0"/>
                <w:sz w:val="20"/>
                <w:szCs w:val="20"/>
                <w:lang w:bidi="ar"/>
              </w:rPr>
            </w:pPr>
            <w:r>
              <w:rPr>
                <w:rFonts w:hint="eastAsia" w:ascii="仿宋_GB2312" w:hAnsi="仿宋_GB2312" w:cs="仿宋_GB2312"/>
                <w:color w:val="000000"/>
                <w:kern w:val="0"/>
                <w:sz w:val="20"/>
                <w:szCs w:val="20"/>
                <w:lang w:bidi="ar"/>
              </w:rPr>
              <w:t>14.1.10.008</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kern w:val="0"/>
                <w:sz w:val="20"/>
                <w:szCs w:val="20"/>
                <w:lang w:bidi="ar"/>
              </w:rPr>
            </w:pPr>
            <w:r>
              <w:rPr>
                <w:rFonts w:hint="eastAsia" w:ascii="仿宋_GB2312" w:hAnsi="仿宋_GB2312" w:cs="仿宋_GB2312"/>
                <w:color w:val="000000"/>
                <w:kern w:val="0"/>
                <w:sz w:val="20"/>
                <w:szCs w:val="20"/>
                <w:lang w:bidi="ar"/>
              </w:rPr>
              <w:t>基础资料类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kern w:val="0"/>
                <w:sz w:val="20"/>
                <w:szCs w:val="20"/>
                <w:lang w:bidi="ar"/>
              </w:rPr>
            </w:pPr>
            <w:r>
              <w:rPr>
                <w:rFonts w:hint="eastAsia" w:ascii="仿宋_GB2312" w:hAnsi="仿宋_GB2312" w:cs="仿宋_GB2312"/>
                <w:color w:val="000000"/>
                <w:kern w:val="0"/>
                <w:sz w:val="20"/>
                <w:szCs w:val="20"/>
                <w:lang w:bidi="ar"/>
              </w:rPr>
              <w:t>教育培训类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kern w:val="0"/>
                <w:sz w:val="20"/>
                <w:szCs w:val="20"/>
                <w:lang w:bidi="ar"/>
              </w:rPr>
            </w:pPr>
            <w:r>
              <w:rPr>
                <w:rFonts w:hint="eastAsia" w:ascii="仿宋_GB2312" w:hAnsi="仿宋_GB2312" w:cs="仿宋_GB2312"/>
                <w:color w:val="000000"/>
                <w:kern w:val="0"/>
                <w:sz w:val="20"/>
                <w:szCs w:val="20"/>
                <w:lang w:bidi="ar"/>
              </w:rPr>
              <w:t>未建立涉及使用危险化学品的安全生产教育培训档案或档案内容不齐全。</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kern w:val="0"/>
                <w:sz w:val="20"/>
                <w:szCs w:val="20"/>
                <w:lang w:bidi="ar"/>
              </w:rPr>
            </w:pPr>
            <w:r>
              <w:rPr>
                <w:rFonts w:hint="eastAsia" w:ascii="仿宋_GB2312" w:hAnsi="仿宋_GB2312" w:cs="仿宋_GB2312"/>
                <w:color w:val="000000"/>
                <w:kern w:val="0"/>
                <w:sz w:val="20"/>
                <w:szCs w:val="20"/>
                <w:lang w:bidi="ar"/>
              </w:rPr>
              <w:t>单位应建立安全生产教育培训档案，且档案内容齐全，包括培训记录表、培训签到表、培训试卷等有关书面材料和图片资料。</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kern w:val="0"/>
                <w:sz w:val="20"/>
                <w:szCs w:val="20"/>
                <w:lang w:bidi="ar"/>
              </w:rPr>
            </w:pPr>
            <w:r>
              <w:rPr>
                <w:rFonts w:hint="eastAsia" w:ascii="仿宋_GB2312" w:hAnsi="仿宋_GB2312" w:cs="仿宋_GB2312"/>
                <w:color w:val="000000"/>
                <w:kern w:val="0"/>
                <w:sz w:val="20"/>
                <w:szCs w:val="20"/>
                <w:lang w:bidi="ar"/>
              </w:rPr>
              <w:t>《中华人民共和国安全生产法》第二十八条</w:t>
            </w:r>
          </w:p>
        </w:tc>
        <w:tc>
          <w:tcPr>
            <w:tcW w:w="134" w:type="pct"/>
            <w:tcBorders>
              <w:tl2br w:val="nil"/>
              <w:tr2bl w:val="nil"/>
            </w:tcBorders>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14.1.10.009</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基础资料类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教育培训类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涉及“两重点一重大”生产装置和储存设施的企业主要负责人、主管生产、设备、技术负责人、主管安全的负责人和专职安全管理人员的学历或职称不符合有关要求。</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涉及“两重点一重大”生产装置和储存设施的企业主要负责人、主管生产、设备、技术负责人、主管安全的负责人和专职安全管理人员均应具备化学、化工、安全等相关专业大专及以上学历或者化工类中级及以上职称。</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ascii="仿宋_GB2312" w:hAnsi="仿宋_GB2312" w:cs="仿宋_GB2312"/>
                <w:color w:val="000000"/>
                <w:kern w:val="0"/>
                <w:sz w:val="20"/>
                <w:szCs w:val="20"/>
                <w:lang w:bidi="ar"/>
              </w:rPr>
              <w:t>《危险化学品生产建设项目安全风险防控指南（试行）》第9.3.5条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14.1.10.010</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基础资料类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教育培训类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涉及重大危险源、重点监管危险化工工艺的生产装置和储存设施的操作人员（高风险岗位操作人员）</w:t>
            </w:r>
            <w:r>
              <w:rPr>
                <w:rFonts w:hint="eastAsia" w:ascii="仿宋_GB2312" w:hAnsi="仿宋_GB2312" w:cs="仿宋_GB2312"/>
                <w:color w:val="000000"/>
                <w:kern w:val="0"/>
                <w:sz w:val="20"/>
                <w:szCs w:val="20"/>
                <w:lang w:eastAsia="zh-CN" w:bidi="ar"/>
              </w:rPr>
              <w:t>不</w:t>
            </w:r>
            <w:r>
              <w:rPr>
                <w:rFonts w:hint="eastAsia" w:ascii="仿宋_GB2312" w:hAnsi="仿宋_GB2312" w:cs="仿宋_GB2312"/>
                <w:color w:val="000000"/>
                <w:kern w:val="0"/>
                <w:sz w:val="20"/>
                <w:szCs w:val="20"/>
                <w:lang w:bidi="ar"/>
              </w:rPr>
              <w:t>具备高中及以上学历或者化工类中等及以上职业教育水平。</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涉及重大危险源、重点监管危险化工工艺的生产装置和储存设施的操作人员（高风险岗位操作人员）应具备高中及以上学历或者化工类中等及以上职业教育水平。</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ascii="仿宋_GB2312" w:hAnsi="仿宋_GB2312" w:cs="仿宋_GB2312"/>
                <w:color w:val="000000"/>
                <w:kern w:val="0"/>
                <w:sz w:val="20"/>
                <w:szCs w:val="20"/>
                <w:lang w:bidi="ar"/>
              </w:rPr>
              <w:t>《危险化学品生产建设项目安全风险防控指南（试行）》第9.3.5条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14.1.10.011</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基础资料类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教育培训类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安全生产培训学时不符合下列要求：（1）涉及重大危险源、重点监管的危险化工工艺的生产装置和储存设施的操作人员，上岗前安全培训不少于72学时，每年再培训不少于20学时；（2）其他企业的主要负责人和安全生产管理人员初次安全培训时间不应少于32学时，每年再培训时间不应少于12学时；（3）其他企业新上岗的从业人员应进行“单位（厂）、部门（车间）、基层（班组）”三级安全培训教育，岗前安全培训时间不应少于24学时，每年再培训时间不应少于8学时。</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安全生产培训学时应符合下列要求：（1）涉及重大危险源、重点监管的危险化工工艺的生产装置和储存设施的操作人员，上岗前安全培训不少于72学时，每年再培训不少于20学时；（2）其他企业的主要负责人和安全生产管理人员初次安全培训时间不应少于32学时，每年再培训时间不应少于12学时；（3）其他企业新上岗的从业人员应进行“单位（厂）、部门（车间）、基层（班组）”三级安全培训教育，岗前安全培训时间不应少于24学时，每年再培训时间不应少于8学时。</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《生产经营单位安全培训规定》第九条、第十三条、第十八条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cs="仿宋_GB2312"/>
                <w:color w:val="000000"/>
                <w:sz w:val="20"/>
                <w:szCs w:val="20"/>
              </w:rPr>
              <w:t>14.2.12.015</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cs="仿宋_GB2312"/>
                <w:color w:val="000000"/>
                <w:kern w:val="0"/>
                <w:sz w:val="20"/>
                <w:szCs w:val="20"/>
                <w:lang w:bidi="ar"/>
              </w:rPr>
              <w:t>危险化学品类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cs="仿宋_GB2312"/>
                <w:color w:val="000000"/>
                <w:kern w:val="0"/>
                <w:sz w:val="20"/>
                <w:szCs w:val="20"/>
                <w:lang w:bidi="ar"/>
              </w:rPr>
              <w:t>未建立实验室（实训场所）重要危险源（包括各类剧毒、易制爆、易制毒、爆炸品等有毒有害化学品，各类易燃、易爆、有毒、窒息、高压等危险气体</w:t>
            </w:r>
            <w:r>
              <w:rPr>
                <w:rFonts w:hint="eastAsia" w:ascii="仿宋_GB2312" w:hAnsi="仿宋_GB2312" w:cs="仿宋_GB2312"/>
                <w:color w:val="000000"/>
                <w:kern w:val="0"/>
                <w:sz w:val="20"/>
                <w:szCs w:val="20"/>
                <w:lang w:eastAsia="zh-CN" w:bidi="ar"/>
              </w:rPr>
              <w:t>）</w:t>
            </w:r>
            <w:r>
              <w:rPr>
                <w:rFonts w:hint="eastAsia" w:ascii="仿宋_GB2312" w:hAnsi="仿宋_GB2312" w:cs="仿宋_GB2312"/>
                <w:color w:val="000000"/>
                <w:kern w:val="0"/>
                <w:sz w:val="20"/>
                <w:szCs w:val="20"/>
                <w:lang w:bidi="ar"/>
              </w:rPr>
              <w:t>风险管控方案。实验室（实训场所）内超量存放危险化学品。</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cs="仿宋_GB2312"/>
                <w:color w:val="000000"/>
                <w:kern w:val="0"/>
                <w:sz w:val="20"/>
                <w:szCs w:val="20"/>
                <w:lang w:bidi="ar"/>
              </w:rPr>
              <w:t>建立实验室（实训场所）重要危险源（包括各类剧毒、易制爆、易制毒、爆炸品等有毒有害化学品，各类易燃、易爆、有毒、窒息、高压等危险气体</w:t>
            </w:r>
            <w:r>
              <w:rPr>
                <w:rFonts w:hint="eastAsia" w:ascii="仿宋_GB2312" w:hAnsi="仿宋_GB2312" w:cs="仿宋_GB2312"/>
                <w:color w:val="000000"/>
                <w:kern w:val="0"/>
                <w:sz w:val="20"/>
                <w:szCs w:val="20"/>
                <w:lang w:eastAsia="zh-CN" w:bidi="ar"/>
              </w:rPr>
              <w:t>）</w:t>
            </w:r>
            <w:r>
              <w:rPr>
                <w:rFonts w:hint="eastAsia" w:ascii="仿宋_GB2312" w:hAnsi="仿宋_GB2312" w:cs="仿宋_GB2312"/>
                <w:color w:val="000000"/>
                <w:kern w:val="0"/>
                <w:sz w:val="20"/>
                <w:szCs w:val="20"/>
                <w:lang w:bidi="ar"/>
              </w:rPr>
              <w:t>风险管控方案。实验室（实训场所）内不应超量存放危险化学品。</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cs="仿宋_GB2312"/>
                <w:color w:val="000000"/>
                <w:kern w:val="0"/>
                <w:sz w:val="20"/>
                <w:szCs w:val="20"/>
                <w:lang w:bidi="ar"/>
              </w:rPr>
              <w:t>教育部《教育系统重大事故隐患判定指南》第六条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cs="仿宋_GB2312"/>
                <w:color w:val="000000"/>
                <w:sz w:val="20"/>
                <w:szCs w:val="20"/>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仿宋_GB2312" w:cs="仿宋_GB2312"/>
                <w:color w:val="000000"/>
                <w:sz w:val="20"/>
                <w:szCs w:val="20"/>
              </w:rPr>
              <w:t>14.4.01.012</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场所环境类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平面布置类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甲、乙类生产厂房与周边建筑的安全距离不符合《建筑设计防火规范（2018年版）》（GB50016-2014)要求。</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甲、乙类生产厂房与周边建筑的安全距离应符合《建筑设计防火规范（2018年版）》（GB50016-2014)要求。</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w:t>
            </w:r>
            <w:bookmarkStart w:id="17" w:name="OLE_LINK5"/>
            <w:r>
              <w:rPr>
                <w:rFonts w:hint="eastAsia" w:ascii="仿宋_GB2312" w:hAnsi="仿宋_GB2312" w:cs="仿宋_GB2312"/>
                <w:color w:val="000000"/>
                <w:kern w:val="0"/>
                <w:sz w:val="20"/>
                <w:szCs w:val="20"/>
                <w:lang w:bidi="ar"/>
              </w:rPr>
              <w:t>建筑设计防火规范（2</w:t>
            </w:r>
            <w:r>
              <w:rPr>
                <w:rFonts w:ascii="仿宋_GB2312" w:hAnsi="仿宋_GB2312" w:cs="仿宋_GB2312"/>
                <w:color w:val="000000"/>
                <w:kern w:val="0"/>
                <w:sz w:val="20"/>
                <w:szCs w:val="20"/>
                <w:lang w:bidi="ar"/>
              </w:rPr>
              <w:t>018</w:t>
            </w:r>
            <w:r>
              <w:rPr>
                <w:rFonts w:hint="eastAsia" w:ascii="仿宋_GB2312" w:hAnsi="仿宋_GB2312" w:cs="仿宋_GB2312"/>
                <w:color w:val="000000"/>
                <w:kern w:val="0"/>
                <w:sz w:val="20"/>
                <w:szCs w:val="20"/>
                <w:lang w:bidi="ar"/>
              </w:rPr>
              <w:t>年版）</w:t>
            </w:r>
            <w:bookmarkEnd w:id="17"/>
            <w:r>
              <w:rPr>
                <w:rFonts w:hint="eastAsia" w:ascii="仿宋_GB2312" w:hAnsi="仿宋_GB2312" w:cs="仿宋_GB2312"/>
                <w:color w:val="000000"/>
                <w:kern w:val="0"/>
                <w:sz w:val="20"/>
                <w:szCs w:val="20"/>
                <w:lang w:bidi="ar"/>
              </w:rPr>
              <w:t>》（GB50016-2014)第3.5节、3.6节</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38"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仿宋_GB2312" w:cs="仿宋_GB2312"/>
                <w:color w:val="000000"/>
                <w:sz w:val="20"/>
                <w:szCs w:val="20"/>
              </w:rPr>
              <w:t>14.4.02.013</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场所环境类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建（构）筑物类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新设立或新建、改建危险化学品储存场所未按</w:t>
            </w:r>
            <w:r>
              <w:rPr>
                <w:rFonts w:hint="eastAsia" w:ascii="仿宋_GB2312" w:hAnsi="仿宋_GB2312" w:cs="仿宋_GB2312"/>
                <w:color w:val="000000"/>
                <w:kern w:val="0"/>
                <w:sz w:val="20"/>
                <w:szCs w:val="20"/>
                <w:lang w:eastAsia="zh-CN" w:bidi="ar"/>
              </w:rPr>
              <w:t>DB11/T 755</w:t>
            </w:r>
            <w:r>
              <w:rPr>
                <w:rFonts w:hint="eastAsia" w:ascii="仿宋_GB2312" w:hAnsi="仿宋_GB2312" w:cs="仿宋_GB2312"/>
                <w:color w:val="000000"/>
                <w:kern w:val="0"/>
                <w:sz w:val="20"/>
                <w:szCs w:val="20"/>
                <w:lang w:bidi="ar"/>
              </w:rPr>
              <w:t>、 GB 50016的要求进行设计、建设与验收。</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新设立或新建、改建危险化学品仓库应按</w:t>
            </w:r>
            <w:r>
              <w:rPr>
                <w:rFonts w:hint="eastAsia" w:ascii="仿宋_GB2312" w:hAnsi="仿宋_GB2312" w:cs="仿宋_GB2312"/>
                <w:color w:val="000000"/>
                <w:kern w:val="0"/>
                <w:sz w:val="20"/>
                <w:szCs w:val="20"/>
                <w:lang w:eastAsia="zh-CN" w:bidi="ar"/>
              </w:rPr>
              <w:t>DB11/T 755</w:t>
            </w:r>
            <w:r>
              <w:rPr>
                <w:rFonts w:hint="eastAsia" w:ascii="仿宋_GB2312" w:hAnsi="仿宋_GB2312" w:cs="仿宋_GB2312"/>
                <w:color w:val="000000"/>
                <w:kern w:val="0"/>
                <w:sz w:val="20"/>
                <w:szCs w:val="20"/>
                <w:lang w:bidi="ar"/>
              </w:rPr>
              <w:t>、 GB 50016的要求进行设计、建设与验收。</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eastAsia="仿宋_GB2312" w:cs="仿宋_GB2312"/>
                <w:color w:val="000000"/>
                <w:kern w:val="0"/>
                <w:sz w:val="20"/>
                <w:szCs w:val="20"/>
                <w:lang w:eastAsia="zh-CN" w:bidi="ar"/>
              </w:rPr>
            </w:pPr>
            <w:r>
              <w:rPr>
                <w:rFonts w:hint="eastAsia" w:ascii="仿宋_GB2312" w:hAnsi="仿宋_GB2312" w:cs="仿宋_GB2312"/>
                <w:color w:val="000000"/>
                <w:kern w:val="0"/>
                <w:sz w:val="20"/>
                <w:szCs w:val="20"/>
                <w:lang w:bidi="ar"/>
              </w:rPr>
              <w:t>《</w:t>
            </w:r>
            <w:bookmarkStart w:id="18" w:name="OLE_LINK6"/>
            <w:r>
              <w:rPr>
                <w:rFonts w:hint="eastAsia" w:ascii="仿宋_GB2312" w:hAnsi="仿宋_GB2312" w:cs="仿宋_GB2312"/>
                <w:color w:val="000000"/>
                <w:kern w:val="0"/>
                <w:sz w:val="20"/>
                <w:szCs w:val="20"/>
                <w:lang w:bidi="ar"/>
              </w:rPr>
              <w:t>危险化学品储存场所建设及储存安全要求</w:t>
            </w:r>
            <w:bookmarkEnd w:id="18"/>
            <w:r>
              <w:rPr>
                <w:rFonts w:hint="eastAsia" w:ascii="仿宋_GB2312" w:hAnsi="仿宋_GB2312" w:cs="仿宋_GB2312"/>
                <w:color w:val="000000"/>
                <w:kern w:val="0"/>
                <w:sz w:val="20"/>
                <w:szCs w:val="20"/>
                <w:lang w:bidi="ar"/>
              </w:rPr>
              <w:t>》（</w:t>
            </w:r>
            <w:r>
              <w:rPr>
                <w:rFonts w:hint="eastAsia" w:ascii="仿宋_GB2312" w:hAnsi="仿宋_GB2312" w:cs="仿宋_GB2312"/>
                <w:color w:val="000000"/>
                <w:kern w:val="0"/>
                <w:sz w:val="20"/>
                <w:szCs w:val="20"/>
                <w:lang w:eastAsia="zh-CN" w:bidi="ar"/>
              </w:rPr>
              <w:t>DB11/T 755</w:t>
            </w:r>
            <w:r>
              <w:rPr>
                <w:rFonts w:hint="eastAsia" w:ascii="仿宋_GB2312" w:hAnsi="仿宋_GB2312" w:cs="仿宋_GB2312"/>
                <w:color w:val="000000"/>
                <w:kern w:val="0"/>
                <w:sz w:val="20"/>
                <w:szCs w:val="20"/>
                <w:lang w:bidi="ar"/>
              </w:rPr>
              <w:t>）第4.2.1条</w:t>
            </w:r>
            <w:r>
              <w:rPr>
                <w:rFonts w:hint="eastAsia" w:ascii="仿宋_GB2312" w:hAnsi="仿宋_GB2312" w:cs="仿宋_GB2312"/>
                <w:color w:val="000000"/>
                <w:kern w:val="0"/>
                <w:sz w:val="20"/>
                <w:szCs w:val="20"/>
                <w:lang w:eastAsia="zh-CN" w:bidi="ar"/>
              </w:rPr>
              <w:t>；</w:t>
            </w:r>
          </w:p>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《建筑设计防火规范（2018年版）》（GB</w:t>
            </w:r>
            <w:r>
              <w:rPr>
                <w:rFonts w:hint="default" w:ascii="仿宋_GB2312" w:hAnsi="仿宋_GB2312" w:cs="仿宋_GB2312"/>
                <w:color w:val="000000"/>
                <w:kern w:val="0"/>
                <w:sz w:val="20"/>
                <w:szCs w:val="20"/>
                <w:lang w:val="en" w:bidi="ar"/>
              </w:rPr>
              <w:t xml:space="preserve"> </w:t>
            </w:r>
            <w:r>
              <w:rPr>
                <w:rFonts w:hint="eastAsia" w:ascii="仿宋_GB2312" w:hAnsi="仿宋_GB2312" w:cs="仿宋_GB2312"/>
                <w:color w:val="000000"/>
                <w:kern w:val="0"/>
                <w:sz w:val="20"/>
                <w:szCs w:val="20"/>
                <w:lang w:bidi="ar"/>
              </w:rPr>
              <w:t>50016-2014）第3.5节</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35"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仿宋_GB2312" w:cs="仿宋_GB2312"/>
                <w:color w:val="000000"/>
                <w:sz w:val="20"/>
                <w:szCs w:val="20"/>
              </w:rPr>
              <w:t>14.4.03.014</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场所环境类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标志及标识类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使用危险化学品的单位，未在其作业场所和岗位设置明显的安全警示标志。（1）符合GB 13690 规定的化学品危险性质警示标签；（2）符合GB13495.1和GB15630规定的消防安全标志；（3）符合GB 2894规定的禁止、警告、指令、提示等永久性安全标志。</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使用危险化学品的单位，应在其作业场所和岗位设置明显的安全警示标志。（1）符合GB 13690 规定的化学品危险性质警示标签；（2）符合GB13495.1和GB15630规定的消防安全标志；（3）符合GB 2894规定的禁止、警告、指令、提示等永久性安全标志。</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eastAsia="仿宋_GB2312" w:cs="仿宋_GB2312"/>
                <w:color w:val="000000"/>
                <w:kern w:val="0"/>
                <w:sz w:val="20"/>
                <w:szCs w:val="20"/>
                <w:lang w:eastAsia="zh-CN" w:bidi="ar"/>
              </w:rPr>
            </w:pPr>
            <w:r>
              <w:rPr>
                <w:rFonts w:hint="eastAsia" w:ascii="仿宋_GB2312" w:hAnsi="仿宋_GB2312" w:cs="仿宋_GB2312"/>
                <w:color w:val="000000"/>
                <w:kern w:val="0"/>
                <w:sz w:val="20"/>
                <w:szCs w:val="20"/>
                <w:lang w:bidi="ar"/>
              </w:rPr>
              <w:t>《危险化学品储存场所建设及储存安全要求》（</w:t>
            </w:r>
            <w:r>
              <w:rPr>
                <w:rFonts w:hint="eastAsia" w:ascii="仿宋_GB2312" w:hAnsi="仿宋_GB2312" w:cs="仿宋_GB2312"/>
                <w:color w:val="000000"/>
                <w:kern w:val="0"/>
                <w:sz w:val="20"/>
                <w:szCs w:val="20"/>
                <w:lang w:eastAsia="zh-CN" w:bidi="ar"/>
              </w:rPr>
              <w:t>DB11/T 755</w:t>
            </w:r>
            <w:r>
              <w:rPr>
                <w:rFonts w:hint="eastAsia" w:ascii="仿宋_GB2312" w:hAnsi="仿宋_GB2312" w:cs="仿宋_GB2312"/>
                <w:color w:val="000000"/>
                <w:kern w:val="0"/>
                <w:sz w:val="20"/>
                <w:szCs w:val="20"/>
                <w:lang w:bidi="ar"/>
              </w:rPr>
              <w:t>）第4.1.3.13条</w:t>
            </w:r>
            <w:r>
              <w:rPr>
                <w:rFonts w:hint="eastAsia" w:ascii="仿宋_GB2312" w:hAnsi="仿宋_GB2312" w:cs="仿宋_GB2312"/>
                <w:color w:val="000000"/>
                <w:kern w:val="0"/>
                <w:sz w:val="20"/>
                <w:szCs w:val="20"/>
                <w:lang w:eastAsia="zh-CN" w:bidi="ar"/>
              </w:rPr>
              <w:t>；</w:t>
            </w:r>
          </w:p>
          <w:p>
            <w:pPr>
              <w:widowControl/>
              <w:adjustRightInd w:val="0"/>
              <w:snapToGrid w:val="0"/>
              <w:spacing w:after="0" w:line="240" w:lineRule="auto"/>
              <w:jc w:val="left"/>
              <w:textAlignment w:val="center"/>
              <w:rPr>
                <w:rFonts w:hint="eastAsia" w:ascii="仿宋_GB2312" w:hAnsi="仿宋_GB2312" w:eastAsia="仿宋_GB2312" w:cs="仿宋_GB2312"/>
                <w:color w:val="000000"/>
                <w:kern w:val="0"/>
                <w:sz w:val="20"/>
                <w:szCs w:val="20"/>
                <w:lang w:eastAsia="zh-CN" w:bidi="ar"/>
              </w:rPr>
            </w:pPr>
            <w:r>
              <w:rPr>
                <w:rFonts w:hint="eastAsia" w:ascii="仿宋_GB2312" w:hAnsi="仿宋_GB2312" w:cs="仿宋_GB2312"/>
                <w:color w:val="000000"/>
                <w:kern w:val="0"/>
                <w:sz w:val="20"/>
                <w:szCs w:val="20"/>
                <w:lang w:eastAsia="zh-CN" w:bidi="ar"/>
              </w:rPr>
              <w:t>《安全生产等级评定技术规范 第2部分：安全生产通用要求》（DB11/T 1322.2-2017）；</w:t>
            </w:r>
          </w:p>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《中华人民共和国危险化学品安全法》第三十七条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5" w:hRule="atLeast"/>
        </w:trPr>
        <w:tc>
          <w:tcPr>
            <w:tcW w:w="5000" w:type="pct"/>
            <w:gridSpan w:val="7"/>
            <w:tcBorders>
              <w:tl2br w:val="nil"/>
              <w:tr2bl w:val="nil"/>
            </w:tcBorders>
            <w:shd w:val="clear" w:color="auto" w:fill="B4C6E7"/>
            <w:vAlign w:val="center"/>
          </w:tcPr>
          <w:p>
            <w:pPr>
              <w:widowControl/>
              <w:adjustRightInd w:val="0"/>
              <w:snapToGrid w:val="0"/>
              <w:spacing w:after="0" w:line="240" w:lineRule="auto"/>
              <w:jc w:val="center"/>
              <w:textAlignment w:val="center"/>
              <w:rPr>
                <w:rFonts w:hint="eastAsia" w:ascii="仿宋_GB2312" w:hAnsi="仿宋_GB2312" w:cs="仿宋_GB2312"/>
                <w:b/>
                <w:color w:val="000000"/>
                <w:sz w:val="20"/>
                <w:szCs w:val="20"/>
              </w:rPr>
            </w:pPr>
            <w:r>
              <w:rPr>
                <w:rFonts w:hint="eastAsia" w:ascii="仿宋_GB2312" w:hAnsi="仿宋_GB2312" w:cs="仿宋_GB2312"/>
                <w:b/>
                <w:color w:val="000000"/>
                <w:kern w:val="0"/>
                <w:sz w:val="20"/>
                <w:szCs w:val="20"/>
                <w:lang w:bidi="ar"/>
              </w:rPr>
              <w:t>采购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14.1.01.016</w:t>
            </w:r>
          </w:p>
        </w:tc>
        <w:tc>
          <w:tcPr>
            <w:tcW w:w="355" w:type="pct"/>
            <w:tcBorders>
              <w:tl2br w:val="nil"/>
              <w:tr2bl w:val="nil"/>
            </w:tcBorders>
            <w:noWrap/>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基础资料类</w:t>
            </w:r>
          </w:p>
        </w:tc>
        <w:tc>
          <w:tcPr>
            <w:tcW w:w="389" w:type="pct"/>
            <w:tcBorders>
              <w:tl2br w:val="nil"/>
              <w:tr2bl w:val="nil"/>
            </w:tcBorders>
            <w:noWrap/>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资质证照类</w:t>
            </w:r>
          </w:p>
        </w:tc>
        <w:tc>
          <w:tcPr>
            <w:tcW w:w="1012"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未向取得《危险化学品安全生产许可证》或《危险化学品经营许可证》的生产经营单位</w:t>
            </w:r>
            <w:bookmarkStart w:id="19" w:name="OLE_LINK3"/>
            <w:r>
              <w:rPr>
                <w:rFonts w:hint="eastAsia" w:ascii="仿宋_GB2312" w:hAnsi="仿宋_GB2312" w:cs="仿宋_GB2312"/>
                <w:color w:val="000000"/>
                <w:kern w:val="0"/>
                <w:sz w:val="20"/>
                <w:szCs w:val="20"/>
                <w:lang w:bidi="ar"/>
              </w:rPr>
              <w:t>购买</w:t>
            </w:r>
            <w:bookmarkEnd w:id="19"/>
            <w:r>
              <w:rPr>
                <w:rFonts w:hint="eastAsia" w:ascii="仿宋_GB2312" w:hAnsi="仿宋_GB2312" w:cs="仿宋_GB2312"/>
                <w:color w:val="000000"/>
                <w:kern w:val="0"/>
                <w:sz w:val="20"/>
                <w:szCs w:val="20"/>
                <w:lang w:bidi="ar"/>
              </w:rPr>
              <w:t>危险化学品，未保存好相关资质的复印件。</w:t>
            </w:r>
          </w:p>
        </w:tc>
        <w:tc>
          <w:tcPr>
            <w:tcW w:w="1379"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应向取得《危险化学品安全生产许可证》或《危险化学品经营许可证》的生产经营单位购买危险化学品，并保存好相关资质的复印件。</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《危险化学品安全管理条例》（国务院令第591号）第十五条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1"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14.1.06.017</w:t>
            </w:r>
          </w:p>
        </w:tc>
        <w:tc>
          <w:tcPr>
            <w:tcW w:w="355" w:type="pct"/>
            <w:tcBorders>
              <w:tl2br w:val="nil"/>
              <w:tr2bl w:val="nil"/>
            </w:tcBorders>
            <w:noWrap/>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基础资料类</w:t>
            </w:r>
          </w:p>
        </w:tc>
        <w:tc>
          <w:tcPr>
            <w:tcW w:w="389" w:type="pct"/>
            <w:tcBorders>
              <w:tl2br w:val="nil"/>
              <w:tr2bl w:val="nil"/>
            </w:tcBorders>
            <w:noWrap/>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记录档案类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购买危险化学品时未向供应商索取正式的中文版化学品安全技术说明书（SDS），化学品包装的安全标签不完整、清晰。采购无安全技术说明书和安全标签的危险化学品。化学品安全技术说明书（SDS）未妥善保管，方便使用人员获得。</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购买危险化学品时应向供应商索取正式的中文版化学品安全技术说明书（SDS），化学品包装的安全标签应完整、清晰。不得采购无安全技术说明书和安全标签的危险化学品。化学品安全技术说明书（SDS）应妥善保管，方便使用人员获得。</w:t>
            </w:r>
          </w:p>
        </w:tc>
        <w:tc>
          <w:tcPr>
            <w:tcW w:w="1369" w:type="pct"/>
            <w:tcBorders>
              <w:tl2br w:val="nil"/>
              <w:tr2bl w:val="nil"/>
            </w:tcBorders>
            <w:noWrap/>
            <w:vAlign w:val="center"/>
          </w:tcPr>
          <w:p>
            <w:pPr>
              <w:adjustRightInd w:val="0"/>
              <w:snapToGrid w:val="0"/>
              <w:spacing w:after="0" w:line="240" w:lineRule="auto"/>
              <w:rPr>
                <w:rFonts w:hint="eastAsia" w:ascii="仿宋_GB2312" w:hAnsi="仿宋_GB2312" w:cs="仿宋_GB2312"/>
                <w:color w:val="000000"/>
                <w:sz w:val="20"/>
                <w:szCs w:val="20"/>
              </w:rPr>
            </w:pPr>
            <w:r>
              <w:rPr>
                <w:rFonts w:hint="eastAsia" w:ascii="仿宋_GB2312" w:hAnsi="仿宋_GB2312" w:cs="仿宋_GB2312"/>
                <w:color w:val="000000"/>
                <w:sz w:val="20"/>
                <w:szCs w:val="20"/>
              </w:rPr>
              <w:t>《中华人民共和国危险化学品安全法》第三十一条、第八十六条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14.1.06.018</w:t>
            </w:r>
          </w:p>
        </w:tc>
        <w:tc>
          <w:tcPr>
            <w:tcW w:w="355" w:type="pct"/>
            <w:tcBorders>
              <w:tl2br w:val="nil"/>
              <w:tr2bl w:val="nil"/>
            </w:tcBorders>
            <w:noWrap/>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基础资料类</w:t>
            </w:r>
          </w:p>
        </w:tc>
        <w:tc>
          <w:tcPr>
            <w:tcW w:w="389" w:type="pct"/>
            <w:tcBorders>
              <w:tl2br w:val="nil"/>
              <w:tr2bl w:val="nil"/>
            </w:tcBorders>
            <w:noWrap/>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记录档案类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危险化学品采购单位未如实登记危险化学品购买、出入库、领取、使用、归还、处置等信息。危险化学品采购单位未通过本市危险化学品信息平台开展危险化学品交易活动，未实现危险化学品全过程可追溯。</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危险化学品采购单位应当如实登记危险化学品购买、出入库、领取、使用、归还、处置等信息。危险化学品采购单位通过本市危险化学品信息平台开展危险化学品交易活动，实现危险化学品全过程可追溯。</w:t>
            </w:r>
          </w:p>
        </w:tc>
        <w:tc>
          <w:tcPr>
            <w:tcW w:w="1369" w:type="pct"/>
            <w:tcBorders>
              <w:tl2br w:val="nil"/>
              <w:tr2bl w:val="nil"/>
            </w:tcBorders>
            <w:vAlign w:val="center"/>
          </w:tcPr>
          <w:p>
            <w:pPr>
              <w:adjustRightInd w:val="0"/>
              <w:snapToGrid w:val="0"/>
              <w:spacing w:after="0" w:line="240" w:lineRule="auto"/>
              <w:jc w:val="left"/>
              <w:rPr>
                <w:rFonts w:hint="eastAsia" w:ascii="仿宋_GB2312" w:hAnsi="仿宋_GB2312" w:eastAsia="仿宋_GB2312" w:cs="仿宋_GB2312"/>
                <w:color w:val="000000"/>
                <w:kern w:val="0"/>
                <w:sz w:val="20"/>
                <w:szCs w:val="20"/>
                <w:lang w:eastAsia="zh-CN" w:bidi="ar"/>
              </w:rPr>
            </w:pPr>
            <w:r>
              <w:rPr>
                <w:rFonts w:hint="eastAsia" w:ascii="仿宋_GB2312" w:hAnsi="仿宋_GB2312" w:cs="仿宋_GB2312"/>
                <w:color w:val="000000"/>
                <w:kern w:val="0"/>
                <w:sz w:val="20"/>
                <w:szCs w:val="20"/>
                <w:lang w:eastAsia="zh-CN" w:bidi="ar"/>
              </w:rPr>
              <w:t>《安全生产等级评定技术规范 第2部分：安全生产通用要求》（DB11/T 1322.2-2017）</w:t>
            </w:r>
            <w:r>
              <w:rPr>
                <w:rFonts w:hint="eastAsia" w:ascii="仿宋_GB2312" w:hAnsi="仿宋_GB2312" w:cs="仿宋_GB2312"/>
                <w:color w:val="000000"/>
                <w:kern w:val="0"/>
                <w:sz w:val="20"/>
                <w:szCs w:val="20"/>
                <w:lang w:bidi="ar"/>
              </w:rPr>
              <w:t>第3.8.1.17条</w:t>
            </w:r>
            <w:r>
              <w:rPr>
                <w:rFonts w:hint="eastAsia" w:ascii="仿宋_GB2312" w:hAnsi="仿宋_GB2312" w:cs="仿宋_GB2312"/>
                <w:color w:val="000000"/>
                <w:kern w:val="0"/>
                <w:sz w:val="20"/>
                <w:szCs w:val="20"/>
                <w:lang w:eastAsia="zh-CN" w:bidi="ar"/>
              </w:rPr>
              <w:t>；</w:t>
            </w:r>
          </w:p>
          <w:p>
            <w:pPr>
              <w:adjustRightInd w:val="0"/>
              <w:snapToGrid w:val="0"/>
              <w:spacing w:after="0" w:line="240" w:lineRule="auto"/>
              <w:jc w:val="left"/>
              <w:rPr>
                <w:rFonts w:hint="eastAsia" w:ascii="仿宋_GB2312" w:hAnsi="仿宋_GB2312" w:cs="仿宋_GB2312"/>
                <w:color w:val="000000"/>
                <w:sz w:val="20"/>
                <w:szCs w:val="20"/>
              </w:rPr>
            </w:pPr>
            <w:r>
              <w:rPr>
                <w:rFonts w:hint="eastAsia" w:ascii="仿宋_GB2312" w:hAnsi="仿宋_GB2312" w:cs="仿宋_GB2312"/>
                <w:color w:val="000000"/>
                <w:sz w:val="20"/>
                <w:szCs w:val="20"/>
                <w:lang w:bidi="ar"/>
              </w:rPr>
              <w:t>《</w:t>
            </w:r>
            <w:bookmarkStart w:id="20" w:name="OLE_LINK17"/>
            <w:r>
              <w:rPr>
                <w:rFonts w:hint="eastAsia" w:ascii="仿宋_GB2312" w:hAnsi="仿宋_GB2312" w:cs="仿宋_GB2312"/>
                <w:color w:val="000000"/>
                <w:sz w:val="20"/>
                <w:szCs w:val="20"/>
                <w:lang w:bidi="ar"/>
              </w:rPr>
              <w:t>北京市安全生产条例</w:t>
            </w:r>
            <w:bookmarkEnd w:id="20"/>
            <w:r>
              <w:rPr>
                <w:rFonts w:hint="eastAsia" w:ascii="仿宋_GB2312" w:hAnsi="仿宋_GB2312" w:cs="仿宋_GB2312"/>
                <w:color w:val="000000"/>
                <w:sz w:val="20"/>
                <w:szCs w:val="20"/>
                <w:lang w:bidi="ar"/>
              </w:rPr>
              <w:t>》第四十六条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cs="仿宋_GB2312"/>
                <w:color w:val="000000"/>
                <w:kern w:val="0"/>
                <w:sz w:val="20"/>
                <w:szCs w:val="20"/>
                <w:lang w:bidi="ar"/>
              </w:rPr>
            </w:pPr>
            <w:r>
              <w:rPr>
                <w:rFonts w:hint="eastAsia" w:ascii="仿宋_GB2312" w:hAnsi="仿宋_GB2312" w:cs="仿宋_GB2312"/>
                <w:color w:val="000000"/>
                <w:kern w:val="0"/>
                <w:sz w:val="20"/>
                <w:szCs w:val="20"/>
                <w:lang w:bidi="ar"/>
              </w:rPr>
              <w:t>14.1.03.019</w:t>
            </w:r>
          </w:p>
        </w:tc>
        <w:tc>
          <w:tcPr>
            <w:tcW w:w="355" w:type="pct"/>
            <w:tcBorders>
              <w:tl2br w:val="nil"/>
              <w:tr2bl w:val="nil"/>
            </w:tcBorders>
            <w:noWrap/>
            <w:vAlign w:val="center"/>
          </w:tcPr>
          <w:p>
            <w:pPr>
              <w:widowControl/>
              <w:adjustRightInd w:val="0"/>
              <w:snapToGrid w:val="0"/>
              <w:spacing w:after="0" w:line="240" w:lineRule="auto"/>
              <w:jc w:val="center"/>
              <w:textAlignment w:val="center"/>
              <w:rPr>
                <w:rFonts w:hint="eastAsia" w:ascii="仿宋_GB2312" w:hAnsi="仿宋_GB2312" w:cs="仿宋_GB2312"/>
                <w:color w:val="000000"/>
                <w:kern w:val="0"/>
                <w:sz w:val="20"/>
                <w:szCs w:val="20"/>
                <w:lang w:bidi="ar"/>
              </w:rPr>
            </w:pPr>
            <w:r>
              <w:rPr>
                <w:rFonts w:hint="eastAsia" w:ascii="仿宋_GB2312" w:hAnsi="仿宋_GB2312" w:cs="仿宋_GB2312"/>
                <w:color w:val="000000"/>
                <w:kern w:val="0"/>
                <w:sz w:val="20"/>
                <w:szCs w:val="20"/>
                <w:lang w:bidi="ar"/>
              </w:rPr>
              <w:t>基础资料类</w:t>
            </w:r>
          </w:p>
        </w:tc>
        <w:tc>
          <w:tcPr>
            <w:tcW w:w="389" w:type="pct"/>
            <w:tcBorders>
              <w:tl2br w:val="nil"/>
              <w:tr2bl w:val="nil"/>
            </w:tcBorders>
            <w:noWrap/>
            <w:vAlign w:val="center"/>
          </w:tcPr>
          <w:p>
            <w:pPr>
              <w:widowControl/>
              <w:adjustRightInd w:val="0"/>
              <w:snapToGrid w:val="0"/>
              <w:spacing w:after="0" w:line="240" w:lineRule="auto"/>
              <w:jc w:val="center"/>
              <w:textAlignment w:val="center"/>
              <w:rPr>
                <w:rFonts w:hint="eastAsia" w:ascii="仿宋_GB2312" w:hAnsi="仿宋_GB2312" w:cs="仿宋_GB2312"/>
                <w:color w:val="000000"/>
                <w:kern w:val="0"/>
                <w:sz w:val="20"/>
                <w:szCs w:val="20"/>
                <w:lang w:bidi="ar"/>
              </w:rPr>
            </w:pPr>
            <w:r>
              <w:rPr>
                <w:rFonts w:hint="eastAsia" w:ascii="仿宋_GB2312" w:hAnsi="仿宋_GB2312" w:cs="仿宋_GB2312"/>
                <w:color w:val="000000"/>
                <w:kern w:val="0"/>
                <w:sz w:val="20"/>
                <w:szCs w:val="20"/>
                <w:lang w:bidi="ar"/>
              </w:rPr>
              <w:t>制度类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kern w:val="0"/>
                <w:sz w:val="20"/>
                <w:szCs w:val="20"/>
                <w:lang w:bidi="ar"/>
              </w:rPr>
            </w:pPr>
            <w:r>
              <w:rPr>
                <w:rFonts w:hint="eastAsia" w:ascii="仿宋_GB2312" w:hAnsi="仿宋_GB2312" w:cs="仿宋_GB2312"/>
                <w:color w:val="000000"/>
                <w:kern w:val="0"/>
                <w:sz w:val="20"/>
                <w:szCs w:val="20"/>
                <w:lang w:bidi="ar"/>
              </w:rPr>
              <w:t>生产经营单位</w:t>
            </w:r>
            <w:r>
              <w:rPr>
                <w:rFonts w:hint="eastAsia" w:ascii="仿宋_GB2312" w:hAnsi="仿宋_GB2312" w:cs="仿宋_GB2312"/>
                <w:color w:val="000000"/>
                <w:kern w:val="0"/>
                <w:sz w:val="20"/>
                <w:szCs w:val="20"/>
                <w:lang w:eastAsia="zh-CN" w:bidi="ar"/>
              </w:rPr>
              <w:t>未</w:t>
            </w:r>
            <w:r>
              <w:rPr>
                <w:rFonts w:hint="eastAsia" w:ascii="仿宋_GB2312" w:hAnsi="仿宋_GB2312" w:cs="仿宋_GB2312"/>
                <w:color w:val="000000"/>
                <w:kern w:val="0"/>
                <w:sz w:val="20"/>
                <w:szCs w:val="20"/>
                <w:lang w:bidi="ar"/>
              </w:rPr>
              <w:t>建立并不断完善危险作业许可制度，规范动火、进入受限空间、动土、临时用电、高处作业、断路、吊装、抽堵盲板等特殊作业的安全条件和审批程序；实施特殊作业前，</w:t>
            </w:r>
            <w:r>
              <w:rPr>
                <w:rFonts w:hint="eastAsia" w:ascii="仿宋_GB2312" w:hAnsi="仿宋_GB2312" w:cs="仿宋_GB2312"/>
                <w:color w:val="000000"/>
                <w:kern w:val="0"/>
                <w:sz w:val="20"/>
                <w:szCs w:val="20"/>
                <w:lang w:eastAsia="zh-CN" w:bidi="ar"/>
              </w:rPr>
              <w:t>未</w:t>
            </w:r>
            <w:r>
              <w:rPr>
                <w:rFonts w:hint="eastAsia" w:ascii="仿宋_GB2312" w:hAnsi="仿宋_GB2312" w:cs="仿宋_GB2312"/>
                <w:color w:val="000000"/>
                <w:kern w:val="0"/>
                <w:sz w:val="20"/>
                <w:szCs w:val="20"/>
                <w:lang w:bidi="ar"/>
              </w:rPr>
              <w:t>办理审批手续。</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kern w:val="0"/>
                <w:sz w:val="20"/>
                <w:szCs w:val="20"/>
                <w:lang w:bidi="ar"/>
              </w:rPr>
            </w:pPr>
            <w:r>
              <w:rPr>
                <w:rFonts w:hint="eastAsia" w:ascii="仿宋_GB2312" w:hAnsi="仿宋_GB2312" w:cs="仿宋_GB2312"/>
                <w:color w:val="000000"/>
                <w:kern w:val="0"/>
                <w:sz w:val="20"/>
                <w:szCs w:val="20"/>
                <w:lang w:bidi="ar"/>
              </w:rPr>
              <w:t>生产经营单位应建立并不断完善危险作业许可制度，规范动火、进入受限空间、动土、临时用电、高处作业、断路、吊装、抽堵盲板等特殊作业的安全条件和审批程序；实施特殊作业前，必须办理审批手续。</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eastAsia="仿宋_GB2312" w:cs="仿宋_GB2312"/>
                <w:color w:val="000000"/>
                <w:kern w:val="0"/>
                <w:sz w:val="20"/>
                <w:szCs w:val="20"/>
                <w:lang w:eastAsia="zh-CN" w:bidi="ar"/>
              </w:rPr>
            </w:pPr>
            <w:r>
              <w:rPr>
                <w:rFonts w:hint="eastAsia" w:ascii="仿宋_GB2312" w:hAnsi="仿宋_GB2312" w:cs="仿宋_GB2312"/>
                <w:color w:val="000000"/>
                <w:kern w:val="0"/>
                <w:sz w:val="20"/>
                <w:szCs w:val="20"/>
                <w:lang w:bidi="ar"/>
              </w:rPr>
              <w:t>《北京市安全生产条例》第十八条（五）、第三十九条</w:t>
            </w:r>
            <w:r>
              <w:rPr>
                <w:rFonts w:hint="eastAsia" w:ascii="仿宋_GB2312" w:hAnsi="仿宋_GB2312" w:cs="仿宋_GB2312"/>
                <w:color w:val="000000"/>
                <w:kern w:val="0"/>
                <w:sz w:val="20"/>
                <w:szCs w:val="20"/>
                <w:lang w:eastAsia="zh-CN" w:bidi="ar"/>
              </w:rPr>
              <w:t>；</w:t>
            </w:r>
          </w:p>
          <w:p>
            <w:pPr>
              <w:adjustRightInd w:val="0"/>
              <w:snapToGrid w:val="0"/>
              <w:spacing w:after="0" w:line="240" w:lineRule="auto"/>
              <w:jc w:val="left"/>
              <w:rPr>
                <w:rFonts w:hint="eastAsia" w:ascii="仿宋_GB2312" w:hAnsi="仿宋_GB2312" w:cs="仿宋_GB2312"/>
                <w:color w:val="000000"/>
                <w:kern w:val="0"/>
                <w:sz w:val="20"/>
                <w:szCs w:val="20"/>
                <w:lang w:bidi="ar"/>
              </w:rPr>
            </w:pPr>
            <w:r>
              <w:rPr>
                <w:rFonts w:hint="eastAsia" w:ascii="仿宋_GB2312" w:hAnsi="仿宋_GB2312" w:cs="仿宋_GB2312"/>
                <w:color w:val="000000"/>
                <w:kern w:val="0"/>
                <w:sz w:val="20"/>
                <w:szCs w:val="20"/>
                <w:lang w:bidi="ar"/>
              </w:rPr>
              <w:t>《北京市生产经营单位安全生产主体责任规定》第七条（六）</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cs="仿宋_GB2312"/>
                <w:color w:val="000000"/>
                <w:kern w:val="0"/>
                <w:sz w:val="20"/>
                <w:szCs w:val="20"/>
                <w:lang w:bidi="ar"/>
              </w:rPr>
            </w:pPr>
            <w:r>
              <w:rPr>
                <w:rFonts w:hint="eastAsia" w:ascii="仿宋_GB2312" w:hAnsi="仿宋_GB2312" w:cs="仿宋_GB2312"/>
                <w:color w:val="000000"/>
                <w:kern w:val="0"/>
                <w:sz w:val="20"/>
                <w:szCs w:val="20"/>
                <w:lang w:bidi="ar"/>
              </w:rPr>
              <w:t>14.1.03.020</w:t>
            </w:r>
          </w:p>
        </w:tc>
        <w:tc>
          <w:tcPr>
            <w:tcW w:w="355" w:type="pct"/>
            <w:tcBorders>
              <w:tl2br w:val="nil"/>
              <w:tr2bl w:val="nil"/>
            </w:tcBorders>
            <w:noWrap/>
            <w:vAlign w:val="center"/>
          </w:tcPr>
          <w:p>
            <w:pPr>
              <w:widowControl/>
              <w:adjustRightInd w:val="0"/>
              <w:snapToGrid w:val="0"/>
              <w:spacing w:after="0" w:line="240" w:lineRule="auto"/>
              <w:jc w:val="center"/>
              <w:textAlignment w:val="center"/>
              <w:rPr>
                <w:rFonts w:hint="eastAsia" w:ascii="仿宋_GB2312" w:hAnsi="仿宋_GB2312" w:cs="仿宋_GB2312"/>
                <w:color w:val="000000"/>
                <w:kern w:val="0"/>
                <w:sz w:val="20"/>
                <w:szCs w:val="20"/>
                <w:lang w:bidi="ar"/>
              </w:rPr>
            </w:pPr>
            <w:r>
              <w:rPr>
                <w:rFonts w:hint="eastAsia" w:ascii="仿宋_GB2312" w:hAnsi="仿宋_GB2312" w:cs="仿宋_GB2312"/>
                <w:color w:val="000000"/>
                <w:kern w:val="0"/>
                <w:sz w:val="20"/>
                <w:szCs w:val="20"/>
                <w:lang w:bidi="ar"/>
              </w:rPr>
              <w:t>基础资料类</w:t>
            </w:r>
          </w:p>
        </w:tc>
        <w:tc>
          <w:tcPr>
            <w:tcW w:w="389" w:type="pct"/>
            <w:tcBorders>
              <w:tl2br w:val="nil"/>
              <w:tr2bl w:val="nil"/>
            </w:tcBorders>
            <w:noWrap/>
            <w:vAlign w:val="center"/>
          </w:tcPr>
          <w:p>
            <w:pPr>
              <w:widowControl/>
              <w:adjustRightInd w:val="0"/>
              <w:snapToGrid w:val="0"/>
              <w:spacing w:after="0" w:line="240" w:lineRule="auto"/>
              <w:jc w:val="center"/>
              <w:textAlignment w:val="center"/>
              <w:rPr>
                <w:rFonts w:hint="eastAsia" w:ascii="仿宋_GB2312" w:hAnsi="仿宋_GB2312" w:cs="仿宋_GB2312"/>
                <w:color w:val="000000"/>
                <w:kern w:val="0"/>
                <w:sz w:val="20"/>
                <w:szCs w:val="20"/>
                <w:lang w:bidi="ar"/>
              </w:rPr>
            </w:pPr>
            <w:r>
              <w:rPr>
                <w:rFonts w:hint="eastAsia" w:ascii="仿宋_GB2312" w:hAnsi="仿宋_GB2312" w:cs="仿宋_GB2312"/>
                <w:color w:val="000000"/>
                <w:kern w:val="0"/>
                <w:sz w:val="20"/>
                <w:szCs w:val="20"/>
                <w:lang w:bidi="ar"/>
              </w:rPr>
              <w:t>制度类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kern w:val="0"/>
                <w:sz w:val="20"/>
                <w:szCs w:val="20"/>
                <w:lang w:bidi="ar"/>
              </w:rPr>
            </w:pPr>
            <w:r>
              <w:rPr>
                <w:rFonts w:hint="eastAsia" w:ascii="仿宋_GB2312" w:hAnsi="仿宋_GB2312" w:cs="仿宋_GB2312"/>
                <w:color w:val="000000"/>
                <w:kern w:val="0"/>
                <w:sz w:val="20"/>
                <w:szCs w:val="20"/>
                <w:lang w:bidi="ar"/>
              </w:rPr>
              <w:t>工艺技术、设备设施发生变更未进行风险分析并履行变更管理程序。</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kern w:val="0"/>
                <w:sz w:val="20"/>
                <w:szCs w:val="20"/>
                <w:lang w:bidi="ar"/>
              </w:rPr>
            </w:pPr>
            <w:r>
              <w:rPr>
                <w:rFonts w:hint="eastAsia" w:ascii="仿宋_GB2312" w:hAnsi="仿宋_GB2312" w:cs="仿宋_GB2312"/>
                <w:color w:val="000000"/>
                <w:kern w:val="0"/>
                <w:sz w:val="20"/>
                <w:szCs w:val="20"/>
                <w:lang w:bidi="ar"/>
              </w:rPr>
              <w:t>工艺技术、设备设施发生变更应进行风险分析并履行变更管理程序。</w:t>
            </w:r>
          </w:p>
        </w:tc>
        <w:tc>
          <w:tcPr>
            <w:tcW w:w="1369" w:type="pct"/>
            <w:tcBorders>
              <w:tl2br w:val="nil"/>
              <w:tr2bl w:val="nil"/>
            </w:tcBorders>
            <w:vAlign w:val="center"/>
          </w:tcPr>
          <w:p>
            <w:pPr>
              <w:adjustRightInd w:val="0"/>
              <w:snapToGrid w:val="0"/>
              <w:spacing w:after="0" w:line="240" w:lineRule="auto"/>
              <w:jc w:val="left"/>
              <w:rPr>
                <w:rFonts w:hint="eastAsia" w:ascii="仿宋_GB2312" w:hAnsi="仿宋_GB2312" w:eastAsia="仿宋_GB2312" w:cs="仿宋_GB2312"/>
                <w:color w:val="000000"/>
                <w:sz w:val="20"/>
                <w:szCs w:val="20"/>
                <w:lang w:eastAsia="zh-CN"/>
              </w:rPr>
            </w:pPr>
            <w:r>
              <w:rPr>
                <w:rFonts w:hint="eastAsia" w:ascii="仿宋_GB2312" w:hAnsi="仿宋_GB2312" w:cs="仿宋_GB2312"/>
                <w:color w:val="000000"/>
                <w:sz w:val="20"/>
                <w:szCs w:val="20"/>
              </w:rPr>
              <w:t>《中华人民共和国危险化学品安全法》第三十五条</w:t>
            </w:r>
            <w:r>
              <w:rPr>
                <w:rFonts w:hint="eastAsia" w:ascii="仿宋_GB2312" w:hAnsi="仿宋_GB2312" w:cs="仿宋_GB2312"/>
                <w:color w:val="000000"/>
                <w:sz w:val="20"/>
                <w:szCs w:val="20"/>
                <w:lang w:eastAsia="zh-CN"/>
              </w:rPr>
              <w:t>；</w:t>
            </w:r>
          </w:p>
          <w:p>
            <w:pPr>
              <w:widowControl/>
              <w:adjustRightInd w:val="0"/>
              <w:snapToGrid w:val="0"/>
              <w:spacing w:after="0" w:line="240" w:lineRule="auto"/>
              <w:jc w:val="left"/>
              <w:textAlignment w:val="center"/>
              <w:rPr>
                <w:rFonts w:hint="eastAsia" w:ascii="仿宋_GB2312" w:hAnsi="仿宋_GB2312" w:cs="仿宋_GB2312"/>
                <w:color w:val="000000"/>
                <w:kern w:val="0"/>
                <w:sz w:val="20"/>
                <w:szCs w:val="20"/>
                <w:lang w:bidi="ar"/>
              </w:rPr>
            </w:pPr>
            <w:r>
              <w:rPr>
                <w:rFonts w:hint="eastAsia" w:ascii="仿宋_GB2312" w:hAnsi="仿宋_GB2312" w:cs="仿宋_GB2312"/>
                <w:color w:val="000000"/>
                <w:sz w:val="20"/>
                <w:szCs w:val="20"/>
              </w:rPr>
              <w:t>《北京市安全生产条例》第二十七条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000" w:type="pct"/>
            <w:gridSpan w:val="7"/>
            <w:tcBorders>
              <w:tl2br w:val="nil"/>
              <w:tr2bl w:val="nil"/>
            </w:tcBorders>
            <w:shd w:val="clear" w:color="auto" w:fill="B4C6E7"/>
            <w:vAlign w:val="center"/>
          </w:tcPr>
          <w:p>
            <w:pPr>
              <w:widowControl/>
              <w:adjustRightInd w:val="0"/>
              <w:snapToGrid w:val="0"/>
              <w:spacing w:after="0" w:line="240" w:lineRule="auto"/>
              <w:jc w:val="center"/>
              <w:textAlignment w:val="center"/>
              <w:rPr>
                <w:rFonts w:hint="eastAsia" w:ascii="仿宋_GB2312" w:hAnsi="仿宋_GB2312" w:cs="仿宋_GB2312"/>
                <w:b/>
                <w:color w:val="000000"/>
                <w:sz w:val="20"/>
                <w:szCs w:val="20"/>
              </w:rPr>
            </w:pPr>
            <w:r>
              <w:rPr>
                <w:rFonts w:hint="eastAsia" w:ascii="仿宋_GB2312" w:hAnsi="仿宋_GB2312" w:cs="仿宋_GB2312"/>
                <w:b/>
                <w:color w:val="000000"/>
                <w:kern w:val="0"/>
                <w:sz w:val="20"/>
                <w:szCs w:val="20"/>
                <w:lang w:bidi="ar"/>
              </w:rPr>
              <w:t>作业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仿宋_GB2312" w:cs="仿宋_GB2312"/>
                <w:color w:val="000000"/>
                <w:sz w:val="20"/>
                <w:szCs w:val="20"/>
              </w:rPr>
              <w:t>14.2.02.021</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工艺及生产设备设施类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使用危险化学品的单位，其使用条件（包括工艺）</w:t>
            </w:r>
            <w:r>
              <w:rPr>
                <w:rFonts w:hint="eastAsia" w:ascii="仿宋_GB2312" w:hAnsi="仿宋_GB2312" w:cs="仿宋_GB2312"/>
                <w:color w:val="000000"/>
                <w:kern w:val="0"/>
                <w:sz w:val="20"/>
                <w:szCs w:val="20"/>
                <w:lang w:eastAsia="zh-CN" w:bidi="ar"/>
              </w:rPr>
              <w:t>不</w:t>
            </w:r>
            <w:r>
              <w:rPr>
                <w:rFonts w:hint="eastAsia" w:ascii="仿宋_GB2312" w:hAnsi="仿宋_GB2312" w:cs="仿宋_GB2312"/>
                <w:color w:val="000000"/>
                <w:kern w:val="0"/>
                <w:sz w:val="20"/>
                <w:szCs w:val="20"/>
                <w:lang w:bidi="ar"/>
              </w:rPr>
              <w:t>符合法律、行政法规的规定和国家标准、行业标准的要求。</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使用危险化学品的单位，其使用条件（包括工艺）应当符合法律、行政法规的规定和国家标准、行业标准的要求。</w:t>
            </w:r>
          </w:p>
        </w:tc>
        <w:tc>
          <w:tcPr>
            <w:tcW w:w="1369" w:type="pct"/>
            <w:tcBorders>
              <w:tl2br w:val="nil"/>
              <w:tr2bl w:val="nil"/>
            </w:tcBorders>
            <w:vAlign w:val="center"/>
          </w:tcPr>
          <w:p>
            <w:pPr>
              <w:adjustRightInd w:val="0"/>
              <w:snapToGrid w:val="0"/>
              <w:spacing w:after="0" w:line="240" w:lineRule="auto"/>
              <w:jc w:val="left"/>
              <w:rPr>
                <w:rFonts w:hint="eastAsia" w:ascii="仿宋_GB2312" w:hAnsi="仿宋_GB2312" w:cs="仿宋_GB2312"/>
                <w:color w:val="000000"/>
                <w:sz w:val="20"/>
                <w:szCs w:val="20"/>
              </w:rPr>
            </w:pPr>
            <w:r>
              <w:rPr>
                <w:rFonts w:hint="eastAsia" w:ascii="仿宋_GB2312" w:hAnsi="仿宋_GB2312" w:cs="仿宋_GB2312"/>
                <w:color w:val="000000"/>
                <w:sz w:val="20"/>
                <w:szCs w:val="20"/>
              </w:rPr>
              <w:t>《中华人民共和国危险化学品安全法》第四十七条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仿宋_GB2312" w:cs="仿宋_GB2312"/>
                <w:color w:val="000000"/>
                <w:sz w:val="20"/>
                <w:szCs w:val="20"/>
              </w:rPr>
              <w:t>14.2.02.022</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工艺及生产设备设施类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危险化学品使用条件和工艺</w:t>
            </w:r>
            <w:r>
              <w:rPr>
                <w:rFonts w:hint="eastAsia" w:ascii="仿宋_GB2312" w:hAnsi="仿宋_GB2312" w:cs="仿宋_GB2312"/>
                <w:color w:val="000000"/>
                <w:kern w:val="0"/>
                <w:sz w:val="20"/>
                <w:szCs w:val="20"/>
                <w:lang w:eastAsia="zh-CN" w:bidi="ar"/>
              </w:rPr>
              <w:t>不</w:t>
            </w:r>
            <w:r>
              <w:rPr>
                <w:rFonts w:hint="eastAsia" w:ascii="仿宋_GB2312" w:hAnsi="仿宋_GB2312" w:cs="仿宋_GB2312"/>
                <w:color w:val="000000"/>
                <w:kern w:val="0"/>
                <w:sz w:val="20"/>
                <w:szCs w:val="20"/>
                <w:lang w:bidi="ar"/>
              </w:rPr>
              <w:t>符合有关法规标准要求，未按照操作规程控制</w:t>
            </w:r>
            <w:bookmarkStart w:id="21" w:name="OLE_LINK13"/>
            <w:r>
              <w:rPr>
                <w:rFonts w:hint="eastAsia" w:ascii="仿宋_GB2312" w:hAnsi="仿宋_GB2312" w:cs="仿宋_GB2312"/>
                <w:color w:val="000000"/>
                <w:kern w:val="0"/>
                <w:sz w:val="20"/>
                <w:szCs w:val="20"/>
                <w:lang w:bidi="ar"/>
              </w:rPr>
              <w:t>危险化学品</w:t>
            </w:r>
            <w:bookmarkEnd w:id="21"/>
            <w:r>
              <w:rPr>
                <w:rFonts w:hint="eastAsia" w:ascii="仿宋_GB2312" w:hAnsi="仿宋_GB2312" w:cs="仿宋_GB2312"/>
                <w:color w:val="000000"/>
                <w:kern w:val="0"/>
                <w:sz w:val="20"/>
                <w:szCs w:val="20"/>
                <w:lang w:bidi="ar"/>
              </w:rPr>
              <w:t>的反应温度、压力、流速等工艺参数。</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危险化学品使用条件和工艺应符合有关法规标准要求，应按照操作规程控制危险化学品的反应温度、压力、流速等工艺参数。</w:t>
            </w:r>
          </w:p>
        </w:tc>
        <w:tc>
          <w:tcPr>
            <w:tcW w:w="1369" w:type="pct"/>
            <w:tcBorders>
              <w:tl2br w:val="nil"/>
              <w:tr2bl w:val="nil"/>
            </w:tcBorders>
            <w:vAlign w:val="center"/>
          </w:tcPr>
          <w:p>
            <w:pPr>
              <w:adjustRightInd w:val="0"/>
              <w:snapToGrid w:val="0"/>
              <w:spacing w:after="0" w:line="240" w:lineRule="auto"/>
              <w:jc w:val="left"/>
              <w:rPr>
                <w:rFonts w:hint="eastAsia" w:ascii="仿宋_GB2312" w:hAnsi="仿宋_GB2312" w:cs="仿宋_GB2312"/>
                <w:color w:val="000000"/>
                <w:sz w:val="20"/>
                <w:szCs w:val="20"/>
              </w:rPr>
            </w:pPr>
            <w:bookmarkStart w:id="22" w:name="OLE_LINK21"/>
            <w:bookmarkStart w:id="23" w:name="OLE_LINK8"/>
            <w:r>
              <w:rPr>
                <w:rFonts w:hint="eastAsia" w:ascii="仿宋_GB2312" w:hAnsi="仿宋_GB2312" w:cs="仿宋_GB2312"/>
                <w:color w:val="000000"/>
                <w:sz w:val="20"/>
                <w:szCs w:val="20"/>
              </w:rPr>
              <w:t>《中华人民共和国危险化学品安全法》第四十七条；</w:t>
            </w:r>
            <w:bookmarkEnd w:id="22"/>
          </w:p>
          <w:bookmarkEnd w:id="23"/>
          <w:p>
            <w:pPr>
              <w:adjustRightInd w:val="0"/>
              <w:snapToGrid w:val="0"/>
              <w:spacing w:after="0" w:line="240" w:lineRule="auto"/>
              <w:jc w:val="left"/>
              <w:rPr>
                <w:rFonts w:hint="eastAsia" w:ascii="仿宋_GB2312" w:hAnsi="仿宋_GB2312" w:cs="仿宋_GB2312"/>
                <w:color w:val="000000"/>
                <w:sz w:val="20"/>
                <w:szCs w:val="20"/>
              </w:rPr>
            </w:pPr>
            <w:r>
              <w:rPr>
                <w:rFonts w:hint="eastAsia" w:ascii="仿宋_GB2312" w:hAnsi="仿宋_GB2312" w:cs="仿宋_GB2312"/>
                <w:color w:val="000000"/>
                <w:sz w:val="20"/>
                <w:szCs w:val="20"/>
              </w:rPr>
              <w:t>《北京市生产经营单位安全生产主体责任规定》第八条；</w:t>
            </w:r>
          </w:p>
          <w:p>
            <w:pPr>
              <w:adjustRightInd w:val="0"/>
              <w:snapToGrid w:val="0"/>
              <w:spacing w:after="0" w:line="240" w:lineRule="auto"/>
              <w:jc w:val="left"/>
              <w:rPr>
                <w:rFonts w:hint="eastAsia" w:ascii="仿宋_GB2312" w:hAnsi="仿宋_GB2312" w:cs="仿宋_GB2312"/>
                <w:color w:val="000000"/>
                <w:sz w:val="20"/>
                <w:szCs w:val="20"/>
              </w:rPr>
            </w:pPr>
            <w:r>
              <w:rPr>
                <w:rFonts w:hint="eastAsia" w:ascii="仿宋_GB2312" w:hAnsi="仿宋_GB2312" w:cs="仿宋_GB2312"/>
                <w:color w:val="000000"/>
                <w:sz w:val="20"/>
                <w:szCs w:val="20"/>
              </w:rPr>
              <w:t>《化工过程安全管理导则》（AQ/T 3034-2022）第4.9.1.3条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cs="仿宋_GB2312"/>
                <w:color w:val="000000"/>
                <w:sz w:val="20"/>
                <w:szCs w:val="20"/>
              </w:rPr>
              <w:t>14.2.12.02</w:t>
            </w:r>
            <w:r>
              <w:rPr>
                <w:rFonts w:hint="eastAsia" w:ascii="仿宋_GB2312" w:hAnsi="仿宋_GB2312" w:cs="仿宋_GB2312"/>
                <w:color w:val="000000"/>
                <w:sz w:val="20"/>
                <w:szCs w:val="20"/>
                <w:lang w:val="en-US" w:eastAsia="zh-CN"/>
              </w:rPr>
              <w:t>3</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cs="仿宋_GB2312"/>
                <w:color w:val="000000"/>
                <w:kern w:val="0"/>
                <w:sz w:val="20"/>
                <w:szCs w:val="20"/>
                <w:lang w:bidi="ar"/>
              </w:rPr>
              <w:t>危险化学品类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cs="仿宋_GB2312"/>
                <w:color w:val="000000"/>
                <w:kern w:val="0"/>
                <w:sz w:val="20"/>
                <w:szCs w:val="20"/>
                <w:lang w:bidi="ar"/>
              </w:rPr>
              <w:t>使用危险化学品的单位生产场所存放与生产无关的其他危险化学品。</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cs="仿宋_GB2312"/>
                <w:color w:val="000000"/>
                <w:kern w:val="0"/>
                <w:sz w:val="20"/>
                <w:szCs w:val="20"/>
                <w:lang w:bidi="ar"/>
              </w:rPr>
              <w:t>使用危险化学品的单位生产场所不应存放与生产无关的其他危险化学品。</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cs="仿宋_GB2312"/>
                <w:color w:val="000000"/>
                <w:kern w:val="0"/>
                <w:sz w:val="20"/>
                <w:szCs w:val="20"/>
                <w:lang w:eastAsia="zh-CN" w:bidi="ar"/>
              </w:rPr>
              <w:t>《安全生产等级评定技术规范 第2部分：安全生产通用要求》（DB11/T 1322.2-2017）</w:t>
            </w:r>
            <w:r>
              <w:rPr>
                <w:rFonts w:hint="eastAsia" w:ascii="仿宋_GB2312" w:hAnsi="仿宋_GB2312" w:cs="仿宋_GB2312"/>
                <w:color w:val="000000"/>
                <w:kern w:val="0"/>
                <w:sz w:val="20"/>
                <w:szCs w:val="20"/>
                <w:lang w:bidi="ar"/>
              </w:rPr>
              <w:t>第</w:t>
            </w:r>
            <w:r>
              <w:rPr>
                <w:rFonts w:ascii="仿宋_GB2312" w:hAnsi="仿宋_GB2312" w:cs="仿宋_GB2312"/>
                <w:color w:val="000000"/>
                <w:kern w:val="0"/>
                <w:sz w:val="20"/>
                <w:szCs w:val="20"/>
                <w:lang w:bidi="ar"/>
              </w:rPr>
              <w:t>3.8.2.3</w:t>
            </w:r>
            <w:r>
              <w:rPr>
                <w:rFonts w:hint="eastAsia" w:ascii="仿宋_GB2312" w:hAnsi="仿宋_GB2312" w:cs="仿宋_GB2312"/>
                <w:color w:val="000000"/>
                <w:kern w:val="0"/>
                <w:sz w:val="20"/>
                <w:szCs w:val="20"/>
                <w:lang w:bidi="ar"/>
              </w:rPr>
              <w:t>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eastAsia="仿宋_GB2312" w:cs="仿宋_GB2312"/>
                <w:color w:val="000000"/>
                <w:kern w:val="2"/>
                <w:sz w:val="20"/>
                <w:szCs w:val="20"/>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cs="仿宋_GB2312"/>
                <w:color w:val="000000"/>
                <w:sz w:val="20"/>
                <w:szCs w:val="20"/>
              </w:rPr>
              <w:t>14.2.14.02</w:t>
            </w:r>
            <w:r>
              <w:rPr>
                <w:rFonts w:hint="eastAsia" w:ascii="仿宋_GB2312" w:hAnsi="仿宋_GB2312" w:cs="仿宋_GB2312"/>
                <w:color w:val="000000"/>
                <w:sz w:val="20"/>
                <w:szCs w:val="20"/>
                <w:lang w:val="en-US" w:eastAsia="zh-CN"/>
              </w:rPr>
              <w:t>4</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cs="仿宋_GB2312"/>
                <w:color w:val="000000"/>
                <w:kern w:val="0"/>
                <w:sz w:val="20"/>
                <w:szCs w:val="20"/>
                <w:lang w:bidi="ar"/>
              </w:rPr>
              <w:t>其它类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cs="仿宋_GB2312"/>
                <w:color w:val="000000"/>
                <w:kern w:val="0"/>
                <w:sz w:val="20"/>
                <w:szCs w:val="20"/>
                <w:lang w:bidi="ar"/>
              </w:rPr>
              <w:t>使用毒害品、腐蚀品的作业场所</w:t>
            </w:r>
            <w:r>
              <w:rPr>
                <w:rFonts w:hint="eastAsia" w:ascii="仿宋_GB2312" w:hAnsi="仿宋_GB2312" w:cs="仿宋_GB2312"/>
                <w:color w:val="000000"/>
                <w:kern w:val="0"/>
                <w:sz w:val="20"/>
                <w:szCs w:val="20"/>
                <w:lang w:eastAsia="zh-CN" w:bidi="ar"/>
              </w:rPr>
              <w:t>未</w:t>
            </w:r>
            <w:r>
              <w:rPr>
                <w:rFonts w:hint="eastAsia" w:ascii="仿宋_GB2312" w:hAnsi="仿宋_GB2312" w:cs="仿宋_GB2312"/>
                <w:color w:val="000000"/>
                <w:kern w:val="0"/>
                <w:sz w:val="20"/>
                <w:szCs w:val="20"/>
                <w:lang w:bidi="ar"/>
              </w:rPr>
              <w:t>安装紧急喷淋装置及洗眼器，其有效半径大于15米。</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cs="仿宋_GB2312"/>
                <w:color w:val="000000"/>
                <w:kern w:val="0"/>
                <w:sz w:val="20"/>
                <w:szCs w:val="20"/>
                <w:lang w:bidi="ar"/>
              </w:rPr>
              <w:t>使用毒害品、腐蚀品的作业场所应安装紧急喷淋装置及洗眼器，其有效半径不大于15米。</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cs="仿宋_GB2312"/>
                <w:color w:val="000000"/>
                <w:kern w:val="0"/>
                <w:sz w:val="20"/>
                <w:szCs w:val="20"/>
                <w:lang w:eastAsia="zh-CN" w:bidi="ar"/>
              </w:rPr>
              <w:t>《安全生产等级评定技术规范 第2部分：安全生产通用要求》（DB11/T 1322.2-2017）</w:t>
            </w:r>
            <w:r>
              <w:rPr>
                <w:rFonts w:hint="eastAsia" w:ascii="仿宋_GB2312" w:hAnsi="仿宋_GB2312" w:cs="仿宋_GB2312"/>
                <w:color w:val="000000"/>
                <w:kern w:val="0"/>
                <w:sz w:val="20"/>
                <w:szCs w:val="20"/>
                <w:lang w:bidi="ar"/>
              </w:rPr>
              <w:t>第</w:t>
            </w:r>
            <w:r>
              <w:rPr>
                <w:rFonts w:ascii="仿宋_GB2312" w:hAnsi="仿宋_GB2312" w:cs="仿宋_GB2312"/>
                <w:color w:val="000000"/>
                <w:kern w:val="0"/>
                <w:sz w:val="20"/>
                <w:szCs w:val="20"/>
                <w:lang w:bidi="ar"/>
              </w:rPr>
              <w:t>3.8.1.22</w:t>
            </w:r>
            <w:r>
              <w:rPr>
                <w:rFonts w:hint="eastAsia" w:ascii="仿宋_GB2312" w:hAnsi="仿宋_GB2312" w:cs="仿宋_GB2312"/>
                <w:color w:val="000000"/>
                <w:kern w:val="0"/>
                <w:sz w:val="20"/>
                <w:szCs w:val="20"/>
                <w:lang w:bidi="ar"/>
              </w:rPr>
              <w:t>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eastAsia="仿宋_GB2312" w:cs="仿宋_GB2312"/>
                <w:color w:val="000000"/>
                <w:kern w:val="2"/>
                <w:sz w:val="20"/>
                <w:szCs w:val="20"/>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5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eastAsia="zh-CN"/>
              </w:rPr>
            </w:pPr>
            <w:r>
              <w:rPr>
                <w:rFonts w:hint="eastAsia" w:ascii="仿宋_GB2312" w:hAnsi="仿宋_GB2312" w:cs="仿宋_GB2312"/>
                <w:color w:val="000000"/>
                <w:sz w:val="20"/>
                <w:szCs w:val="20"/>
              </w:rPr>
              <w:t>14.3.02.02</w:t>
            </w:r>
            <w:r>
              <w:rPr>
                <w:rFonts w:hint="eastAsia" w:ascii="仿宋_GB2312" w:hAnsi="仿宋_GB2312" w:cs="仿宋_GB2312"/>
                <w:color w:val="000000"/>
                <w:sz w:val="20"/>
                <w:szCs w:val="20"/>
                <w:lang w:val="en-US" w:eastAsia="zh-CN"/>
              </w:rPr>
              <w:t>5</w:t>
            </w:r>
          </w:p>
        </w:tc>
        <w:tc>
          <w:tcPr>
            <w:tcW w:w="355" w:type="pct"/>
            <w:tcBorders>
              <w:tl2br w:val="nil"/>
              <w:tr2bl w:val="nil"/>
            </w:tcBorders>
            <w:noWrap/>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人员类</w:t>
            </w:r>
          </w:p>
        </w:tc>
        <w:tc>
          <w:tcPr>
            <w:tcW w:w="389" w:type="pct"/>
            <w:tcBorders>
              <w:tl2br w:val="nil"/>
              <w:tr2bl w:val="nil"/>
            </w:tcBorders>
            <w:noWrap/>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操作行为类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领用时未填写危险化学品领用记录，按品种、规格记录购入、发放、退回的日期、单位及经手人、数量以及结存数量和存放地点。领用剧毒化学品、爆炸性化学品和易制爆危险化学品时未详细记载用途。</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领用时应填写危险化学品领用记录，按品种、规格记录购入、发放、退回的日期、单位及经手人、数量以及结存数量和存放地点。领用剧毒化学品、爆炸性化学品和易制爆危险化学品时还应详细记载用途。</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bookmarkStart w:id="24" w:name="OLE_LINK9"/>
            <w:r>
              <w:rPr>
                <w:rFonts w:hint="eastAsia" w:ascii="仿宋_GB2312" w:hAnsi="仿宋_GB2312" w:cs="仿宋_GB2312"/>
                <w:color w:val="000000"/>
                <w:kern w:val="0"/>
                <w:sz w:val="20"/>
                <w:szCs w:val="20"/>
                <w:lang w:eastAsia="zh-CN" w:bidi="ar"/>
              </w:rPr>
              <w:t>《安全生产等级评定技术规范 第2部分：安全生产通用要求》（DB11/T 1322.2-2017）</w:t>
            </w:r>
            <w:r>
              <w:rPr>
                <w:rFonts w:hint="eastAsia" w:ascii="仿宋_GB2312" w:hAnsi="仿宋_GB2312" w:cs="仿宋_GB2312"/>
                <w:color w:val="000000"/>
                <w:kern w:val="0"/>
                <w:sz w:val="20"/>
                <w:szCs w:val="20"/>
                <w:lang w:bidi="ar"/>
              </w:rPr>
              <w:t>第</w:t>
            </w:r>
            <w:r>
              <w:rPr>
                <w:rFonts w:ascii="仿宋_GB2312" w:hAnsi="仿宋_GB2312" w:cs="仿宋_GB2312"/>
                <w:color w:val="000000"/>
                <w:kern w:val="0"/>
                <w:sz w:val="20"/>
                <w:szCs w:val="20"/>
                <w:lang w:bidi="ar"/>
              </w:rPr>
              <w:t>3.8.1.17</w:t>
            </w:r>
            <w:r>
              <w:rPr>
                <w:rFonts w:hint="eastAsia" w:ascii="仿宋_GB2312" w:hAnsi="仿宋_GB2312" w:cs="仿宋_GB2312"/>
                <w:color w:val="000000"/>
                <w:kern w:val="0"/>
                <w:sz w:val="20"/>
                <w:szCs w:val="20"/>
                <w:lang w:bidi="ar"/>
              </w:rPr>
              <w:t>条</w:t>
            </w:r>
            <w:bookmarkEnd w:id="24"/>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4"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eastAsia="zh-CN"/>
              </w:rPr>
            </w:pPr>
            <w:r>
              <w:rPr>
                <w:rFonts w:hint="eastAsia" w:ascii="仿宋_GB2312" w:hAnsi="仿宋_GB2312" w:cs="仿宋_GB2312"/>
                <w:color w:val="000000"/>
                <w:sz w:val="20"/>
                <w:szCs w:val="20"/>
              </w:rPr>
              <w:t>14.3.02.02</w:t>
            </w:r>
            <w:r>
              <w:rPr>
                <w:rFonts w:hint="eastAsia" w:ascii="仿宋_GB2312" w:hAnsi="仿宋_GB2312" w:cs="仿宋_GB2312"/>
                <w:color w:val="000000"/>
                <w:sz w:val="20"/>
                <w:szCs w:val="20"/>
                <w:lang w:val="en-US" w:eastAsia="zh-CN"/>
              </w:rPr>
              <w:t>6</w:t>
            </w:r>
          </w:p>
        </w:tc>
        <w:tc>
          <w:tcPr>
            <w:tcW w:w="355" w:type="pct"/>
            <w:tcBorders>
              <w:tl2br w:val="nil"/>
              <w:tr2bl w:val="nil"/>
            </w:tcBorders>
            <w:noWrap/>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人员类</w:t>
            </w:r>
          </w:p>
        </w:tc>
        <w:tc>
          <w:tcPr>
            <w:tcW w:w="389" w:type="pct"/>
            <w:tcBorders>
              <w:tl2br w:val="nil"/>
              <w:tr2bl w:val="nil"/>
            </w:tcBorders>
            <w:noWrap/>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操作行为类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剧毒化学品、爆炸品的领取，未由双人以当日使用或实验的用量领取，如有剩余未在当日由双人退回。</w:t>
            </w:r>
            <w:r>
              <w:rPr>
                <w:rFonts w:hint="eastAsia" w:ascii="仿宋_GB2312" w:hAnsi="仿宋_GB2312" w:cs="仿宋_GB2312"/>
                <w:color w:val="000000"/>
                <w:kern w:val="0"/>
                <w:sz w:val="20"/>
                <w:szCs w:val="20"/>
                <w:lang w:eastAsia="zh-CN" w:bidi="ar"/>
              </w:rPr>
              <w:t>未</w:t>
            </w:r>
            <w:r>
              <w:rPr>
                <w:rFonts w:hint="eastAsia" w:ascii="仿宋_GB2312" w:hAnsi="仿宋_GB2312" w:cs="仿宋_GB2312"/>
                <w:color w:val="000000"/>
                <w:kern w:val="0"/>
                <w:sz w:val="20"/>
                <w:szCs w:val="20"/>
                <w:lang w:bidi="ar"/>
              </w:rPr>
              <w:t>实行“双人验收、双人保管、双人发放、双本账、双把锁”的五双管理。</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剧毒化学品、爆炸品的领取，应由双人以当日使用或实验的用量领取，如有剩余应在当日由双人退回。实行“双人验收、双人保管、双人发放、双本账、双把锁”管理。</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kern w:val="0"/>
                <w:sz w:val="20"/>
                <w:szCs w:val="20"/>
                <w:lang w:bidi="ar"/>
              </w:rPr>
            </w:pPr>
            <w:bookmarkStart w:id="25" w:name="OLE_LINK10"/>
            <w:r>
              <w:rPr>
                <w:rFonts w:hint="eastAsia" w:ascii="仿宋_GB2312" w:hAnsi="仿宋_GB2312" w:cs="仿宋_GB2312"/>
                <w:color w:val="000000"/>
                <w:kern w:val="0"/>
                <w:sz w:val="20"/>
                <w:szCs w:val="20"/>
                <w:lang w:eastAsia="zh-CN" w:bidi="ar"/>
              </w:rPr>
              <w:t>《安全生产等级评定技术规范 第2部分：安全生产通用要求》（DB11/T 1322.2-2017）</w:t>
            </w:r>
            <w:r>
              <w:rPr>
                <w:rFonts w:hint="eastAsia" w:ascii="仿宋_GB2312" w:hAnsi="仿宋_GB2312" w:cs="仿宋_GB2312"/>
                <w:color w:val="000000"/>
                <w:kern w:val="0"/>
                <w:sz w:val="20"/>
                <w:szCs w:val="20"/>
                <w:lang w:bidi="ar"/>
              </w:rPr>
              <w:t>第</w:t>
            </w:r>
            <w:r>
              <w:rPr>
                <w:rFonts w:ascii="仿宋_GB2312" w:hAnsi="仿宋_GB2312" w:cs="仿宋_GB2312"/>
                <w:color w:val="000000"/>
                <w:kern w:val="0"/>
                <w:sz w:val="20"/>
                <w:szCs w:val="20"/>
                <w:lang w:bidi="ar"/>
              </w:rPr>
              <w:t>3.8.1.1</w:t>
            </w:r>
            <w:r>
              <w:rPr>
                <w:rFonts w:hint="eastAsia" w:ascii="仿宋_GB2312" w:hAnsi="仿宋_GB2312" w:cs="仿宋_GB2312"/>
                <w:color w:val="000000"/>
                <w:kern w:val="0"/>
                <w:sz w:val="20"/>
                <w:szCs w:val="20"/>
                <w:lang w:bidi="ar"/>
              </w:rPr>
              <w:t>9条</w:t>
            </w:r>
            <w:bookmarkEnd w:id="25"/>
          </w:p>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《危险化学品储存场所建设及储存安全要求》</w:t>
            </w:r>
            <w:r>
              <w:rPr>
                <w:rFonts w:hint="eastAsia" w:ascii="仿宋_GB2312" w:hAnsi="仿宋_GB2312" w:cs="仿宋_GB2312"/>
                <w:color w:val="000000"/>
                <w:kern w:val="0"/>
                <w:sz w:val="20"/>
                <w:szCs w:val="20"/>
                <w:lang w:eastAsia="zh-CN" w:bidi="ar"/>
              </w:rPr>
              <w:t>（DB11/T 755）</w:t>
            </w:r>
            <w:r>
              <w:rPr>
                <w:rFonts w:hint="eastAsia" w:ascii="仿宋_GB2312" w:hAnsi="仿宋_GB2312" w:cs="仿宋_GB2312"/>
                <w:color w:val="000000"/>
                <w:kern w:val="0"/>
                <w:sz w:val="20"/>
                <w:szCs w:val="20"/>
                <w:lang w:bidi="ar"/>
              </w:rPr>
              <w:t>第5.1.1.10条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eastAsia="zh-CN"/>
              </w:rPr>
            </w:pPr>
            <w:r>
              <w:rPr>
                <w:rFonts w:hint="eastAsia" w:ascii="仿宋_GB2312" w:hAnsi="仿宋_GB2312" w:cs="仿宋_GB2312"/>
                <w:color w:val="000000"/>
                <w:sz w:val="20"/>
                <w:szCs w:val="20"/>
              </w:rPr>
              <w:t>14.3.02.02</w:t>
            </w:r>
            <w:r>
              <w:rPr>
                <w:rFonts w:hint="eastAsia" w:ascii="仿宋_GB2312" w:hAnsi="仿宋_GB2312" w:cs="仿宋_GB2312"/>
                <w:color w:val="000000"/>
                <w:sz w:val="20"/>
                <w:szCs w:val="20"/>
                <w:lang w:val="en-US" w:eastAsia="zh-CN"/>
              </w:rPr>
              <w:t>7</w:t>
            </w:r>
          </w:p>
        </w:tc>
        <w:tc>
          <w:tcPr>
            <w:tcW w:w="355" w:type="pct"/>
            <w:tcBorders>
              <w:tl2br w:val="nil"/>
              <w:tr2bl w:val="nil"/>
            </w:tcBorders>
            <w:noWrap/>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人员类</w:t>
            </w:r>
          </w:p>
        </w:tc>
        <w:tc>
          <w:tcPr>
            <w:tcW w:w="389" w:type="pct"/>
            <w:tcBorders>
              <w:tl2br w:val="nil"/>
              <w:tr2bl w:val="nil"/>
            </w:tcBorders>
            <w:noWrap/>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操作行为类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危险化学品使用人员不熟悉化学品安全技术说明书（SDS），掌握化学品的危险特性，使用时未做好个体防护。</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危化品使用人员应熟悉化学品安全技术说明书（SDS），掌握化学品的危险特性，使用时做好个体防护。</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eastAsia="zh-CN" w:bidi="ar"/>
              </w:rPr>
              <w:t>《安全生产等级评定技术规范 第2部分：安全生产通用要求》（DB11/T 1322.2-2017）</w:t>
            </w:r>
            <w:r>
              <w:rPr>
                <w:rFonts w:hint="eastAsia" w:ascii="仿宋_GB2312" w:hAnsi="仿宋_GB2312" w:cs="仿宋_GB2312"/>
                <w:color w:val="000000"/>
                <w:kern w:val="0"/>
                <w:sz w:val="20"/>
                <w:szCs w:val="20"/>
                <w:lang w:bidi="ar"/>
              </w:rPr>
              <w:t>第</w:t>
            </w:r>
            <w:r>
              <w:rPr>
                <w:rFonts w:ascii="仿宋_GB2312" w:hAnsi="仿宋_GB2312" w:cs="仿宋_GB2312"/>
                <w:color w:val="000000"/>
                <w:kern w:val="0"/>
                <w:sz w:val="20"/>
                <w:szCs w:val="20"/>
                <w:lang w:bidi="ar"/>
              </w:rPr>
              <w:t>3.8.1.1</w:t>
            </w:r>
            <w:r>
              <w:rPr>
                <w:rFonts w:hint="eastAsia" w:ascii="仿宋_GB2312" w:hAnsi="仿宋_GB2312" w:cs="仿宋_GB2312"/>
                <w:color w:val="000000"/>
                <w:kern w:val="0"/>
                <w:sz w:val="20"/>
                <w:szCs w:val="20"/>
                <w:lang w:bidi="ar"/>
              </w:rPr>
              <w:t>5条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eastAsia="zh-CN"/>
              </w:rPr>
            </w:pPr>
            <w:r>
              <w:rPr>
                <w:rFonts w:hint="eastAsia" w:ascii="仿宋_GB2312" w:hAnsi="仿宋_GB2312" w:cs="仿宋_GB2312"/>
                <w:color w:val="000000"/>
                <w:sz w:val="20"/>
                <w:szCs w:val="20"/>
              </w:rPr>
              <w:t>14.3.02.02</w:t>
            </w:r>
            <w:r>
              <w:rPr>
                <w:rFonts w:hint="eastAsia" w:ascii="仿宋_GB2312" w:hAnsi="仿宋_GB2312" w:cs="仿宋_GB2312"/>
                <w:color w:val="000000"/>
                <w:sz w:val="20"/>
                <w:szCs w:val="20"/>
                <w:lang w:val="en-US" w:eastAsia="zh-CN"/>
              </w:rPr>
              <w:t>8</w:t>
            </w:r>
          </w:p>
        </w:tc>
        <w:tc>
          <w:tcPr>
            <w:tcW w:w="355" w:type="pct"/>
            <w:tcBorders>
              <w:tl2br w:val="nil"/>
              <w:tr2bl w:val="nil"/>
            </w:tcBorders>
            <w:noWrap/>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人员类</w:t>
            </w:r>
          </w:p>
        </w:tc>
        <w:tc>
          <w:tcPr>
            <w:tcW w:w="389" w:type="pct"/>
            <w:tcBorders>
              <w:tl2br w:val="nil"/>
              <w:tr2bl w:val="nil"/>
            </w:tcBorders>
            <w:noWrap/>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操作行为类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使用危险化学品的单位随意更换危险化学品的储存包装，包括内包装和外包装。转移或分装后的包装物应及时粘贴标签。</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使用危险化学品的单位不应随意更换危险化学品的储存包装，包括内包装和外包装。转移或分装后的包装物应及时粘贴标签。</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kern w:val="0"/>
                <w:sz w:val="20"/>
                <w:szCs w:val="20"/>
                <w:lang w:bidi="ar"/>
              </w:rPr>
            </w:pPr>
            <w:bookmarkStart w:id="26" w:name="OLE_LINK27"/>
            <w:r>
              <w:rPr>
                <w:rFonts w:hint="eastAsia" w:ascii="仿宋_GB2312" w:hAnsi="仿宋_GB2312" w:cs="仿宋_GB2312"/>
                <w:color w:val="000000"/>
                <w:sz w:val="20"/>
                <w:szCs w:val="20"/>
              </w:rPr>
              <w:t>《中华人民共和国危险化学品安全法》第三十二条、三十三条；</w:t>
            </w:r>
          </w:p>
          <w:bookmarkEnd w:id="26"/>
          <w:p>
            <w:pPr>
              <w:widowControl/>
              <w:adjustRightInd w:val="0"/>
              <w:snapToGrid w:val="0"/>
              <w:spacing w:after="0" w:line="240" w:lineRule="auto"/>
              <w:jc w:val="left"/>
              <w:textAlignment w:val="center"/>
              <w:rPr>
                <w:rFonts w:hint="eastAsia" w:ascii="仿宋_GB2312" w:hAnsi="仿宋_GB2312" w:cs="仿宋_GB2312"/>
                <w:color w:val="000000"/>
                <w:sz w:val="20"/>
                <w:szCs w:val="20"/>
              </w:rPr>
            </w:pPr>
            <w:bookmarkStart w:id="27" w:name="OLE_LINK11"/>
            <w:r>
              <w:rPr>
                <w:rFonts w:hint="eastAsia" w:ascii="仿宋_GB2312" w:hAnsi="仿宋_GB2312" w:cs="仿宋_GB2312"/>
                <w:color w:val="000000"/>
                <w:kern w:val="0"/>
                <w:sz w:val="20"/>
                <w:szCs w:val="20"/>
                <w:lang w:eastAsia="zh-CN" w:bidi="ar"/>
              </w:rPr>
              <w:t>《安全生产等级评定技术规范 第2部分：安全生产通用要求》（DB11/T 1322.2-2017）</w:t>
            </w:r>
            <w:r>
              <w:rPr>
                <w:rFonts w:hint="eastAsia" w:ascii="仿宋_GB2312" w:hAnsi="仿宋_GB2312" w:cs="仿宋_GB2312"/>
                <w:color w:val="000000"/>
                <w:kern w:val="0"/>
                <w:sz w:val="20"/>
                <w:szCs w:val="20"/>
                <w:lang w:bidi="ar"/>
              </w:rPr>
              <w:t>第3.8.1.16条</w:t>
            </w:r>
            <w:bookmarkEnd w:id="27"/>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eastAsia="zh-CN"/>
              </w:rPr>
            </w:pPr>
            <w:r>
              <w:rPr>
                <w:rFonts w:hint="eastAsia" w:ascii="仿宋_GB2312" w:hAnsi="仿宋_GB2312" w:cs="仿宋_GB2312"/>
                <w:color w:val="000000"/>
                <w:sz w:val="20"/>
                <w:szCs w:val="20"/>
              </w:rPr>
              <w:t>14.3.02.02</w:t>
            </w:r>
            <w:r>
              <w:rPr>
                <w:rFonts w:hint="eastAsia" w:ascii="仿宋_GB2312" w:hAnsi="仿宋_GB2312" w:cs="仿宋_GB2312"/>
                <w:color w:val="000000"/>
                <w:sz w:val="20"/>
                <w:szCs w:val="20"/>
                <w:lang w:val="en-US" w:eastAsia="zh-CN"/>
              </w:rPr>
              <w:t>9</w:t>
            </w:r>
          </w:p>
        </w:tc>
        <w:tc>
          <w:tcPr>
            <w:tcW w:w="355" w:type="pct"/>
            <w:tcBorders>
              <w:tl2br w:val="nil"/>
              <w:tr2bl w:val="nil"/>
            </w:tcBorders>
            <w:noWrap/>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人员类</w:t>
            </w:r>
          </w:p>
        </w:tc>
        <w:tc>
          <w:tcPr>
            <w:tcW w:w="389" w:type="pct"/>
            <w:tcBorders>
              <w:tl2br w:val="nil"/>
              <w:tr2bl w:val="nil"/>
            </w:tcBorders>
            <w:noWrap/>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操作行为类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使用通常用于贮存饮料及生活用品的容器盛放危险化学品。</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不应使用通常用于贮存饮料及生活用品的容器盛放危险化学品。</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eastAsia="zh-CN" w:bidi="ar"/>
              </w:rPr>
              <w:t>《安全生产等级评定技术规范 第2部分：安全生产通用要求》（DB11/T 1322.2-2017）</w:t>
            </w:r>
            <w:r>
              <w:rPr>
                <w:rFonts w:hint="eastAsia" w:ascii="仿宋_GB2312" w:hAnsi="仿宋_GB2312" w:cs="仿宋_GB2312"/>
                <w:color w:val="000000"/>
                <w:kern w:val="0"/>
                <w:sz w:val="20"/>
                <w:szCs w:val="20"/>
                <w:lang w:bidi="ar"/>
              </w:rPr>
              <w:t>第3.8.1.16条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仿宋_GB2312" w:cs="仿宋_GB2312"/>
                <w:color w:val="000000"/>
                <w:sz w:val="20"/>
                <w:szCs w:val="20"/>
              </w:rPr>
              <w:t>14.3.02.030</w:t>
            </w:r>
          </w:p>
        </w:tc>
        <w:tc>
          <w:tcPr>
            <w:tcW w:w="355" w:type="pct"/>
            <w:tcBorders>
              <w:tl2br w:val="nil"/>
              <w:tr2bl w:val="nil"/>
            </w:tcBorders>
            <w:noWrap/>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人员类</w:t>
            </w:r>
          </w:p>
        </w:tc>
        <w:tc>
          <w:tcPr>
            <w:tcW w:w="389" w:type="pct"/>
            <w:tcBorders>
              <w:tl2br w:val="nil"/>
              <w:tr2bl w:val="nil"/>
            </w:tcBorders>
            <w:noWrap/>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操作行为类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一个班组工作结束后，单位</w:t>
            </w:r>
            <w:r>
              <w:rPr>
                <w:rFonts w:hint="eastAsia" w:ascii="仿宋_GB2312" w:hAnsi="仿宋_GB2312" w:cs="仿宋_GB2312"/>
                <w:color w:val="000000"/>
                <w:kern w:val="0"/>
                <w:sz w:val="20"/>
                <w:szCs w:val="20"/>
                <w:lang w:eastAsia="zh-CN" w:bidi="ar"/>
              </w:rPr>
              <w:t>未</w:t>
            </w:r>
            <w:r>
              <w:rPr>
                <w:rFonts w:hint="eastAsia" w:ascii="仿宋_GB2312" w:hAnsi="仿宋_GB2312" w:cs="仿宋_GB2312"/>
                <w:color w:val="000000"/>
                <w:kern w:val="0"/>
                <w:sz w:val="20"/>
                <w:szCs w:val="20"/>
                <w:lang w:bidi="ar"/>
              </w:rPr>
              <w:t>对作业现场危险化学品进行清理。</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一个班组工作结束后，单位应对作业现场危险化学品进行清理。</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eastAsia="zh-CN" w:bidi="ar"/>
              </w:rPr>
              <w:t>《安全生产等级评定技术规范 第2部分：安全生产通用要求》（DB11/T 1322.2-2017）</w:t>
            </w:r>
            <w:r>
              <w:rPr>
                <w:rFonts w:hint="eastAsia" w:ascii="仿宋_GB2312" w:hAnsi="仿宋_GB2312" w:cs="仿宋_GB2312"/>
                <w:color w:val="000000"/>
                <w:kern w:val="0"/>
                <w:sz w:val="20"/>
                <w:szCs w:val="20"/>
                <w:lang w:bidi="ar"/>
              </w:rPr>
              <w:t>第</w:t>
            </w:r>
            <w:r>
              <w:rPr>
                <w:rFonts w:ascii="仿宋_GB2312" w:hAnsi="仿宋_GB2312" w:cs="仿宋_GB2312"/>
                <w:color w:val="000000"/>
                <w:kern w:val="0"/>
                <w:sz w:val="20"/>
                <w:szCs w:val="20"/>
                <w:lang w:bidi="ar"/>
              </w:rPr>
              <w:t>3.8.</w:t>
            </w:r>
            <w:r>
              <w:rPr>
                <w:rFonts w:hint="eastAsia" w:ascii="仿宋_GB2312" w:hAnsi="仿宋_GB2312" w:cs="仿宋_GB2312"/>
                <w:color w:val="000000"/>
                <w:kern w:val="0"/>
                <w:sz w:val="20"/>
                <w:szCs w:val="20"/>
                <w:lang w:bidi="ar"/>
              </w:rPr>
              <w:t>2</w:t>
            </w:r>
            <w:r>
              <w:rPr>
                <w:rFonts w:ascii="仿宋_GB2312" w:hAnsi="仿宋_GB2312" w:cs="仿宋_GB2312"/>
                <w:color w:val="000000"/>
                <w:kern w:val="0"/>
                <w:sz w:val="20"/>
                <w:szCs w:val="20"/>
                <w:lang w:bidi="ar"/>
              </w:rPr>
              <w:t>.2</w:t>
            </w:r>
            <w:r>
              <w:rPr>
                <w:rFonts w:hint="eastAsia" w:ascii="仿宋_GB2312" w:hAnsi="仿宋_GB2312" w:cs="仿宋_GB2312"/>
                <w:color w:val="000000"/>
                <w:kern w:val="0"/>
                <w:sz w:val="20"/>
                <w:szCs w:val="20"/>
                <w:lang w:bidi="ar"/>
              </w:rPr>
              <w:t>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仿宋_GB2312" w:cs="仿宋_GB2312"/>
                <w:color w:val="000000"/>
                <w:sz w:val="20"/>
                <w:szCs w:val="20"/>
              </w:rPr>
              <w:t>14.4.03.031</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场所环境类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标志及标识类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采用管道输送危险化学品的单位，</w:t>
            </w:r>
            <w:r>
              <w:rPr>
                <w:rFonts w:hint="eastAsia" w:ascii="仿宋_GB2312" w:hAnsi="仿宋_GB2312" w:cs="仿宋_GB2312"/>
                <w:color w:val="000000"/>
                <w:kern w:val="0"/>
                <w:sz w:val="20"/>
                <w:szCs w:val="20"/>
                <w:lang w:eastAsia="zh-CN" w:bidi="ar"/>
              </w:rPr>
              <w:t>未</w:t>
            </w:r>
            <w:r>
              <w:rPr>
                <w:rFonts w:hint="eastAsia" w:ascii="仿宋_GB2312" w:hAnsi="仿宋_GB2312" w:cs="仿宋_GB2312"/>
                <w:color w:val="000000"/>
                <w:kern w:val="0"/>
                <w:sz w:val="20"/>
                <w:szCs w:val="20"/>
                <w:lang w:bidi="ar"/>
              </w:rPr>
              <w:t>对其铺设的危险化学品管道设置明显标志，</w:t>
            </w:r>
            <w:r>
              <w:rPr>
                <w:rFonts w:hint="eastAsia" w:ascii="仿宋_GB2312" w:hAnsi="仿宋_GB2312" w:cs="仿宋_GB2312"/>
                <w:color w:val="000000"/>
                <w:kern w:val="0"/>
                <w:sz w:val="20"/>
                <w:szCs w:val="20"/>
                <w:lang w:eastAsia="zh-CN" w:bidi="ar"/>
              </w:rPr>
              <w:t>未</w:t>
            </w:r>
            <w:r>
              <w:rPr>
                <w:rFonts w:hint="eastAsia" w:ascii="仿宋_GB2312" w:hAnsi="仿宋_GB2312" w:cs="仿宋_GB2312"/>
                <w:color w:val="000000"/>
                <w:kern w:val="0"/>
                <w:sz w:val="20"/>
                <w:szCs w:val="20"/>
                <w:lang w:bidi="ar"/>
              </w:rPr>
              <w:t>对危险化学品管道定期检查、检测。</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采用管道输送危险化学品的单位，应对其铺设的危险化学品管道设置明显标志，并对危险化学品管道定期检查、检测。</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kern w:val="0"/>
                <w:sz w:val="20"/>
                <w:szCs w:val="20"/>
                <w:lang w:bidi="ar"/>
              </w:rPr>
            </w:pPr>
            <w:r>
              <w:rPr>
                <w:rFonts w:hint="eastAsia" w:ascii="仿宋_GB2312" w:hAnsi="仿宋_GB2312" w:cs="仿宋_GB2312"/>
                <w:color w:val="000000"/>
                <w:sz w:val="20"/>
                <w:szCs w:val="20"/>
              </w:rPr>
              <w:t>《中华人民共和国危险化学品安全法》第二十八条；</w:t>
            </w:r>
          </w:p>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eastAsia="zh-CN" w:bidi="ar"/>
              </w:rPr>
              <w:t>《安全生产等级评定技术规范 第2部分：安全生产通用要求》（DB11/T 1322.2-2017）</w:t>
            </w:r>
            <w:r>
              <w:rPr>
                <w:rFonts w:hint="eastAsia" w:ascii="仿宋_GB2312" w:hAnsi="仿宋_GB2312" w:cs="仿宋_GB2312"/>
                <w:color w:val="000000"/>
                <w:kern w:val="0"/>
                <w:sz w:val="20"/>
                <w:szCs w:val="20"/>
                <w:lang w:bidi="ar"/>
              </w:rPr>
              <w:t>第</w:t>
            </w:r>
            <w:r>
              <w:rPr>
                <w:rFonts w:ascii="仿宋_GB2312" w:hAnsi="仿宋_GB2312" w:cs="仿宋_GB2312"/>
                <w:color w:val="000000"/>
                <w:kern w:val="0"/>
                <w:sz w:val="20"/>
                <w:szCs w:val="20"/>
                <w:lang w:bidi="ar"/>
              </w:rPr>
              <w:t>3.8.2.</w:t>
            </w:r>
            <w:r>
              <w:rPr>
                <w:rFonts w:hint="eastAsia" w:ascii="仿宋_GB2312" w:hAnsi="仿宋_GB2312" w:cs="仿宋_GB2312"/>
                <w:color w:val="000000"/>
                <w:kern w:val="0"/>
                <w:sz w:val="20"/>
                <w:szCs w:val="20"/>
                <w:lang w:bidi="ar"/>
              </w:rPr>
              <w:t>5条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仿宋_GB2312" w:cs="仿宋_GB2312"/>
                <w:color w:val="000000"/>
                <w:sz w:val="20"/>
                <w:szCs w:val="20"/>
              </w:rPr>
              <w:t>14.2.12.032</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eastAsia="zh-CN" w:bidi="ar"/>
              </w:rPr>
              <w:t>未</w:t>
            </w:r>
            <w:r>
              <w:rPr>
                <w:rFonts w:hint="eastAsia" w:ascii="仿宋_GB2312" w:hAnsi="仿宋_GB2312" w:cs="仿宋_GB2312"/>
                <w:color w:val="000000"/>
                <w:kern w:val="0"/>
                <w:sz w:val="20"/>
                <w:szCs w:val="20"/>
                <w:lang w:bidi="ar"/>
              </w:rPr>
              <w:t>对过期危险化学品、无使用价值的自配化学品以及缺少安全标签、不清楚主要成分的危险化学品进行全面清理。</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应对过期危险化学品、无使用价值的自配化学品以及缺少安全标签、不清楚主要成分的危险化学品进行全面清理。</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eastAsia="zh-CN" w:bidi="ar"/>
              </w:rPr>
              <w:t>《安全生产等级评定技术规范 第2部分：安全生产通用要求》（DB11/T 1322.2-2017）</w:t>
            </w:r>
            <w:r>
              <w:rPr>
                <w:rFonts w:hint="eastAsia" w:ascii="仿宋_GB2312" w:hAnsi="仿宋_GB2312" w:cs="仿宋_GB2312"/>
                <w:color w:val="000000"/>
                <w:kern w:val="0"/>
                <w:sz w:val="20"/>
                <w:szCs w:val="20"/>
                <w:lang w:bidi="ar"/>
              </w:rPr>
              <w:t>第3.8.1.23条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000" w:type="pct"/>
            <w:gridSpan w:val="7"/>
            <w:tcBorders>
              <w:tl2br w:val="nil"/>
              <w:tr2bl w:val="nil"/>
            </w:tcBorders>
            <w:shd w:val="clear" w:color="auto" w:fill="B4C6E7"/>
            <w:vAlign w:val="center"/>
          </w:tcPr>
          <w:p>
            <w:pPr>
              <w:widowControl/>
              <w:adjustRightInd w:val="0"/>
              <w:snapToGrid w:val="0"/>
              <w:spacing w:after="0" w:line="240" w:lineRule="auto"/>
              <w:jc w:val="center"/>
              <w:textAlignment w:val="center"/>
              <w:rPr>
                <w:rFonts w:hint="eastAsia" w:ascii="仿宋_GB2312" w:hAnsi="仿宋_GB2312" w:cs="仿宋_GB2312"/>
                <w:b/>
                <w:color w:val="000000"/>
                <w:sz w:val="20"/>
                <w:szCs w:val="20"/>
              </w:rPr>
            </w:pPr>
            <w:r>
              <w:rPr>
                <w:rFonts w:hint="eastAsia" w:ascii="仿宋_GB2312" w:hAnsi="仿宋_GB2312" w:cs="仿宋_GB2312"/>
                <w:b/>
                <w:color w:val="000000"/>
                <w:kern w:val="0"/>
                <w:sz w:val="20"/>
                <w:szCs w:val="20"/>
                <w:lang w:bidi="ar"/>
              </w:rPr>
              <w:t>设备工艺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仿宋_GB2312" w:cs="仿宋_GB2312"/>
                <w:color w:val="000000"/>
                <w:sz w:val="20"/>
                <w:szCs w:val="20"/>
              </w:rPr>
              <w:t>14.2.02.033</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工艺及生产设备设施类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使用国家明令淘汰、禁止使用的危及生产安全的设备。</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不得使用国家明令淘汰、禁止使用的危及生产安全的设备。</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eastAsia="仿宋_GB2312" w:cs="仿宋_GB2312"/>
                <w:color w:val="000000"/>
                <w:kern w:val="0"/>
                <w:sz w:val="20"/>
                <w:szCs w:val="20"/>
                <w:lang w:eastAsia="zh-CN" w:bidi="ar"/>
              </w:rPr>
            </w:pPr>
            <w:r>
              <w:rPr>
                <w:rFonts w:hint="eastAsia" w:ascii="仿宋_GB2312" w:hAnsi="仿宋_GB2312" w:cs="仿宋_GB2312"/>
                <w:color w:val="000000"/>
                <w:kern w:val="0"/>
                <w:sz w:val="20"/>
                <w:szCs w:val="20"/>
                <w:lang w:bidi="ar"/>
              </w:rPr>
              <w:t>《中华人民共和国安全生产法》第三十八条</w:t>
            </w:r>
            <w:r>
              <w:rPr>
                <w:rFonts w:hint="eastAsia" w:ascii="仿宋_GB2312" w:hAnsi="仿宋_GB2312" w:cs="仿宋_GB2312"/>
                <w:color w:val="000000"/>
                <w:kern w:val="0"/>
                <w:sz w:val="20"/>
                <w:szCs w:val="20"/>
                <w:lang w:eastAsia="zh-CN" w:bidi="ar"/>
              </w:rPr>
              <w:t>；</w:t>
            </w:r>
          </w:p>
          <w:p>
            <w:pPr>
              <w:widowControl/>
              <w:adjustRightInd w:val="0"/>
              <w:snapToGrid w:val="0"/>
              <w:spacing w:after="0" w:line="240" w:lineRule="auto"/>
              <w:jc w:val="left"/>
              <w:textAlignment w:val="center"/>
              <w:rPr>
                <w:rFonts w:hint="eastAsia" w:ascii="仿宋_GB2312" w:hAnsi="仿宋_GB2312" w:eastAsia="仿宋_GB2312" w:cs="仿宋_GB2312"/>
                <w:color w:val="000000"/>
                <w:kern w:val="0"/>
                <w:sz w:val="20"/>
                <w:szCs w:val="20"/>
                <w:lang w:eastAsia="zh-CN" w:bidi="ar"/>
              </w:rPr>
            </w:pPr>
            <w:r>
              <w:rPr>
                <w:rFonts w:hint="eastAsia" w:ascii="仿宋_GB2312" w:hAnsi="仿宋_GB2312" w:cs="仿宋_GB2312"/>
                <w:color w:val="000000"/>
                <w:kern w:val="0"/>
                <w:sz w:val="20"/>
                <w:szCs w:val="20"/>
                <w:lang w:bidi="ar"/>
              </w:rPr>
              <w:t>《关于印发淘汰落后安全技术装备目录（2015年第一批）的通知》（安监总科技〔2015〕75号）</w:t>
            </w:r>
            <w:r>
              <w:rPr>
                <w:rFonts w:hint="eastAsia" w:ascii="仿宋_GB2312" w:hAnsi="仿宋_GB2312" w:cs="仿宋_GB2312"/>
                <w:color w:val="000000"/>
                <w:kern w:val="0"/>
                <w:sz w:val="20"/>
                <w:szCs w:val="20"/>
                <w:lang w:eastAsia="zh-CN" w:bidi="ar"/>
              </w:rPr>
              <w:t>；</w:t>
            </w:r>
          </w:p>
          <w:p>
            <w:pPr>
              <w:widowControl/>
              <w:adjustRightInd w:val="0"/>
              <w:snapToGrid w:val="0"/>
              <w:spacing w:after="0" w:line="240" w:lineRule="auto"/>
              <w:jc w:val="left"/>
              <w:textAlignment w:val="center"/>
              <w:rPr>
                <w:rFonts w:hint="eastAsia" w:ascii="仿宋_GB2312" w:hAnsi="仿宋_GB2312" w:eastAsia="仿宋_GB2312" w:cs="仿宋_GB2312"/>
                <w:color w:val="000000"/>
                <w:kern w:val="0"/>
                <w:sz w:val="20"/>
                <w:szCs w:val="20"/>
                <w:lang w:eastAsia="zh-CN" w:bidi="ar"/>
              </w:rPr>
            </w:pPr>
            <w:r>
              <w:rPr>
                <w:rFonts w:hint="eastAsia" w:ascii="仿宋_GB2312" w:hAnsi="仿宋_GB2312" w:cs="仿宋_GB2312"/>
                <w:color w:val="000000"/>
                <w:kern w:val="0"/>
                <w:sz w:val="20"/>
                <w:szCs w:val="20"/>
                <w:lang w:bidi="ar"/>
              </w:rPr>
              <w:t>《淘汰落后安全技术工艺、设备目录（2016年）的通知》（安监总科技〔2016〕137号）</w:t>
            </w:r>
            <w:r>
              <w:rPr>
                <w:rFonts w:hint="eastAsia" w:ascii="仿宋_GB2312" w:hAnsi="仿宋_GB2312" w:cs="仿宋_GB2312"/>
                <w:color w:val="000000"/>
                <w:kern w:val="0"/>
                <w:sz w:val="20"/>
                <w:szCs w:val="20"/>
                <w:lang w:eastAsia="zh-CN" w:bidi="ar"/>
              </w:rPr>
              <w:t>；</w:t>
            </w:r>
          </w:p>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sz w:val="20"/>
                <w:szCs w:val="20"/>
              </w:rPr>
              <w:t>《中华人民共和国危险化学品安全法》第三十四条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仿宋_GB2312" w:cs="仿宋_GB2312"/>
                <w:color w:val="000000"/>
                <w:sz w:val="20"/>
                <w:szCs w:val="20"/>
              </w:rPr>
              <w:t>14.2.02.034</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工艺及生产设备设施类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使用淘汰落后技术工艺目录列出的工艺。</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不得使用淘汰落后技术工艺目录列出的工艺。</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eastAsia="仿宋_GB2312" w:cs="仿宋_GB2312"/>
                <w:color w:val="000000"/>
                <w:kern w:val="0"/>
                <w:sz w:val="20"/>
                <w:szCs w:val="20"/>
                <w:lang w:eastAsia="zh-CN" w:bidi="ar"/>
              </w:rPr>
            </w:pPr>
            <w:r>
              <w:rPr>
                <w:rFonts w:hint="eastAsia" w:ascii="仿宋_GB2312" w:hAnsi="仿宋_GB2312" w:cs="仿宋_GB2312"/>
                <w:color w:val="000000"/>
                <w:kern w:val="0"/>
                <w:sz w:val="20"/>
                <w:szCs w:val="20"/>
                <w:lang w:bidi="ar"/>
              </w:rPr>
              <w:t>《关于印发淘汰落后安全技术装备目录（2015年第一批）的通知》（安监总科技〔2015〕75号）</w:t>
            </w:r>
            <w:r>
              <w:rPr>
                <w:rFonts w:hint="eastAsia" w:ascii="仿宋_GB2312" w:hAnsi="仿宋_GB2312" w:cs="仿宋_GB2312"/>
                <w:color w:val="000000"/>
                <w:kern w:val="0"/>
                <w:sz w:val="20"/>
                <w:szCs w:val="20"/>
                <w:lang w:eastAsia="zh-CN" w:bidi="ar"/>
              </w:rPr>
              <w:t>；</w:t>
            </w:r>
          </w:p>
          <w:p>
            <w:pPr>
              <w:widowControl/>
              <w:adjustRightInd w:val="0"/>
              <w:snapToGrid w:val="0"/>
              <w:spacing w:after="0" w:line="240" w:lineRule="auto"/>
              <w:jc w:val="left"/>
              <w:textAlignment w:val="center"/>
              <w:rPr>
                <w:rFonts w:hint="eastAsia" w:ascii="仿宋_GB2312" w:hAnsi="仿宋_GB2312" w:eastAsia="仿宋_GB2312" w:cs="仿宋_GB2312"/>
                <w:color w:val="000000"/>
                <w:kern w:val="0"/>
                <w:sz w:val="20"/>
                <w:szCs w:val="20"/>
                <w:lang w:eastAsia="zh-CN" w:bidi="ar"/>
              </w:rPr>
            </w:pPr>
            <w:r>
              <w:rPr>
                <w:rFonts w:hint="eastAsia" w:ascii="仿宋_GB2312" w:hAnsi="仿宋_GB2312" w:cs="仿宋_GB2312"/>
                <w:color w:val="000000"/>
                <w:kern w:val="0"/>
                <w:sz w:val="20"/>
                <w:szCs w:val="20"/>
                <w:lang w:bidi="ar"/>
              </w:rPr>
              <w:t>《淘汰落后安全技术工艺、设备目录（2016年）的通知》（安监总科技〔2016〕137号）</w:t>
            </w:r>
            <w:r>
              <w:rPr>
                <w:rFonts w:hint="eastAsia" w:ascii="仿宋_GB2312" w:hAnsi="仿宋_GB2312" w:cs="仿宋_GB2312"/>
                <w:color w:val="000000"/>
                <w:kern w:val="0"/>
                <w:sz w:val="20"/>
                <w:szCs w:val="20"/>
                <w:lang w:eastAsia="zh-CN" w:bidi="ar"/>
              </w:rPr>
              <w:t>；</w:t>
            </w:r>
          </w:p>
          <w:p>
            <w:pPr>
              <w:widowControl/>
              <w:adjustRightInd w:val="0"/>
              <w:snapToGrid w:val="0"/>
              <w:spacing w:after="0" w:line="240" w:lineRule="auto"/>
              <w:jc w:val="left"/>
              <w:textAlignment w:val="center"/>
              <w:rPr>
                <w:rFonts w:hint="eastAsia" w:ascii="仿宋_GB2312" w:hAnsi="仿宋_GB2312" w:cs="仿宋_GB2312"/>
                <w:color w:val="000000"/>
                <w:sz w:val="20"/>
                <w:szCs w:val="20"/>
              </w:rPr>
            </w:pPr>
            <w:bookmarkStart w:id="28" w:name="OLE_LINK22"/>
            <w:r>
              <w:rPr>
                <w:rFonts w:hint="eastAsia" w:ascii="仿宋_GB2312" w:hAnsi="仿宋_GB2312" w:cs="仿宋_GB2312"/>
                <w:color w:val="000000"/>
                <w:sz w:val="20"/>
                <w:szCs w:val="20"/>
              </w:rPr>
              <w:t>《中华人民共和国危险化学品安全法》第三十四条</w:t>
            </w:r>
            <w:bookmarkEnd w:id="28"/>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65"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仿宋_GB2312" w:cs="仿宋_GB2312"/>
                <w:color w:val="000000"/>
                <w:sz w:val="20"/>
                <w:szCs w:val="20"/>
              </w:rPr>
              <w:t>14.2.02.035</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工艺及生产设备设施类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bookmarkStart w:id="29" w:name="OLE_LINK2"/>
            <w:r>
              <w:rPr>
                <w:rFonts w:hint="eastAsia" w:ascii="仿宋_GB2312" w:hAnsi="仿宋_GB2312" w:cs="仿宋_GB2312"/>
                <w:color w:val="000000"/>
                <w:kern w:val="0"/>
                <w:sz w:val="20"/>
                <w:szCs w:val="20"/>
                <w:lang w:bidi="ar"/>
              </w:rPr>
              <w:t>涉及危险化学品的设备、管道、仪表等设备设施未在检验合格有效期内，未定期检查、维护和保养。</w:t>
            </w:r>
            <w:bookmarkEnd w:id="29"/>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涉及危险化学品的设备、管道、仪表等设备设施应在检验合格有效期内，应定期检查、维护和保养。</w:t>
            </w:r>
          </w:p>
        </w:tc>
        <w:tc>
          <w:tcPr>
            <w:tcW w:w="1369"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r>
              <w:rPr>
                <w:rFonts w:hint="eastAsia" w:ascii="仿宋_GB2312" w:hAnsi="仿宋_GB2312" w:cs="仿宋_GB2312"/>
                <w:color w:val="000000"/>
                <w:sz w:val="20"/>
                <w:szCs w:val="20"/>
              </w:rPr>
              <w:t>《中华人民共和国危险化学品安全法》第三十七条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5000" w:type="pct"/>
            <w:gridSpan w:val="7"/>
            <w:tcBorders>
              <w:tl2br w:val="nil"/>
              <w:tr2bl w:val="nil"/>
            </w:tcBorders>
            <w:shd w:val="clear" w:color="auto" w:fill="B4C6E7"/>
            <w:vAlign w:val="center"/>
          </w:tcPr>
          <w:p>
            <w:pPr>
              <w:widowControl/>
              <w:adjustRightInd w:val="0"/>
              <w:snapToGrid w:val="0"/>
              <w:spacing w:after="0" w:line="240" w:lineRule="auto"/>
              <w:jc w:val="center"/>
              <w:textAlignment w:val="center"/>
              <w:rPr>
                <w:rFonts w:hint="eastAsia" w:ascii="仿宋_GB2312" w:hAnsi="仿宋_GB2312" w:cs="仿宋_GB2312"/>
                <w:b/>
                <w:color w:val="000000"/>
                <w:sz w:val="20"/>
                <w:szCs w:val="20"/>
              </w:rPr>
            </w:pPr>
            <w:r>
              <w:rPr>
                <w:rFonts w:hint="eastAsia" w:ascii="仿宋_GB2312" w:hAnsi="仿宋_GB2312" w:cs="仿宋_GB2312"/>
                <w:b/>
                <w:color w:val="000000"/>
                <w:kern w:val="0"/>
                <w:sz w:val="20"/>
                <w:szCs w:val="20"/>
                <w:lang w:bidi="ar"/>
              </w:rPr>
              <w:t>安全设施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仿宋_GB2312" w:cs="仿宋_GB2312"/>
                <w:color w:val="000000"/>
                <w:sz w:val="20"/>
                <w:szCs w:val="20"/>
              </w:rPr>
              <w:t>14.2.09.036</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监控系统类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生产、储存危险化学品的单位，未当根据其生产、储存的危险化学品的种类和危险特性，未在作业场所设置相应的监测、监控、通风、防晒、调温、防火、灭火、防爆、泄压、防毒、中和、防潮、防雷、防静电、防腐、防泄漏以及防护围堤或者隔离操作等安全设施、设备，未按照国家标准、行业标准或者国家有关规定对安全设施、设备进行经常性维护、保养，保证安全设施、设备的正常使用。</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生产、储存危险化学品的单位，应当根据其生产、储存的危险化学品的种类和危险特性，在作业场所设置相应的监测、监控、通风、防晒、调温、防火、灭火、防爆、泄压、防毒、中和、防潮、防雷、防静电、防腐、防泄漏以及防护围堤或者隔离操作等安全设施、设备，并按照国家标准、行业标准或者国家有关规定对安全设施、设备进行经常性维护、保养，保证安全设施、设备的正常使用。</w:t>
            </w:r>
          </w:p>
        </w:tc>
        <w:tc>
          <w:tcPr>
            <w:tcW w:w="1369" w:type="pct"/>
            <w:tcBorders>
              <w:tl2br w:val="nil"/>
              <w:tr2bl w:val="nil"/>
            </w:tcBorders>
            <w:noWrap/>
            <w:vAlign w:val="center"/>
          </w:tcPr>
          <w:p>
            <w:pPr>
              <w:adjustRightInd w:val="0"/>
              <w:snapToGrid w:val="0"/>
              <w:spacing w:after="0" w:line="240" w:lineRule="auto"/>
              <w:jc w:val="left"/>
              <w:rPr>
                <w:rFonts w:hint="eastAsia" w:ascii="仿宋_GB2312" w:hAnsi="仿宋_GB2312" w:eastAsia="仿宋_GB2312" w:cs="仿宋_GB2312"/>
                <w:color w:val="000000"/>
                <w:sz w:val="20"/>
                <w:szCs w:val="20"/>
                <w:lang w:eastAsia="zh-CN"/>
              </w:rPr>
            </w:pPr>
            <w:bookmarkStart w:id="30" w:name="OLE_LINK23"/>
            <w:r>
              <w:rPr>
                <w:rFonts w:hint="eastAsia" w:ascii="仿宋_GB2312" w:hAnsi="仿宋_GB2312" w:cs="仿宋_GB2312"/>
                <w:color w:val="000000"/>
                <w:sz w:val="20"/>
                <w:szCs w:val="20"/>
              </w:rPr>
              <w:t>《</w:t>
            </w:r>
            <w:bookmarkStart w:id="31" w:name="OLE_LINK18"/>
            <w:r>
              <w:rPr>
                <w:rFonts w:hint="eastAsia" w:ascii="仿宋_GB2312" w:hAnsi="仿宋_GB2312" w:cs="仿宋_GB2312"/>
                <w:color w:val="000000"/>
                <w:sz w:val="20"/>
                <w:szCs w:val="20"/>
              </w:rPr>
              <w:t>中华人民共和国危险化学品安全法</w:t>
            </w:r>
            <w:bookmarkEnd w:id="31"/>
            <w:r>
              <w:rPr>
                <w:rFonts w:hint="eastAsia" w:ascii="仿宋_GB2312" w:hAnsi="仿宋_GB2312" w:cs="仿宋_GB2312"/>
                <w:color w:val="000000"/>
                <w:sz w:val="20"/>
                <w:szCs w:val="20"/>
              </w:rPr>
              <w:t>》第三十七条</w:t>
            </w:r>
            <w:r>
              <w:rPr>
                <w:rFonts w:hint="eastAsia" w:ascii="仿宋_GB2312" w:hAnsi="仿宋_GB2312" w:cs="仿宋_GB2312"/>
                <w:color w:val="000000"/>
                <w:sz w:val="20"/>
                <w:szCs w:val="20"/>
                <w:lang w:eastAsia="zh-CN"/>
              </w:rPr>
              <w:t>；</w:t>
            </w:r>
          </w:p>
          <w:bookmarkEnd w:id="30"/>
          <w:p>
            <w:pPr>
              <w:adjustRightInd w:val="0"/>
              <w:snapToGrid w:val="0"/>
              <w:spacing w:after="0" w:line="240" w:lineRule="auto"/>
              <w:jc w:val="left"/>
              <w:rPr>
                <w:rFonts w:hint="eastAsia" w:ascii="仿宋_GB2312" w:hAnsi="仿宋_GB2312" w:cs="仿宋_GB2312"/>
                <w:sz w:val="20"/>
                <w:szCs w:val="20"/>
              </w:rPr>
            </w:pPr>
            <w:r>
              <w:rPr>
                <w:rFonts w:hint="eastAsia" w:ascii="仿宋_GB2312" w:hAnsi="仿宋_GB2312" w:cs="仿宋_GB2312"/>
                <w:color w:val="000000"/>
                <w:kern w:val="0"/>
                <w:sz w:val="20"/>
                <w:szCs w:val="20"/>
                <w:lang w:eastAsia="zh-CN" w:bidi="ar"/>
              </w:rPr>
              <w:t>《安全生产等级评定技术规范 第2部分：安全生产通用要求》（DB11/T 1322.2-2017）</w:t>
            </w:r>
            <w:r>
              <w:rPr>
                <w:rFonts w:hint="eastAsia" w:ascii="仿宋_GB2312" w:hAnsi="仿宋_GB2312" w:cs="仿宋_GB2312"/>
                <w:color w:val="000000"/>
                <w:kern w:val="0"/>
                <w:sz w:val="20"/>
                <w:szCs w:val="20"/>
                <w:lang w:bidi="ar"/>
              </w:rPr>
              <w:t>第</w:t>
            </w:r>
            <w:r>
              <w:rPr>
                <w:rFonts w:ascii="仿宋_GB2312" w:hAnsi="仿宋_GB2312" w:cs="仿宋_GB2312"/>
                <w:color w:val="000000"/>
                <w:kern w:val="0"/>
                <w:sz w:val="20"/>
                <w:szCs w:val="20"/>
                <w:lang w:bidi="ar"/>
              </w:rPr>
              <w:t>3.8.2.4</w:t>
            </w:r>
            <w:r>
              <w:rPr>
                <w:rFonts w:hint="eastAsia" w:ascii="仿宋_GB2312" w:hAnsi="仿宋_GB2312" w:cs="仿宋_GB2312"/>
                <w:color w:val="000000"/>
                <w:kern w:val="0"/>
                <w:sz w:val="20"/>
                <w:szCs w:val="20"/>
                <w:lang w:bidi="ar"/>
              </w:rPr>
              <w:t>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仿宋_GB2312" w:cs="仿宋_GB2312"/>
                <w:color w:val="000000"/>
                <w:sz w:val="20"/>
                <w:szCs w:val="20"/>
              </w:rPr>
              <w:t>14.2.02.037</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kern w:val="0"/>
                <w:sz w:val="20"/>
                <w:szCs w:val="20"/>
                <w:lang w:bidi="ar"/>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kern w:val="0"/>
                <w:sz w:val="20"/>
                <w:szCs w:val="20"/>
                <w:lang w:bidi="ar"/>
              </w:rPr>
            </w:pPr>
            <w:r>
              <w:rPr>
                <w:rFonts w:hint="eastAsia" w:ascii="仿宋_GB2312" w:hAnsi="仿宋_GB2312" w:cs="仿宋_GB2312"/>
                <w:color w:val="000000"/>
                <w:kern w:val="0"/>
                <w:sz w:val="20"/>
                <w:szCs w:val="20"/>
                <w:lang w:bidi="ar"/>
              </w:rPr>
              <w:t>工艺及生产设备设施类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kern w:val="0"/>
                <w:sz w:val="20"/>
                <w:szCs w:val="20"/>
                <w:lang w:bidi="ar"/>
              </w:rPr>
            </w:pPr>
            <w:r>
              <w:rPr>
                <w:rFonts w:hint="eastAsia" w:ascii="仿宋_GB2312" w:hAnsi="仿宋_GB2312" w:cs="仿宋_GB2312"/>
                <w:color w:val="000000"/>
                <w:kern w:val="0"/>
                <w:sz w:val="20"/>
                <w:szCs w:val="20"/>
                <w:lang w:bidi="ar"/>
              </w:rPr>
              <w:t>涉及“两重点一重大”生产装置、储存设施</w:t>
            </w:r>
            <w:r>
              <w:rPr>
                <w:rFonts w:hint="eastAsia" w:ascii="仿宋_GB2312" w:hAnsi="仿宋_GB2312" w:cs="仿宋_GB2312"/>
                <w:color w:val="000000"/>
                <w:kern w:val="0"/>
                <w:sz w:val="20"/>
                <w:szCs w:val="20"/>
                <w:lang w:eastAsia="zh-CN" w:bidi="ar"/>
              </w:rPr>
              <w:t>未</w:t>
            </w:r>
            <w:r>
              <w:rPr>
                <w:rFonts w:hint="eastAsia" w:ascii="仿宋_GB2312" w:hAnsi="仿宋_GB2312" w:cs="仿宋_GB2312"/>
                <w:color w:val="000000"/>
                <w:kern w:val="0"/>
                <w:sz w:val="20"/>
                <w:szCs w:val="20"/>
                <w:lang w:bidi="ar"/>
              </w:rPr>
              <w:t>按标准规范要求装备和使用可燃气体和有毒气体泄漏检测报警装置、紧急切断装置、自动化控制系统、化工安全仪表系统。</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kern w:val="0"/>
                <w:sz w:val="20"/>
                <w:szCs w:val="20"/>
                <w:lang w:bidi="ar"/>
              </w:rPr>
            </w:pPr>
            <w:r>
              <w:rPr>
                <w:rFonts w:hint="eastAsia" w:ascii="仿宋_GB2312" w:hAnsi="仿宋_GB2312" w:cs="仿宋_GB2312"/>
                <w:color w:val="000000"/>
                <w:kern w:val="0"/>
                <w:sz w:val="20"/>
                <w:szCs w:val="20"/>
                <w:lang w:bidi="ar"/>
              </w:rPr>
              <w:t>涉及“两重点一重大”生产装置、储存设施应按标准规范要求装备和使用可燃气体和有毒气体泄漏检测报警装置、紧急切断装置、自动化控制系统、化工安全仪表系统。</w:t>
            </w:r>
          </w:p>
        </w:tc>
        <w:tc>
          <w:tcPr>
            <w:tcW w:w="1369"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r>
              <w:rPr>
                <w:rFonts w:hint="eastAsia" w:ascii="仿宋_GB2312" w:hAnsi="仿宋_GB2312" w:cs="仿宋_GB2312"/>
                <w:color w:val="000000"/>
                <w:sz w:val="20"/>
                <w:szCs w:val="20"/>
              </w:rPr>
              <w:t>《危险化学品重大危险源安全监控技术规范》（GB 17681-2024）第5章</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cs="仿宋_GB2312"/>
                <w:sz w:val="20"/>
                <w:szCs w:val="20"/>
              </w:rPr>
            </w:pPr>
            <w:r>
              <w:rPr>
                <w:rFonts w:hint="eastAsia" w:ascii="仿宋_GB2312" w:hAnsi="等线"/>
                <w:color w:val="000000"/>
                <w:sz w:val="20"/>
                <w:szCs w:val="20"/>
              </w:rPr>
              <w:t>14.2.13.038</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sz w:val="20"/>
                <w:szCs w:val="20"/>
              </w:rPr>
            </w:pPr>
            <w:r>
              <w:rPr>
                <w:rFonts w:hint="eastAsia" w:ascii="仿宋_GB2312" w:hAnsi="仿宋_GB2312" w:cs="仿宋_GB2312"/>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sz w:val="20"/>
                <w:szCs w:val="20"/>
              </w:rPr>
            </w:pPr>
            <w:r>
              <w:rPr>
                <w:rFonts w:hint="eastAsia" w:ascii="仿宋_GB2312" w:hAnsi="仿宋_GB2312" w:cs="仿宋_GB2312"/>
                <w:kern w:val="0"/>
                <w:sz w:val="20"/>
                <w:szCs w:val="20"/>
                <w:lang w:bidi="ar"/>
              </w:rPr>
              <w:t>用电安全类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sz w:val="20"/>
                <w:szCs w:val="20"/>
              </w:rPr>
            </w:pPr>
            <w:r>
              <w:rPr>
                <w:rFonts w:hint="eastAsia" w:ascii="仿宋_GB2312" w:hAnsi="仿宋_GB2312" w:cs="仿宋_GB2312"/>
                <w:kern w:val="0"/>
                <w:sz w:val="20"/>
                <w:szCs w:val="20"/>
                <w:lang w:bidi="ar"/>
              </w:rPr>
              <w:t>在可能散发可燃气体或蒸汽的生产场所，未配备防爆型电气设备。爆炸危险区域内的电气设备</w:t>
            </w:r>
            <w:r>
              <w:rPr>
                <w:rFonts w:hint="eastAsia" w:ascii="仿宋_GB2312" w:hAnsi="仿宋_GB2312" w:cs="仿宋_GB2312"/>
                <w:kern w:val="0"/>
                <w:sz w:val="20"/>
                <w:szCs w:val="20"/>
                <w:lang w:eastAsia="zh-CN" w:bidi="ar"/>
              </w:rPr>
              <w:t>不</w:t>
            </w:r>
            <w:r>
              <w:rPr>
                <w:rFonts w:hint="eastAsia" w:ascii="仿宋_GB2312" w:hAnsi="仿宋_GB2312" w:cs="仿宋_GB2312"/>
                <w:kern w:val="0"/>
                <w:sz w:val="20"/>
                <w:szCs w:val="20"/>
                <w:lang w:bidi="ar"/>
              </w:rPr>
              <w:t>符合GB 50058要求。</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sz w:val="20"/>
                <w:szCs w:val="20"/>
              </w:rPr>
            </w:pPr>
            <w:r>
              <w:rPr>
                <w:rFonts w:hint="eastAsia" w:ascii="仿宋_GB2312" w:hAnsi="仿宋_GB2312" w:cs="仿宋_GB2312"/>
                <w:kern w:val="0"/>
                <w:sz w:val="20"/>
                <w:szCs w:val="20"/>
                <w:lang w:bidi="ar"/>
              </w:rPr>
              <w:t>在可能散发可燃气体或蒸汽的生产场所，应配备防爆型电气设备。爆炸危险区域内的电气设备应符合GB 50058要求。</w:t>
            </w:r>
          </w:p>
        </w:tc>
        <w:tc>
          <w:tcPr>
            <w:tcW w:w="1369"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sz w:val="20"/>
                <w:szCs w:val="20"/>
              </w:rPr>
            </w:pPr>
            <w:r>
              <w:rPr>
                <w:rFonts w:hint="eastAsia" w:ascii="仿宋_GB2312" w:hAnsi="仿宋_GB2312" w:cs="仿宋_GB2312"/>
                <w:kern w:val="0"/>
                <w:sz w:val="20"/>
                <w:szCs w:val="20"/>
                <w:lang w:bidi="ar"/>
              </w:rPr>
              <w:t>《爆炸危险环境电力装置设计规范》（GB 50058-2014）第3.1.1 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359" w:type="pct"/>
            <w:tcBorders>
              <w:tl2br w:val="nil"/>
              <w:tr2bl w:val="nil"/>
            </w:tcBorders>
            <w:noWrap/>
            <w:vAlign w:val="center"/>
          </w:tcPr>
          <w:p>
            <w:pPr>
              <w:adjustRightInd w:val="0"/>
              <w:snapToGrid w:val="0"/>
              <w:spacing w:after="0" w:line="240" w:lineRule="auto"/>
              <w:jc w:val="center"/>
              <w:rPr>
                <w:rFonts w:hint="default" w:ascii="仿宋_GB2312" w:hAnsi="仿宋_GB2312" w:eastAsia="仿宋_GB2312" w:cs="仿宋_GB2312"/>
                <w:color w:val="000000"/>
                <w:sz w:val="20"/>
                <w:szCs w:val="20"/>
                <w:lang w:val="en-US" w:eastAsia="zh-CN"/>
              </w:rPr>
            </w:pPr>
            <w:r>
              <w:rPr>
                <w:rFonts w:hint="eastAsia" w:ascii="仿宋_GB2312" w:hAnsi="等线"/>
                <w:color w:val="000000"/>
                <w:sz w:val="20"/>
                <w:szCs w:val="20"/>
              </w:rPr>
              <w:t>14.2.13.0</w:t>
            </w:r>
            <w:r>
              <w:rPr>
                <w:rFonts w:hint="eastAsia" w:ascii="仿宋_GB2312" w:hAnsi="等线"/>
                <w:color w:val="000000"/>
                <w:sz w:val="20"/>
                <w:szCs w:val="20"/>
                <w:lang w:val="en-US" w:eastAsia="zh-CN"/>
              </w:rPr>
              <w:t>39</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用电安全类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爆炸危险场所的仪表、仪表线路的防爆等级</w:t>
            </w:r>
            <w:r>
              <w:rPr>
                <w:rFonts w:hint="eastAsia" w:ascii="仿宋_GB2312" w:hAnsi="仿宋_GB2312" w:cs="仿宋_GB2312"/>
                <w:color w:val="000000"/>
                <w:kern w:val="0"/>
                <w:sz w:val="20"/>
                <w:szCs w:val="20"/>
                <w:lang w:eastAsia="zh-CN" w:bidi="ar"/>
              </w:rPr>
              <w:t>不</w:t>
            </w:r>
            <w:r>
              <w:rPr>
                <w:rFonts w:hint="eastAsia" w:ascii="仿宋_GB2312" w:hAnsi="仿宋_GB2312" w:cs="仿宋_GB2312"/>
                <w:color w:val="000000"/>
                <w:kern w:val="0"/>
                <w:sz w:val="20"/>
                <w:szCs w:val="20"/>
                <w:lang w:bidi="ar"/>
              </w:rPr>
              <w:t>满足区域的防爆要求。</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爆炸危险场所的仪表、仪表线路的防爆等级应满足区域的防爆要求。</w:t>
            </w:r>
          </w:p>
        </w:tc>
        <w:tc>
          <w:tcPr>
            <w:tcW w:w="1369"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《爆炸危险环境电力装置设计规范》（GB 50058-2014）第5.2.3条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val="en-US" w:eastAsia="zh-CN"/>
              </w:rPr>
            </w:pPr>
            <w:r>
              <w:rPr>
                <w:rFonts w:hint="eastAsia" w:ascii="仿宋_GB2312" w:hAnsi="等线"/>
                <w:color w:val="000000"/>
                <w:sz w:val="20"/>
                <w:szCs w:val="20"/>
              </w:rPr>
              <w:t>14.2.0</w:t>
            </w:r>
            <w:r>
              <w:rPr>
                <w:rFonts w:hint="eastAsia" w:ascii="仿宋_GB2312" w:hAnsi="仿宋_GB2312" w:cs="仿宋_GB2312"/>
                <w:color w:val="000000"/>
                <w:sz w:val="20"/>
                <w:szCs w:val="20"/>
              </w:rPr>
              <w:t>9.04</w:t>
            </w:r>
            <w:r>
              <w:rPr>
                <w:rFonts w:hint="eastAsia" w:ascii="仿宋_GB2312" w:hAnsi="仿宋_GB2312" w:cs="仿宋_GB2312"/>
                <w:color w:val="000000"/>
                <w:sz w:val="20"/>
                <w:szCs w:val="20"/>
                <w:lang w:val="en-US" w:eastAsia="zh-CN"/>
              </w:rPr>
              <w:t>0</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监控系统类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可燃气体和有毒气体检测报警器的设置与报警值的设置</w:t>
            </w:r>
            <w:r>
              <w:rPr>
                <w:rFonts w:hint="eastAsia" w:ascii="仿宋_GB2312" w:hAnsi="仿宋_GB2312" w:cs="仿宋_GB2312"/>
                <w:color w:val="000000"/>
                <w:kern w:val="0"/>
                <w:sz w:val="20"/>
                <w:szCs w:val="20"/>
                <w:lang w:eastAsia="zh-CN" w:bidi="ar"/>
              </w:rPr>
              <w:t>不</w:t>
            </w:r>
            <w:r>
              <w:rPr>
                <w:rFonts w:hint="eastAsia" w:ascii="仿宋_GB2312" w:hAnsi="仿宋_GB2312" w:cs="仿宋_GB2312"/>
                <w:color w:val="000000"/>
                <w:kern w:val="0"/>
                <w:sz w:val="20"/>
                <w:szCs w:val="20"/>
                <w:lang w:bidi="ar"/>
              </w:rPr>
              <w:t>满足GB/T 50493要求。</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可燃气体和有毒气体检测报警器的设置与报警值的设置应满足GB/T 50493要求。</w:t>
            </w:r>
          </w:p>
        </w:tc>
        <w:tc>
          <w:tcPr>
            <w:tcW w:w="1369"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《石油化工可燃气体和有毒气体检测报警设计规范》（GB/T 50493-2019）</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eastAsia="zh-CN"/>
              </w:rPr>
            </w:pPr>
            <w:r>
              <w:rPr>
                <w:rFonts w:hint="eastAsia" w:ascii="仿宋_GB2312" w:hAnsi="等线"/>
                <w:color w:val="000000"/>
                <w:sz w:val="20"/>
                <w:szCs w:val="20"/>
              </w:rPr>
              <w:t>14.2.0</w:t>
            </w:r>
            <w:r>
              <w:rPr>
                <w:rFonts w:hint="eastAsia" w:ascii="仿宋_GB2312" w:hAnsi="仿宋_GB2312" w:cs="仿宋_GB2312"/>
                <w:color w:val="000000"/>
                <w:sz w:val="20"/>
                <w:szCs w:val="20"/>
              </w:rPr>
              <w:t>9.04</w:t>
            </w:r>
            <w:r>
              <w:rPr>
                <w:rFonts w:hint="eastAsia" w:ascii="仿宋_GB2312" w:hAnsi="仿宋_GB2312" w:cs="仿宋_GB2312"/>
                <w:color w:val="000000"/>
                <w:sz w:val="20"/>
                <w:szCs w:val="20"/>
                <w:lang w:val="en-US" w:eastAsia="zh-CN"/>
              </w:rPr>
              <w:t>1</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监控系统类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可燃、有毒气体检测报警信号未发送至有操作人员常驻的控制室、现场操作室进行报警，</w:t>
            </w:r>
            <w:r>
              <w:rPr>
                <w:rFonts w:hint="eastAsia" w:ascii="仿宋_GB2312" w:hAnsi="仿宋_GB2312" w:cs="仿宋_GB2312"/>
                <w:color w:val="000000"/>
                <w:kern w:val="0"/>
                <w:sz w:val="20"/>
                <w:szCs w:val="20"/>
                <w:lang w:eastAsia="zh-CN" w:bidi="ar"/>
              </w:rPr>
              <w:t>无</w:t>
            </w:r>
            <w:r>
              <w:rPr>
                <w:rFonts w:hint="eastAsia" w:ascii="仿宋_GB2312" w:hAnsi="仿宋_GB2312" w:cs="仿宋_GB2312"/>
                <w:color w:val="000000"/>
                <w:kern w:val="0"/>
                <w:sz w:val="20"/>
                <w:szCs w:val="20"/>
                <w:lang w:bidi="ar"/>
              </w:rPr>
              <w:t>报警与处警记录，</w:t>
            </w:r>
            <w:r>
              <w:rPr>
                <w:rFonts w:hint="eastAsia" w:ascii="仿宋_GB2312" w:hAnsi="仿宋_GB2312" w:cs="仿宋_GB2312"/>
                <w:color w:val="000000"/>
                <w:kern w:val="0"/>
                <w:sz w:val="20"/>
                <w:szCs w:val="20"/>
                <w:lang w:eastAsia="zh-CN" w:bidi="ar"/>
              </w:rPr>
              <w:t>未</w:t>
            </w:r>
            <w:r>
              <w:rPr>
                <w:rFonts w:hint="eastAsia" w:ascii="仿宋_GB2312" w:hAnsi="仿宋_GB2312" w:cs="仿宋_GB2312"/>
                <w:color w:val="000000"/>
                <w:kern w:val="0"/>
                <w:sz w:val="20"/>
                <w:szCs w:val="20"/>
                <w:lang w:bidi="ar"/>
              </w:rPr>
              <w:t>对报警原因进行分析。</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可燃、有毒气体检测报警信号应发送至有操作人员常驻的控制室、现场操作室进行报警，并有报警与处警记录，对报警原因进行分析。</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《石油化工可燃气体和有毒气体检测报警设计规范》（GB/T 50493-2019）第3.0.4条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eastAsia="zh-CN"/>
              </w:rPr>
            </w:pPr>
            <w:r>
              <w:rPr>
                <w:rFonts w:hint="eastAsia" w:ascii="仿宋_GB2312" w:hAnsi="等线"/>
                <w:color w:val="000000"/>
                <w:sz w:val="20"/>
                <w:szCs w:val="20"/>
              </w:rPr>
              <w:t>14.2.0</w:t>
            </w:r>
            <w:r>
              <w:rPr>
                <w:rFonts w:hint="eastAsia" w:ascii="仿宋_GB2312" w:hAnsi="仿宋_GB2312" w:cs="仿宋_GB2312"/>
                <w:color w:val="000000"/>
                <w:sz w:val="20"/>
                <w:szCs w:val="20"/>
              </w:rPr>
              <w:t>9.04</w:t>
            </w:r>
            <w:r>
              <w:rPr>
                <w:rFonts w:hint="eastAsia" w:ascii="仿宋_GB2312" w:hAnsi="仿宋_GB2312" w:cs="仿宋_GB2312"/>
                <w:color w:val="000000"/>
                <w:sz w:val="20"/>
                <w:szCs w:val="20"/>
                <w:lang w:val="en-US" w:eastAsia="zh-CN"/>
              </w:rPr>
              <w:t>2</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监控系统类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可燃、有毒气体检测报警器未完好并处于正常投用状态。</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可燃、有毒气体检测报警器应完好并处于正常投用状态。</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《中华人民共和国安全生产法》第三十六条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eastAsia="zh-CN"/>
              </w:rPr>
            </w:pPr>
            <w:r>
              <w:rPr>
                <w:rFonts w:hint="eastAsia" w:ascii="仿宋_GB2312" w:hAnsi="等线"/>
                <w:color w:val="000000"/>
                <w:sz w:val="20"/>
                <w:szCs w:val="20"/>
              </w:rPr>
              <w:t>14.2.13.04</w:t>
            </w:r>
            <w:r>
              <w:rPr>
                <w:rFonts w:hint="eastAsia" w:ascii="仿宋_GB2312" w:hAnsi="等线"/>
                <w:color w:val="000000"/>
                <w:sz w:val="20"/>
                <w:szCs w:val="20"/>
                <w:lang w:val="en-US" w:eastAsia="zh-CN"/>
              </w:rPr>
              <w:t>3</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用电安全类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在生产加工、储运过程中，设备、管道、操作工具及人体等，有可能产生和积聚静电而造成静电危害时，未采取静电接地措施。</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在生产加工、储运过程中，设备、管道、操作工具及人体等，有可能产生和积聚静电而造成静电危害时，应采取静电接地措施。</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w:t>
            </w:r>
            <w:bookmarkStart w:id="32" w:name="OLE_LINK19"/>
            <w:r>
              <w:rPr>
                <w:rFonts w:hint="eastAsia" w:ascii="仿宋_GB2312" w:hAnsi="仿宋_GB2312" w:cs="仿宋_GB2312"/>
                <w:color w:val="000000"/>
                <w:kern w:val="0"/>
                <w:sz w:val="20"/>
                <w:szCs w:val="20"/>
                <w:lang w:bidi="ar"/>
              </w:rPr>
              <w:t>防止静电事故通用要求</w:t>
            </w:r>
            <w:bookmarkEnd w:id="32"/>
            <w:r>
              <w:rPr>
                <w:rFonts w:hint="eastAsia" w:ascii="仿宋_GB2312" w:hAnsi="仿宋_GB2312" w:cs="仿宋_GB2312"/>
                <w:color w:val="000000"/>
                <w:kern w:val="0"/>
                <w:sz w:val="20"/>
                <w:szCs w:val="20"/>
                <w:lang w:bidi="ar"/>
              </w:rPr>
              <w:t>》（GB 12158-2024）第</w:t>
            </w:r>
            <w:r>
              <w:rPr>
                <w:rFonts w:ascii="仿宋_GB2312" w:hAnsi="仿宋_GB2312" w:cs="仿宋_GB2312"/>
                <w:color w:val="000000"/>
                <w:kern w:val="0"/>
                <w:sz w:val="20"/>
                <w:szCs w:val="20"/>
                <w:lang w:bidi="ar"/>
              </w:rPr>
              <w:t>4.2.2</w:t>
            </w:r>
            <w:r>
              <w:rPr>
                <w:rFonts w:hint="eastAsia" w:ascii="仿宋_GB2312" w:hAnsi="仿宋_GB2312" w:cs="仿宋_GB2312"/>
                <w:color w:val="000000"/>
                <w:kern w:val="0"/>
                <w:sz w:val="20"/>
                <w:szCs w:val="20"/>
                <w:lang w:bidi="ar"/>
              </w:rPr>
              <w:t>节</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eastAsia="zh-CN"/>
              </w:rPr>
            </w:pPr>
            <w:r>
              <w:rPr>
                <w:rFonts w:hint="eastAsia" w:ascii="仿宋_GB2312" w:hAnsi="等线"/>
                <w:color w:val="000000"/>
                <w:sz w:val="20"/>
                <w:szCs w:val="20"/>
              </w:rPr>
              <w:t>14.2.13.04</w:t>
            </w:r>
            <w:r>
              <w:rPr>
                <w:rFonts w:hint="eastAsia" w:ascii="仿宋_GB2312" w:hAnsi="等线"/>
                <w:color w:val="000000"/>
                <w:sz w:val="20"/>
                <w:szCs w:val="20"/>
                <w:lang w:val="en-US" w:eastAsia="zh-CN"/>
              </w:rPr>
              <w:t>4</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用电安全类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未按照GB 50057在厂区安装防雷设施。</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kern w:val="0"/>
                <w:sz w:val="20"/>
                <w:szCs w:val="20"/>
                <w:lang w:bidi="ar"/>
              </w:rPr>
            </w:pPr>
            <w:r>
              <w:rPr>
                <w:rFonts w:hint="eastAsia" w:ascii="仿宋_GB2312" w:hAnsi="仿宋_GB2312" w:cs="仿宋_GB2312"/>
                <w:color w:val="000000"/>
                <w:kern w:val="0"/>
                <w:sz w:val="20"/>
                <w:szCs w:val="20"/>
                <w:lang w:bidi="ar"/>
              </w:rPr>
              <w:t>应按照GB 50057在厂区安装防雷设施。</w:t>
            </w:r>
          </w:p>
        </w:tc>
        <w:tc>
          <w:tcPr>
            <w:tcW w:w="1369" w:type="pct"/>
            <w:tcBorders>
              <w:tl2br w:val="nil"/>
              <w:tr2bl w:val="nil"/>
            </w:tcBorders>
            <w:vAlign w:val="center"/>
          </w:tcPr>
          <w:p>
            <w:pPr>
              <w:adjustRightInd w:val="0"/>
              <w:snapToGrid w:val="0"/>
              <w:spacing w:after="0" w:line="240" w:lineRule="auto"/>
              <w:jc w:val="left"/>
              <w:rPr>
                <w:rFonts w:hint="eastAsia" w:ascii="仿宋_GB2312" w:hAnsi="仿宋_GB2312" w:eastAsia="仿宋_GB2312" w:cs="仿宋_GB2312"/>
                <w:color w:val="000000"/>
                <w:kern w:val="0"/>
                <w:sz w:val="20"/>
                <w:szCs w:val="20"/>
                <w:lang w:eastAsia="zh-CN" w:bidi="ar"/>
              </w:rPr>
            </w:pPr>
            <w:bookmarkStart w:id="33" w:name="OLE_LINK24"/>
            <w:r>
              <w:rPr>
                <w:rFonts w:hint="eastAsia" w:ascii="仿宋_GB2312" w:hAnsi="仿宋_GB2312" w:cs="仿宋_GB2312"/>
                <w:color w:val="000000"/>
                <w:kern w:val="0"/>
                <w:sz w:val="20"/>
                <w:szCs w:val="20"/>
                <w:lang w:bidi="ar"/>
              </w:rPr>
              <w:t>《中华人民共和国危险化学品安全法》第三十七条</w:t>
            </w:r>
            <w:r>
              <w:rPr>
                <w:rFonts w:hint="eastAsia" w:ascii="仿宋_GB2312" w:hAnsi="仿宋_GB2312" w:cs="仿宋_GB2312"/>
                <w:color w:val="000000"/>
                <w:kern w:val="0"/>
                <w:sz w:val="20"/>
                <w:szCs w:val="20"/>
                <w:lang w:eastAsia="zh-CN" w:bidi="ar"/>
              </w:rPr>
              <w:t>；</w:t>
            </w:r>
          </w:p>
          <w:bookmarkEnd w:id="33"/>
          <w:p>
            <w:pPr>
              <w:widowControl/>
              <w:adjustRightInd w:val="0"/>
              <w:snapToGrid w:val="0"/>
              <w:spacing w:after="0" w:line="240" w:lineRule="auto"/>
              <w:jc w:val="left"/>
              <w:textAlignment w:val="center"/>
              <w:rPr>
                <w:rFonts w:hint="eastAsia" w:ascii="仿宋_GB2312" w:hAnsi="仿宋_GB2312" w:cs="仿宋_GB2312"/>
                <w:color w:val="000000"/>
                <w:kern w:val="0"/>
                <w:sz w:val="20"/>
                <w:szCs w:val="20"/>
                <w:lang w:bidi="ar"/>
              </w:rPr>
            </w:pPr>
            <w:r>
              <w:rPr>
                <w:rFonts w:hint="eastAsia" w:ascii="仿宋_GB2312" w:hAnsi="仿宋_GB2312" w:cs="仿宋_GB2312"/>
                <w:color w:val="000000"/>
                <w:kern w:val="0"/>
                <w:sz w:val="20"/>
                <w:szCs w:val="20"/>
                <w:lang w:bidi="ar"/>
              </w:rPr>
              <w:t>《危险化学品重大危险源安全监控技术规范》（GB 17681-2024）第6.6条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5000" w:type="pct"/>
            <w:gridSpan w:val="7"/>
            <w:tcBorders>
              <w:tl2br w:val="nil"/>
              <w:tr2bl w:val="nil"/>
            </w:tcBorders>
            <w:shd w:val="clear" w:color="auto" w:fill="B4C6E7"/>
            <w:vAlign w:val="center"/>
          </w:tcPr>
          <w:p>
            <w:pPr>
              <w:widowControl/>
              <w:adjustRightInd w:val="0"/>
              <w:snapToGrid w:val="0"/>
              <w:spacing w:after="0" w:line="240" w:lineRule="auto"/>
              <w:jc w:val="center"/>
              <w:textAlignment w:val="center"/>
              <w:rPr>
                <w:rFonts w:hint="eastAsia" w:ascii="仿宋_GB2312" w:hAnsi="仿宋_GB2312" w:cs="仿宋_GB2312"/>
                <w:b/>
                <w:color w:val="000000"/>
                <w:sz w:val="20"/>
                <w:szCs w:val="20"/>
              </w:rPr>
            </w:pPr>
            <w:r>
              <w:rPr>
                <w:rFonts w:hint="eastAsia" w:ascii="仿宋_GB2312" w:hAnsi="仿宋_GB2312" w:cs="仿宋_GB2312"/>
                <w:b/>
                <w:color w:val="000000"/>
                <w:kern w:val="0"/>
                <w:sz w:val="20"/>
                <w:szCs w:val="20"/>
                <w:lang w:bidi="ar"/>
              </w:rPr>
              <w:t>储存设施一般要求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val="en-US" w:eastAsia="zh-CN"/>
              </w:rPr>
            </w:pPr>
            <w:r>
              <w:rPr>
                <w:rFonts w:hint="eastAsia" w:ascii="仿宋_GB2312" w:hAnsi="仿宋_GB2312" w:cs="仿宋_GB2312"/>
                <w:color w:val="000000"/>
                <w:sz w:val="20"/>
                <w:szCs w:val="20"/>
              </w:rPr>
              <w:t>14.2.12.04</w:t>
            </w:r>
            <w:r>
              <w:rPr>
                <w:rFonts w:hint="eastAsia" w:ascii="仿宋_GB2312" w:hAnsi="仿宋_GB2312" w:cs="仿宋_GB2312"/>
                <w:color w:val="000000"/>
                <w:sz w:val="20"/>
                <w:szCs w:val="20"/>
                <w:lang w:val="en-US" w:eastAsia="zh-CN"/>
              </w:rPr>
              <w:t>5</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危险化学品未储存在专用仓库、专用储存室、气瓶间或专柜等专门的储存场所。</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危险化学品应储存在专用仓库、专用储存室、气瓶间或专柜等专门的储存场所内，不应露天存放。</w:t>
            </w:r>
          </w:p>
        </w:tc>
        <w:tc>
          <w:tcPr>
            <w:tcW w:w="1369" w:type="pct"/>
            <w:tcBorders>
              <w:tl2br w:val="nil"/>
              <w:tr2bl w:val="nil"/>
            </w:tcBorders>
            <w:vAlign w:val="center"/>
          </w:tcPr>
          <w:p>
            <w:pPr>
              <w:adjustRightInd w:val="0"/>
              <w:snapToGrid w:val="0"/>
              <w:spacing w:after="0" w:line="240" w:lineRule="auto"/>
              <w:jc w:val="left"/>
              <w:rPr>
                <w:rFonts w:hint="eastAsia" w:eastAsia="仿宋_GB2312"/>
                <w:lang w:eastAsia="zh-CN"/>
              </w:rPr>
            </w:pPr>
            <w:bookmarkStart w:id="34" w:name="OLE_LINK25"/>
            <w:r>
              <w:rPr>
                <w:rFonts w:hint="eastAsia" w:ascii="仿宋_GB2312" w:hAnsi="仿宋_GB2312" w:cs="仿宋_GB2312"/>
                <w:color w:val="000000"/>
                <w:kern w:val="0"/>
                <w:sz w:val="20"/>
                <w:szCs w:val="20"/>
                <w:lang w:bidi="ar"/>
              </w:rPr>
              <w:t>《中华人民共和国危险化学品安全法》第四十一条</w:t>
            </w:r>
            <w:bookmarkEnd w:id="34"/>
            <w:r>
              <w:rPr>
                <w:rFonts w:hint="eastAsia" w:ascii="仿宋_GB2312" w:hAnsi="仿宋_GB2312" w:cs="仿宋_GB2312"/>
                <w:color w:val="000000"/>
                <w:kern w:val="0"/>
                <w:sz w:val="20"/>
                <w:szCs w:val="20"/>
                <w:lang w:eastAsia="zh-CN" w:bidi="ar"/>
              </w:rPr>
              <w:t>；</w:t>
            </w:r>
          </w:p>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《安全生产等级评定技术规范 第2部分：安全生产通用要求》（DB11/T 1322.2-2017）第3.8.1.4条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25"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val="en-US" w:eastAsia="zh-CN"/>
              </w:rPr>
            </w:pPr>
            <w:r>
              <w:rPr>
                <w:rFonts w:hint="eastAsia" w:ascii="仿宋_GB2312" w:hAnsi="等线"/>
                <w:color w:val="000000"/>
                <w:sz w:val="20"/>
                <w:szCs w:val="20"/>
              </w:rPr>
              <w:t>14.4.0</w:t>
            </w:r>
            <w:r>
              <w:rPr>
                <w:rFonts w:hint="eastAsia" w:ascii="仿宋_GB2312" w:hAnsi="仿宋_GB2312" w:cs="仿宋_GB2312"/>
                <w:color w:val="000000"/>
                <w:sz w:val="20"/>
                <w:szCs w:val="20"/>
              </w:rPr>
              <w:t>2.04</w:t>
            </w:r>
            <w:r>
              <w:rPr>
                <w:rFonts w:hint="eastAsia" w:ascii="仿宋_GB2312" w:hAnsi="仿宋_GB2312" w:cs="仿宋_GB2312"/>
                <w:color w:val="000000"/>
                <w:sz w:val="20"/>
                <w:szCs w:val="20"/>
                <w:lang w:val="en-US" w:eastAsia="zh-CN"/>
              </w:rPr>
              <w:t>6</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场所环境类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建（构）筑物类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储存场所设置在地下或半地下建、构筑物内。危险化学品储存场所内设置员工宿舍或休息室。</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储存场所不应设置在地下或半地下建、构筑物内。危险化学品储存场所内不应设置员工宿舍或休息室。</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《建筑设计防火规范（2018 年版）》</w:t>
            </w:r>
            <w:r>
              <w:rPr>
                <w:rFonts w:hint="eastAsia" w:ascii="仿宋_GB2312" w:hAnsi="仿宋_GB2312" w:cs="仿宋_GB2312"/>
                <w:color w:val="000000"/>
                <w:kern w:val="0"/>
                <w:sz w:val="20"/>
                <w:szCs w:val="20"/>
                <w:lang w:eastAsia="zh-CN" w:bidi="ar"/>
              </w:rPr>
              <w:t>（</w:t>
            </w:r>
            <w:r>
              <w:rPr>
                <w:rFonts w:hint="eastAsia" w:ascii="仿宋_GB2312" w:hAnsi="仿宋_GB2312" w:cs="仿宋_GB2312"/>
                <w:color w:val="000000"/>
                <w:kern w:val="0"/>
                <w:sz w:val="20"/>
                <w:szCs w:val="20"/>
                <w:lang w:bidi="ar"/>
              </w:rPr>
              <w:t>GB50016-2014</w:t>
            </w:r>
            <w:r>
              <w:rPr>
                <w:rFonts w:hint="eastAsia" w:ascii="仿宋_GB2312" w:hAnsi="仿宋_GB2312" w:cs="仿宋_GB2312"/>
                <w:color w:val="000000"/>
                <w:kern w:val="0"/>
                <w:sz w:val="20"/>
                <w:szCs w:val="20"/>
                <w:lang w:eastAsia="zh-CN" w:bidi="ar"/>
              </w:rPr>
              <w:t>）</w:t>
            </w:r>
            <w:r>
              <w:rPr>
                <w:rFonts w:hint="eastAsia" w:ascii="仿宋_GB2312" w:hAnsi="仿宋_GB2312" w:cs="仿宋_GB2312"/>
                <w:color w:val="000000"/>
                <w:kern w:val="0"/>
                <w:sz w:val="20"/>
                <w:szCs w:val="20"/>
                <w:lang w:bidi="ar"/>
              </w:rPr>
              <w:t>第3.3.9条</w:t>
            </w:r>
            <w:r>
              <w:rPr>
                <w:rFonts w:hint="eastAsia" w:ascii="仿宋_GB2312" w:hAnsi="仿宋_GB2312" w:cs="仿宋_GB2312"/>
                <w:color w:val="000000"/>
                <w:kern w:val="0"/>
                <w:sz w:val="20"/>
                <w:szCs w:val="20"/>
                <w:lang w:eastAsia="zh-CN" w:bidi="ar"/>
              </w:rPr>
              <w:t>；</w:t>
            </w:r>
            <w:r>
              <w:rPr>
                <w:rFonts w:hint="eastAsia" w:ascii="仿宋_GB2312" w:hAnsi="仿宋_GB2312" w:cs="仿宋_GB2312"/>
                <w:color w:val="000000"/>
                <w:kern w:val="0"/>
                <w:sz w:val="20"/>
                <w:szCs w:val="20"/>
                <w:lang w:bidi="ar"/>
              </w:rPr>
              <w:br w:type="textWrapping"/>
            </w:r>
            <w:r>
              <w:rPr>
                <w:rFonts w:hint="eastAsia" w:ascii="仿宋_GB2312" w:hAnsi="仿宋_GB2312" w:cs="仿宋_GB2312"/>
                <w:color w:val="000000"/>
                <w:kern w:val="0"/>
                <w:sz w:val="20"/>
                <w:szCs w:val="20"/>
                <w:lang w:bidi="ar"/>
              </w:rPr>
              <w:t>《安全生产等级评定技术规范 第2部分：安全生产通用要求》（DB11/T 1322.2-2017）第3.8.1.5条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val="en-US" w:eastAsia="zh-CN"/>
              </w:rPr>
            </w:pPr>
            <w:r>
              <w:rPr>
                <w:rFonts w:hint="eastAsia" w:ascii="仿宋_GB2312" w:hAnsi="等线"/>
                <w:color w:val="000000"/>
                <w:sz w:val="20"/>
                <w:szCs w:val="20"/>
              </w:rPr>
              <w:t>14.4.0</w:t>
            </w:r>
            <w:r>
              <w:rPr>
                <w:rFonts w:hint="eastAsia" w:ascii="仿宋_GB2312" w:hAnsi="仿宋_GB2312" w:cs="仿宋_GB2312"/>
                <w:color w:val="000000"/>
                <w:sz w:val="20"/>
                <w:szCs w:val="20"/>
              </w:rPr>
              <w:t>2.04</w:t>
            </w:r>
            <w:r>
              <w:rPr>
                <w:rFonts w:hint="eastAsia" w:ascii="仿宋_GB2312" w:hAnsi="仿宋_GB2312" w:cs="仿宋_GB2312"/>
                <w:color w:val="000000"/>
                <w:sz w:val="20"/>
                <w:szCs w:val="20"/>
                <w:lang w:val="en-US" w:eastAsia="zh-CN"/>
              </w:rPr>
              <w:t>7</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场所环境类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建（构）筑物类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易燃易爆性商品储存库房耐火等级低于二级。</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易燃易爆性商品储存库房耐火等级不低于二级。</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《易燃易爆性商品储存养护技术条件》（GB 17914-2013）第4.2节</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val="en-US" w:eastAsia="zh-CN"/>
              </w:rPr>
            </w:pPr>
            <w:r>
              <w:rPr>
                <w:rFonts w:hint="eastAsia" w:ascii="仿宋_GB2312" w:hAnsi="仿宋_GB2312" w:cs="仿宋_GB2312"/>
                <w:color w:val="000000"/>
                <w:sz w:val="20"/>
                <w:szCs w:val="20"/>
              </w:rPr>
              <w:t>14.2.12.04</w:t>
            </w:r>
            <w:r>
              <w:rPr>
                <w:rFonts w:hint="eastAsia" w:ascii="仿宋_GB2312" w:hAnsi="仿宋_GB2312" w:cs="仿宋_GB2312"/>
                <w:color w:val="000000"/>
                <w:sz w:val="20"/>
                <w:szCs w:val="20"/>
                <w:lang w:val="en-US" w:eastAsia="zh-CN"/>
              </w:rPr>
              <w:t>8</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需要低温储存的易燃易爆化学品存放在专用防爆型冰箱内。</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需要低温储存的易燃易爆化学品应存放在专用防爆型冰箱内。</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《危险化学品储存场所建设及储存安全要求》（DB11/</w:t>
            </w:r>
            <w:r>
              <w:rPr>
                <w:rFonts w:hint="eastAsia" w:ascii="仿宋_GB2312" w:hAnsi="仿宋_GB2312" w:cs="仿宋_GB2312"/>
                <w:color w:val="000000"/>
                <w:kern w:val="0"/>
                <w:sz w:val="20"/>
                <w:szCs w:val="20"/>
                <w:lang w:val="en-US" w:eastAsia="zh-CN" w:bidi="ar"/>
              </w:rPr>
              <w:t>T</w:t>
            </w:r>
            <w:r>
              <w:rPr>
                <w:rFonts w:hint="eastAsia" w:ascii="仿宋_GB2312" w:hAnsi="仿宋_GB2312" w:cs="仿宋_GB2312"/>
                <w:color w:val="000000"/>
                <w:kern w:val="0"/>
                <w:sz w:val="20"/>
                <w:szCs w:val="20"/>
                <w:lang w:bidi="ar"/>
              </w:rPr>
              <w:t xml:space="preserve"> 755）第5.1.1.10条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359" w:type="pct"/>
            <w:tcBorders>
              <w:tl2br w:val="nil"/>
              <w:tr2bl w:val="nil"/>
            </w:tcBorders>
            <w:noWrap/>
            <w:vAlign w:val="center"/>
          </w:tcPr>
          <w:p>
            <w:pPr>
              <w:adjustRightInd w:val="0"/>
              <w:snapToGrid w:val="0"/>
              <w:spacing w:after="0" w:line="240" w:lineRule="auto"/>
              <w:jc w:val="center"/>
              <w:rPr>
                <w:rFonts w:hint="default" w:ascii="仿宋_GB2312" w:hAnsi="仿宋_GB2312" w:eastAsia="仿宋_GB2312" w:cs="仿宋_GB2312"/>
                <w:color w:val="000000"/>
                <w:sz w:val="20"/>
                <w:szCs w:val="20"/>
                <w:lang w:val="en-US" w:eastAsia="zh-CN"/>
              </w:rPr>
            </w:pPr>
            <w:r>
              <w:rPr>
                <w:rFonts w:hint="eastAsia" w:ascii="仿宋_GB2312" w:hAnsi="等线"/>
                <w:color w:val="000000"/>
                <w:sz w:val="20"/>
                <w:szCs w:val="20"/>
              </w:rPr>
              <w:t>14.4.0</w:t>
            </w:r>
            <w:r>
              <w:rPr>
                <w:rFonts w:hint="eastAsia" w:ascii="仿宋_GB2312" w:hAnsi="仿宋_GB2312" w:cs="仿宋_GB2312"/>
                <w:color w:val="000000"/>
                <w:sz w:val="20"/>
                <w:szCs w:val="20"/>
              </w:rPr>
              <w:t>2.0</w:t>
            </w:r>
            <w:r>
              <w:rPr>
                <w:rFonts w:hint="eastAsia" w:ascii="仿宋_GB2312" w:hAnsi="仿宋_GB2312" w:cs="仿宋_GB2312"/>
                <w:color w:val="000000"/>
                <w:sz w:val="20"/>
                <w:szCs w:val="20"/>
                <w:lang w:val="en-US" w:eastAsia="zh-CN"/>
              </w:rPr>
              <w:t>49</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场所环境类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建（构）筑物类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bookmarkStart w:id="35" w:name="OLE_LINK20"/>
            <w:r>
              <w:rPr>
                <w:rFonts w:hint="eastAsia" w:ascii="仿宋_GB2312" w:hAnsi="仿宋_GB2312" w:cs="仿宋_GB2312"/>
                <w:color w:val="000000"/>
                <w:kern w:val="0"/>
                <w:sz w:val="20"/>
                <w:szCs w:val="20"/>
                <w:lang w:bidi="ar"/>
              </w:rPr>
              <w:t>下列情况未设置专用仓库</w:t>
            </w:r>
            <w:bookmarkEnd w:id="35"/>
            <w:r>
              <w:rPr>
                <w:rFonts w:hint="eastAsia" w:ascii="仿宋_GB2312" w:hAnsi="仿宋_GB2312" w:cs="仿宋_GB2312"/>
                <w:color w:val="000000"/>
                <w:kern w:val="0"/>
                <w:sz w:val="20"/>
                <w:szCs w:val="20"/>
                <w:lang w:bidi="ar"/>
              </w:rPr>
              <w:t>：（1）易燃液体类危险化学品存放总量0.5 t 以上；（2）氧化性物质和有机过氧化物类危险化学品存放总量0.5 t以上；（3）易燃气体存放总量36 Nm3（如工作压力15 MPa时相当于40 L的6瓶）以上（4）腐蚀类危险化学品存放总量1 t以上；（5）毒性气体；（6）非易燃无毒气体存放总量60 Nm3（如工作压力15 MPa 时相当于40 L 的10 瓶）以上。</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下列情况应设置专用仓库：（1）易燃液体类危险化学品存放总量0.5 t 以上；（2）氧化性物质和有机过氧化物类危险化学品存放总量0.5 t以上；（3）易燃气体存放总量36 Nm3（如工作压力15 MPa时相当于40 L的6瓶）以上（4）腐蚀类危险化学品存放总量1 t以上；（5）毒性气体；（6）非易燃无毒气体存放总量60 Nm3（如工作压力15 MPa 时相当于40 L 的10 瓶）以上。</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《安全生产等级评定技术规范 第2部分：安全生产通用要求》（DB11/T 1322.2-2017）第3.8.1.7条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2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val="en-US" w:eastAsia="zh-CN"/>
              </w:rPr>
            </w:pPr>
            <w:r>
              <w:rPr>
                <w:rFonts w:hint="eastAsia" w:ascii="仿宋_GB2312" w:hAnsi="等线"/>
                <w:color w:val="000000"/>
                <w:sz w:val="20"/>
                <w:szCs w:val="20"/>
              </w:rPr>
              <w:t>14.4.0</w:t>
            </w:r>
            <w:r>
              <w:rPr>
                <w:rFonts w:hint="eastAsia" w:ascii="仿宋_GB2312" w:hAnsi="仿宋_GB2312" w:cs="仿宋_GB2312"/>
                <w:color w:val="000000"/>
                <w:sz w:val="20"/>
                <w:szCs w:val="20"/>
              </w:rPr>
              <w:t>2.05</w:t>
            </w:r>
            <w:r>
              <w:rPr>
                <w:rFonts w:hint="eastAsia" w:ascii="仿宋_GB2312" w:hAnsi="仿宋_GB2312" w:cs="仿宋_GB2312"/>
                <w:color w:val="000000"/>
                <w:sz w:val="20"/>
                <w:szCs w:val="20"/>
                <w:lang w:val="en-US" w:eastAsia="zh-CN"/>
              </w:rPr>
              <w:t>0</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场所环境类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建（构）筑物类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下列情况未设置专用储存室：（1）易燃液体类危险化学品存放总量0.5 t 以下或不超过一昼夜使用量；（2）氧化性物质和有机过氧化物类危险化学品存放总量0.5 t以下或不超过一昼夜使用量；（3）腐蚀类危险化学品存放总量1 t以下或不超过一昼夜使用量。</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下列情况应设置专用储存室：（1）易燃液体类危险化学品存放总量0.5 t 以下或不超过一昼夜使用量；（2）氧化性物质和有机过氧化物类危险化学品存放总量0.5 t以下或不超过一昼夜使用量；（3）腐蚀类危险化学品存放总量1 t以下或不超过一昼夜使用量。</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《安全生产等级评定技术规范 第2部分：安全生产通用要求》（DB11/T 1322.2-2017）第3.8.1.8条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5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val="en-US" w:eastAsia="zh-CN"/>
              </w:rPr>
            </w:pPr>
            <w:r>
              <w:rPr>
                <w:rFonts w:hint="eastAsia" w:ascii="仿宋_GB2312" w:hAnsi="等线"/>
                <w:color w:val="000000"/>
                <w:sz w:val="20"/>
                <w:szCs w:val="20"/>
              </w:rPr>
              <w:t>14.4.0</w:t>
            </w:r>
            <w:r>
              <w:rPr>
                <w:rFonts w:hint="eastAsia" w:ascii="仿宋_GB2312" w:hAnsi="仿宋_GB2312" w:cs="仿宋_GB2312"/>
                <w:color w:val="000000"/>
                <w:sz w:val="20"/>
                <w:szCs w:val="20"/>
              </w:rPr>
              <w:t>2.05</w:t>
            </w:r>
            <w:r>
              <w:rPr>
                <w:rFonts w:hint="eastAsia" w:ascii="仿宋_GB2312" w:hAnsi="仿宋_GB2312" w:cs="仿宋_GB2312"/>
                <w:color w:val="000000"/>
                <w:sz w:val="20"/>
                <w:szCs w:val="20"/>
                <w:lang w:val="en-US" w:eastAsia="zh-CN"/>
              </w:rPr>
              <w:t>1</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场所环境类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建（构）筑物类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下列情况未设置气瓶间：（1）易燃气体存放总量36 Nm3（如工作压力15 MPa时相当于40 L 的6 瓶）以下或不超过一昼夜使用量；（2）非易燃无毒气体存放总量60 Nm3（如工作压力15 MPa 时相当于40 L 的10 瓶）以下或不超过一昼夜使用量。</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下列情况应设置气瓶间：（1）易燃气体存放总量36 Nm3（如工作压力15 MPa时相当于40 L 的6 瓶）以下或不超过一昼夜使用量；（2）非易燃无毒气体存放总量60 Nm3（如工作压力15 MPa 时相当于40 L 的10 瓶）以下或不超过一昼夜使用量。</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《安全生产等级评定技术规范 第2部分：安全生产通用要求》（DB11/T 1322.2-2017）第3.8.1.9条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val="en-US" w:eastAsia="zh-CN"/>
              </w:rPr>
            </w:pPr>
            <w:r>
              <w:rPr>
                <w:rFonts w:hint="eastAsia" w:ascii="仿宋_GB2312" w:hAnsi="等线"/>
                <w:color w:val="000000"/>
                <w:sz w:val="20"/>
                <w:szCs w:val="20"/>
              </w:rPr>
              <w:t>14.2.</w:t>
            </w:r>
            <w:r>
              <w:rPr>
                <w:rFonts w:hint="eastAsia" w:ascii="仿宋_GB2312" w:hAnsi="仿宋_GB2312" w:cs="仿宋_GB2312"/>
                <w:color w:val="000000"/>
                <w:sz w:val="20"/>
                <w:szCs w:val="20"/>
              </w:rPr>
              <w:t>12.05</w:t>
            </w:r>
            <w:r>
              <w:rPr>
                <w:rFonts w:hint="eastAsia" w:ascii="仿宋_GB2312" w:hAnsi="仿宋_GB2312" w:cs="仿宋_GB2312"/>
                <w:color w:val="000000"/>
                <w:sz w:val="20"/>
                <w:szCs w:val="20"/>
                <w:lang w:val="en-US" w:eastAsia="zh-CN"/>
              </w:rPr>
              <w:t>2</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在不违反危险化学品储存禁忌规定的情况下，单一储存场所内存储的危险化学品为多品种时，按照公式计算，若式中a的值小于1时，未设置专用储存室或气瓶间；若式中a的值大于等于1时，未设置专用仓库。a = q1/Q1 + q2/Q2 + ...+ qn/Qn ......式中：q1，q2，…，qn——每类危险化学品的实际存放量；Q1，Q2，…，Qn——每类危险化学品相对的最大存放量。</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在不违反危险化学品储存禁忌规定的情况下，单一储存场所内存储的危险化学品为多品种时，按照下式计算，若式中a的值小于1时，应设置专用储存室或气瓶间；若式中a的值大于等于1时，应设置专用仓库。a = q1/Q1 + q2/Q2 + ...+ qn/Qn ...... （1）式中：q1，q2，…，qn——每类危险化学品的实际存放量；Q1，Q2，…，Qn——每类危险化学品相对应的最大存放量。</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《安全生产等级评定技术规范 第2部分：安全生产通用要求》（DB11/T 1322.2-2017）第3.8.1.10条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val="en-US" w:eastAsia="zh-CN"/>
              </w:rPr>
            </w:pPr>
            <w:r>
              <w:rPr>
                <w:rFonts w:hint="eastAsia" w:ascii="仿宋_GB2312" w:hAnsi="等线"/>
                <w:color w:val="000000"/>
                <w:sz w:val="20"/>
                <w:szCs w:val="20"/>
              </w:rPr>
              <w:t>14.2.</w:t>
            </w:r>
            <w:r>
              <w:rPr>
                <w:rFonts w:hint="eastAsia" w:ascii="仿宋_GB2312" w:hAnsi="仿宋_GB2312" w:cs="仿宋_GB2312"/>
                <w:color w:val="000000"/>
                <w:sz w:val="20"/>
                <w:szCs w:val="20"/>
              </w:rPr>
              <w:t>12.05</w:t>
            </w:r>
            <w:r>
              <w:rPr>
                <w:rFonts w:hint="eastAsia" w:ascii="仿宋_GB2312" w:hAnsi="仿宋_GB2312" w:cs="仿宋_GB2312"/>
                <w:color w:val="000000"/>
                <w:sz w:val="20"/>
                <w:szCs w:val="20"/>
                <w:lang w:val="en-US" w:eastAsia="zh-CN"/>
              </w:rPr>
              <w:t>3</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专用储存室内储存液体危险化学品的单一包装超过50L或50kg。</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专用储存室内储存液体危险化学品的单一包装不宜超过50L或50kg。</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《安全生产等级评定技术规范 第2部分：安全生产通用要求》（DB11/T 1322.2-2017）第3.8.1.11条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val="en-US" w:eastAsia="zh-CN"/>
              </w:rPr>
            </w:pPr>
            <w:r>
              <w:rPr>
                <w:rFonts w:hint="eastAsia" w:ascii="仿宋_GB2312" w:hAnsi="仿宋_GB2312" w:cs="仿宋_GB2312"/>
                <w:color w:val="000000"/>
                <w:sz w:val="20"/>
                <w:szCs w:val="20"/>
              </w:rPr>
              <w:t>14.4.03.05</w:t>
            </w:r>
            <w:r>
              <w:rPr>
                <w:rFonts w:hint="eastAsia" w:ascii="仿宋_GB2312" w:hAnsi="仿宋_GB2312" w:cs="仿宋_GB2312"/>
                <w:color w:val="000000"/>
                <w:sz w:val="20"/>
                <w:szCs w:val="20"/>
                <w:lang w:val="en-US" w:eastAsia="zh-CN"/>
              </w:rPr>
              <w:t>4</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场所环境类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标志及标识类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危险化学品储存场所未由专人负责管理。储存场所内未张贴单位安全部门负责人、安全责任人、应急中控室、急救室的电话和消防队、医院、公安局等应急服务机构地址和电话。</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危险化学品储存场所应由专人负责管理。储存场所内应张贴单位安全部门负责人、安全责任人、应急中控室、急救室的电话和消防队、医院、公安局等应急服务机构地址和电话。</w:t>
            </w:r>
          </w:p>
        </w:tc>
        <w:tc>
          <w:tcPr>
            <w:tcW w:w="1369" w:type="pct"/>
            <w:tcBorders>
              <w:tl2br w:val="nil"/>
              <w:tr2bl w:val="nil"/>
            </w:tcBorders>
            <w:vAlign w:val="center"/>
          </w:tcPr>
          <w:p>
            <w:pPr>
              <w:adjustRightInd w:val="0"/>
              <w:snapToGrid w:val="0"/>
              <w:spacing w:after="0" w:line="240" w:lineRule="auto"/>
              <w:jc w:val="left"/>
              <w:rPr>
                <w:rFonts w:hint="eastAsia" w:ascii="仿宋_GB2312" w:hAnsi="仿宋_GB2312" w:eastAsia="仿宋_GB2312" w:cs="仿宋_GB2312"/>
                <w:color w:val="000000"/>
                <w:kern w:val="0"/>
                <w:sz w:val="20"/>
                <w:szCs w:val="20"/>
                <w:lang w:eastAsia="zh-CN" w:bidi="ar"/>
              </w:rPr>
            </w:pPr>
            <w:r>
              <w:rPr>
                <w:rFonts w:hint="eastAsia" w:ascii="仿宋_GB2312" w:hAnsi="仿宋_GB2312" w:cs="仿宋_GB2312"/>
                <w:color w:val="000000"/>
                <w:kern w:val="0"/>
                <w:sz w:val="20"/>
                <w:szCs w:val="20"/>
                <w:lang w:bidi="ar"/>
              </w:rPr>
              <w:t>《中华人民共和国危险化学品安全法》第四十一条</w:t>
            </w:r>
            <w:r>
              <w:rPr>
                <w:rFonts w:hint="eastAsia" w:ascii="仿宋_GB2312" w:hAnsi="仿宋_GB2312" w:cs="仿宋_GB2312"/>
                <w:color w:val="000000"/>
                <w:kern w:val="0"/>
                <w:sz w:val="20"/>
                <w:szCs w:val="20"/>
                <w:lang w:eastAsia="zh-CN" w:bidi="ar"/>
              </w:rPr>
              <w:t>；</w:t>
            </w:r>
          </w:p>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《安全生产等级评定技术规范 第2部分：安全生产通用要求》（DB11/T 1322.2-2017）第3.8.1.12条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val="en-US" w:eastAsia="zh-CN"/>
              </w:rPr>
            </w:pPr>
            <w:r>
              <w:rPr>
                <w:rFonts w:hint="eastAsia" w:ascii="仿宋_GB2312" w:hAnsi="仿宋_GB2312" w:cs="仿宋_GB2312"/>
                <w:color w:val="000000"/>
                <w:sz w:val="20"/>
                <w:szCs w:val="20"/>
              </w:rPr>
              <w:t>14.2.07.05</w:t>
            </w:r>
            <w:r>
              <w:rPr>
                <w:rFonts w:hint="eastAsia" w:ascii="仿宋_GB2312" w:hAnsi="仿宋_GB2312" w:cs="仿宋_GB2312"/>
                <w:color w:val="000000"/>
                <w:sz w:val="20"/>
                <w:szCs w:val="20"/>
                <w:lang w:val="en-US" w:eastAsia="zh-CN"/>
              </w:rPr>
              <w:t>5</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kern w:val="0"/>
                <w:sz w:val="20"/>
                <w:szCs w:val="20"/>
                <w:lang w:bidi="ar"/>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kern w:val="0"/>
                <w:sz w:val="20"/>
                <w:szCs w:val="20"/>
                <w:lang w:bidi="ar"/>
              </w:rPr>
            </w:pPr>
            <w:r>
              <w:rPr>
                <w:rFonts w:hint="eastAsia" w:ascii="仿宋_GB2312" w:hAnsi="仿宋_GB2312" w:cs="仿宋_GB2312"/>
                <w:color w:val="000000"/>
                <w:kern w:val="0"/>
                <w:sz w:val="20"/>
                <w:szCs w:val="20"/>
                <w:lang w:bidi="ar"/>
              </w:rPr>
              <w:t>通用设备类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kern w:val="0"/>
                <w:sz w:val="20"/>
                <w:szCs w:val="20"/>
                <w:lang w:bidi="ar"/>
              </w:rPr>
            </w:pPr>
            <w:r>
              <w:rPr>
                <w:rFonts w:hint="eastAsia" w:ascii="仿宋_GB2312" w:hAnsi="仿宋_GB2312" w:cs="仿宋_GB2312"/>
                <w:color w:val="000000"/>
                <w:kern w:val="0"/>
                <w:sz w:val="20"/>
                <w:szCs w:val="20"/>
                <w:lang w:bidi="ar"/>
              </w:rPr>
              <w:t>储存可能散发易燃、毒性气体或蒸汽的危险化学品专用储存室和气瓶间未设置防爆型通风设施，机械通风正常通风换气次数少于6 次/h，事故排风换气次数少于12 次/h；未在专用储存室和气瓶间外设置事故通风紧急按钮。</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kern w:val="0"/>
                <w:sz w:val="20"/>
                <w:szCs w:val="20"/>
                <w:lang w:bidi="ar"/>
              </w:rPr>
            </w:pPr>
            <w:r>
              <w:rPr>
                <w:rFonts w:hint="eastAsia" w:ascii="仿宋_GB2312" w:hAnsi="仿宋_GB2312" w:cs="仿宋_GB2312"/>
                <w:color w:val="000000"/>
                <w:kern w:val="0"/>
                <w:sz w:val="20"/>
                <w:szCs w:val="20"/>
                <w:lang w:bidi="ar"/>
              </w:rPr>
              <w:t>储存可能散发易燃、毒性气体或蒸汽的危险化学品专用储存室和气瓶间应设置防爆型通风设施，机械通风正常通风换气次数不少于6 次/h，事故排风换气次数不应少于12 次/h；并应在专用储存室和气瓶间外设置事故通风紧急按钮。</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kern w:val="0"/>
                <w:sz w:val="20"/>
                <w:szCs w:val="20"/>
                <w:lang w:bidi="ar"/>
              </w:rPr>
            </w:pPr>
            <w:r>
              <w:rPr>
                <w:rFonts w:hint="eastAsia" w:ascii="仿宋_GB2312" w:hAnsi="仿宋_GB2312" w:cs="仿宋_GB2312"/>
                <w:color w:val="000000"/>
                <w:kern w:val="0"/>
                <w:sz w:val="20"/>
                <w:szCs w:val="20"/>
                <w:lang w:bidi="ar"/>
              </w:rPr>
              <w:t>《安全生产等级评定技术规范 第2部分：安全生产通用要求》（DB11/T 1322.2-2017）3.8.4.6条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val="en-US" w:eastAsia="zh-CN"/>
              </w:rPr>
            </w:pPr>
            <w:r>
              <w:rPr>
                <w:rFonts w:hint="eastAsia" w:ascii="仿宋_GB2312" w:hAnsi="仿宋_GB2312" w:cs="仿宋_GB2312"/>
                <w:color w:val="000000"/>
                <w:sz w:val="20"/>
                <w:szCs w:val="20"/>
              </w:rPr>
              <w:t>14.4.03.05</w:t>
            </w:r>
            <w:r>
              <w:rPr>
                <w:rFonts w:hint="eastAsia" w:ascii="仿宋_GB2312" w:hAnsi="仿宋_GB2312" w:cs="仿宋_GB2312"/>
                <w:color w:val="000000"/>
                <w:sz w:val="20"/>
                <w:szCs w:val="20"/>
                <w:lang w:val="en-US" w:eastAsia="zh-CN"/>
              </w:rPr>
              <w:t>6</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场所环境类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标志及标识类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未在危险化学品储存场所和使用场所的显著位置张贴或悬挂危险化学品岗位安全操作规程和现场处置方案。</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应在危险化学品储存场所和使用场所的显著位置张贴或悬挂危险化学品岗位安全操作规程和现场处置方案。</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《安全生产等级评定技术规范 第2部分：安全生产通用要求》（DB11/T 1322.2-2017）第3.8.1.14条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val="en-US" w:eastAsia="zh-CN"/>
              </w:rPr>
            </w:pPr>
            <w:r>
              <w:rPr>
                <w:rFonts w:hint="eastAsia" w:ascii="仿宋_GB2312" w:hAnsi="仿宋_GB2312" w:cs="仿宋_GB2312"/>
                <w:color w:val="000000"/>
                <w:sz w:val="20"/>
                <w:szCs w:val="20"/>
              </w:rPr>
              <w:t>14.2.12.05</w:t>
            </w:r>
            <w:r>
              <w:rPr>
                <w:rFonts w:hint="eastAsia" w:ascii="仿宋_GB2312" w:hAnsi="仿宋_GB2312" w:cs="仿宋_GB2312"/>
                <w:color w:val="000000"/>
                <w:sz w:val="20"/>
                <w:szCs w:val="20"/>
                <w:lang w:val="en-US" w:eastAsia="zh-CN"/>
              </w:rPr>
              <w:t>7</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危险化学品储存、使用等场所未保留与所储存、使用危险化学品种类相符的化学品安全标签和安全技术说明书。安全标签未粘贴、挂栓或喷印在包装或容器的明显位置。</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危险化学品储存、使用等场所应保留与所储存、使用危险化学品种类相符的化学品安全标签和安全技术说明书。安全标签应粘贴、挂栓或喷印在包装或容器的明显位置。</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default" w:ascii="仿宋_GB2312" w:hAnsi="仿宋_GB2312" w:cs="仿宋_GB2312"/>
                <w:color w:val="000000"/>
                <w:kern w:val="0"/>
                <w:sz w:val="20"/>
                <w:szCs w:val="20"/>
                <w:lang w:val="en" w:bidi="ar"/>
              </w:rPr>
            </w:pPr>
            <w:r>
              <w:rPr>
                <w:rFonts w:hint="eastAsia" w:ascii="仿宋_GB2312" w:hAnsi="仿宋_GB2312" w:cs="仿宋_GB2312"/>
                <w:color w:val="000000"/>
                <w:kern w:val="0"/>
                <w:sz w:val="20"/>
                <w:szCs w:val="20"/>
                <w:lang w:bidi="ar"/>
              </w:rPr>
              <w:t>《危险化学品储存场所建设及储存安全要求》</w:t>
            </w:r>
            <w:r>
              <w:rPr>
                <w:rFonts w:hint="eastAsia" w:ascii="仿宋_GB2312" w:hAnsi="仿宋_GB2312" w:cs="仿宋_GB2312"/>
                <w:color w:val="000000"/>
                <w:kern w:val="0"/>
                <w:sz w:val="20"/>
                <w:szCs w:val="20"/>
                <w:lang w:eastAsia="zh-CN" w:bidi="ar"/>
              </w:rPr>
              <w:t>（DB11/T 755）</w:t>
            </w:r>
            <w:r>
              <w:rPr>
                <w:rFonts w:hint="eastAsia" w:ascii="仿宋_GB2312" w:hAnsi="仿宋_GB2312" w:cs="仿宋_GB2312"/>
                <w:color w:val="000000"/>
                <w:kern w:val="0"/>
                <w:sz w:val="20"/>
                <w:szCs w:val="20"/>
                <w:lang w:bidi="ar"/>
              </w:rPr>
              <w:t>第5.1.2.8条</w:t>
            </w:r>
            <w:r>
              <w:rPr>
                <w:rFonts w:hint="default" w:ascii="仿宋_GB2312" w:hAnsi="仿宋_GB2312" w:cs="仿宋_GB2312"/>
                <w:color w:val="000000"/>
                <w:kern w:val="0"/>
                <w:sz w:val="20"/>
                <w:szCs w:val="20"/>
                <w:lang w:val="en" w:bidi="ar"/>
              </w:rPr>
              <w:t>;</w:t>
            </w:r>
            <w:r>
              <w:rPr>
                <w:rFonts w:hint="eastAsia" w:ascii="仿宋_GB2312" w:hAnsi="仿宋_GB2312" w:cs="仿宋_GB2312"/>
                <w:color w:val="000000"/>
                <w:kern w:val="0"/>
                <w:sz w:val="20"/>
                <w:szCs w:val="20"/>
                <w:lang w:bidi="ar"/>
              </w:rPr>
              <w:br w:type="textWrapping"/>
            </w:r>
            <w:r>
              <w:rPr>
                <w:rFonts w:hint="eastAsia" w:ascii="仿宋_GB2312" w:hAnsi="仿宋_GB2312" w:cs="仿宋_GB2312"/>
                <w:color w:val="000000"/>
                <w:kern w:val="0"/>
                <w:sz w:val="20"/>
                <w:szCs w:val="20"/>
                <w:lang w:bidi="ar"/>
              </w:rPr>
              <w:t>《化学品安全技术说明书 内容和项目顺序》（GB/T 16483-2008）第4.1条、第6.1.1条</w:t>
            </w:r>
            <w:r>
              <w:rPr>
                <w:rFonts w:hint="default" w:ascii="仿宋_GB2312" w:hAnsi="仿宋_GB2312" w:cs="仿宋_GB2312"/>
                <w:color w:val="000000"/>
                <w:kern w:val="0"/>
                <w:sz w:val="20"/>
                <w:szCs w:val="20"/>
                <w:lang w:val="en" w:bidi="ar"/>
              </w:rPr>
              <w:t>;</w:t>
            </w:r>
            <w:r>
              <w:rPr>
                <w:rFonts w:hint="eastAsia" w:ascii="仿宋_GB2312" w:hAnsi="仿宋_GB2312" w:cs="仿宋_GB2312"/>
                <w:color w:val="000000"/>
                <w:kern w:val="0"/>
                <w:sz w:val="20"/>
                <w:szCs w:val="20"/>
                <w:lang w:bidi="ar"/>
              </w:rPr>
              <w:br w:type="textWrapping"/>
            </w:r>
            <w:r>
              <w:rPr>
                <w:rFonts w:hint="eastAsia" w:ascii="仿宋_GB2312" w:hAnsi="仿宋_GB2312" w:cs="仿宋_GB2312"/>
                <w:color w:val="000000"/>
                <w:kern w:val="0"/>
                <w:sz w:val="20"/>
                <w:szCs w:val="20"/>
                <w:lang w:bidi="ar"/>
              </w:rPr>
              <w:t>《化学品安全标签编写规定》（GB 15258-2009）第4.1条</w:t>
            </w:r>
            <w:r>
              <w:rPr>
                <w:rFonts w:hint="default" w:ascii="仿宋_GB2312" w:hAnsi="仿宋_GB2312" w:cs="仿宋_GB2312"/>
                <w:color w:val="000000"/>
                <w:kern w:val="0"/>
                <w:sz w:val="20"/>
                <w:szCs w:val="20"/>
                <w:lang w:val="en" w:bidi="ar"/>
              </w:rPr>
              <w:t>;</w:t>
            </w:r>
          </w:p>
          <w:p>
            <w:pPr>
              <w:adjustRightInd w:val="0"/>
              <w:snapToGrid w:val="0"/>
              <w:spacing w:after="0" w:line="240" w:lineRule="auto"/>
              <w:jc w:val="left"/>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《中华人民共和国危险化学品安全法》第五十一条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1"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val="en-US" w:eastAsia="zh-CN"/>
              </w:rPr>
            </w:pPr>
            <w:r>
              <w:rPr>
                <w:rFonts w:hint="eastAsia" w:ascii="仿宋_GB2312" w:hAnsi="仿宋_GB2312" w:cs="仿宋_GB2312"/>
                <w:color w:val="000000"/>
                <w:sz w:val="20"/>
                <w:szCs w:val="20"/>
              </w:rPr>
              <w:t>14.2.12.05</w:t>
            </w:r>
            <w:r>
              <w:rPr>
                <w:rFonts w:hint="eastAsia" w:ascii="仿宋_GB2312" w:hAnsi="仿宋_GB2312" w:cs="仿宋_GB2312"/>
                <w:color w:val="000000"/>
                <w:sz w:val="20"/>
                <w:szCs w:val="20"/>
                <w:lang w:val="en-US" w:eastAsia="zh-CN"/>
              </w:rPr>
              <w:t>8</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包装物、容器的材质以及危险化学品包装的型式、规格、方法和单件质量（重量），未与所包装的危险化学品的性质和用途相适应。随意更换危险化学品的储存包装，包括内包装和外包装。在危险化学品储存场所内对危险化学品进行分装、改装。</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包装物、容器的材质以及危险化学品包装的型式、规格、方法和单件质量（重量），应当与所包装的危险化学品的性质和用途相适应。不应随意更换危险化学品的储存包装，包括内包装和外包装。不应在危险化学品储存场所内对危险化学品进行分装、改装。</w:t>
            </w:r>
          </w:p>
        </w:tc>
        <w:tc>
          <w:tcPr>
            <w:tcW w:w="1369" w:type="pct"/>
            <w:tcBorders>
              <w:tl2br w:val="nil"/>
              <w:tr2bl w:val="nil"/>
            </w:tcBorders>
            <w:vAlign w:val="center"/>
          </w:tcPr>
          <w:p>
            <w:pPr>
              <w:widowControl/>
              <w:adjustRightInd w:val="0"/>
              <w:snapToGrid w:val="0"/>
              <w:spacing w:after="0" w:line="240" w:lineRule="auto"/>
              <w:jc w:val="left"/>
              <w:textAlignment w:val="center"/>
            </w:pPr>
            <w:r>
              <w:rPr>
                <w:rFonts w:hint="eastAsia" w:ascii="仿宋_GB2312" w:hAnsi="仿宋_GB2312" w:cs="仿宋_GB2312"/>
                <w:color w:val="000000"/>
                <w:sz w:val="20"/>
                <w:szCs w:val="20"/>
              </w:rPr>
              <w:t>《中华人民共和国危险化学品安全法》第三十二条、三十三条；</w:t>
            </w:r>
          </w:p>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《安全生产等级评定技术规范 第2部分：安全生产通用要求》（DB11/T 1322.2-2017）第3.8.1.16条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359" w:type="pct"/>
            <w:tcBorders>
              <w:tl2br w:val="nil"/>
              <w:tr2bl w:val="nil"/>
            </w:tcBorders>
            <w:noWrap/>
            <w:vAlign w:val="center"/>
          </w:tcPr>
          <w:p>
            <w:pPr>
              <w:adjustRightInd w:val="0"/>
              <w:snapToGrid w:val="0"/>
              <w:spacing w:after="0" w:line="240" w:lineRule="auto"/>
              <w:jc w:val="center"/>
              <w:rPr>
                <w:rFonts w:hint="default" w:ascii="仿宋_GB2312" w:hAnsi="仿宋_GB2312" w:eastAsia="仿宋_GB2312" w:cs="仿宋_GB2312"/>
                <w:color w:val="000000"/>
                <w:sz w:val="20"/>
                <w:szCs w:val="20"/>
                <w:lang w:val="en-US" w:eastAsia="zh-CN"/>
              </w:rPr>
            </w:pPr>
            <w:r>
              <w:rPr>
                <w:rFonts w:hint="eastAsia" w:ascii="仿宋_GB2312" w:hAnsi="仿宋_GB2312" w:cs="仿宋_GB2312"/>
                <w:color w:val="000000"/>
                <w:sz w:val="20"/>
                <w:szCs w:val="20"/>
              </w:rPr>
              <w:t>14.1.06.0</w:t>
            </w:r>
            <w:r>
              <w:rPr>
                <w:rFonts w:hint="eastAsia" w:ascii="仿宋_GB2312" w:hAnsi="仿宋_GB2312" w:cs="仿宋_GB2312"/>
                <w:color w:val="000000"/>
                <w:sz w:val="20"/>
                <w:szCs w:val="20"/>
                <w:lang w:val="en-US" w:eastAsia="zh-CN"/>
              </w:rPr>
              <w:t>59</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基础资料类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记录档案类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未建立危险化学品储存台账，在危险化学品储存场所内无有温湿度记录和安全检查记录。危险化学品出入储存场所时，未检验物品数量、包装等情况。</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应建立危险化学品储存台账，在危险化学品储存场所内应有温湿度记录和安全检查记录。危险化学品出入储存场所时，应检验物品数量、包装等情况。</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《危险化学品储存场所建设及储存安全要求》</w:t>
            </w:r>
            <w:r>
              <w:rPr>
                <w:rFonts w:hint="eastAsia" w:ascii="仿宋_GB2312" w:hAnsi="仿宋_GB2312" w:cs="仿宋_GB2312"/>
                <w:color w:val="000000"/>
                <w:kern w:val="0"/>
                <w:sz w:val="20"/>
                <w:szCs w:val="20"/>
                <w:lang w:eastAsia="zh-CN" w:bidi="ar"/>
              </w:rPr>
              <w:t>（DB11/T 755）</w:t>
            </w:r>
            <w:r>
              <w:rPr>
                <w:rFonts w:hint="eastAsia" w:ascii="仿宋_GB2312" w:hAnsi="仿宋_GB2312" w:cs="仿宋_GB2312"/>
                <w:color w:val="000000"/>
                <w:kern w:val="0"/>
                <w:sz w:val="20"/>
                <w:szCs w:val="20"/>
                <w:lang w:bidi="ar"/>
              </w:rPr>
              <w:t>第5.1.1.14条</w:t>
            </w:r>
            <w:r>
              <w:rPr>
                <w:rFonts w:hint="default" w:ascii="仿宋_GB2312" w:hAnsi="仿宋_GB2312" w:cs="仿宋_GB2312"/>
                <w:color w:val="000000"/>
                <w:kern w:val="0"/>
                <w:sz w:val="20"/>
                <w:szCs w:val="20"/>
                <w:lang w:val="en" w:bidi="ar"/>
              </w:rPr>
              <w:t>;</w:t>
            </w:r>
            <w:r>
              <w:rPr>
                <w:rFonts w:hint="eastAsia" w:ascii="仿宋_GB2312" w:hAnsi="仿宋_GB2312" w:cs="仿宋_GB2312"/>
                <w:color w:val="000000"/>
                <w:kern w:val="0"/>
                <w:sz w:val="20"/>
                <w:szCs w:val="20"/>
                <w:lang w:bidi="ar"/>
              </w:rPr>
              <w:br w:type="textWrapping"/>
            </w:r>
            <w:r>
              <w:rPr>
                <w:rFonts w:hint="eastAsia" w:ascii="仿宋_GB2312" w:hAnsi="仿宋_GB2312" w:cs="仿宋_GB2312"/>
                <w:color w:val="000000"/>
                <w:kern w:val="0"/>
                <w:sz w:val="20"/>
                <w:szCs w:val="20"/>
                <w:lang w:bidi="ar"/>
              </w:rPr>
              <w:t>《安全生产等级评定技术规范 第2部分：安全生产通用要求》（DB11/T 1322.2-2017）第3.8.1.17条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5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val="en-US" w:eastAsia="zh-CN"/>
              </w:rPr>
            </w:pPr>
            <w:r>
              <w:rPr>
                <w:rFonts w:hint="eastAsia" w:ascii="仿宋_GB2312" w:hAnsi="仿宋_GB2312" w:cs="仿宋_GB2312"/>
                <w:color w:val="000000"/>
                <w:sz w:val="20"/>
                <w:szCs w:val="20"/>
              </w:rPr>
              <w:t>14.2.12.06</w:t>
            </w:r>
            <w:r>
              <w:rPr>
                <w:rFonts w:hint="eastAsia" w:ascii="仿宋_GB2312" w:hAnsi="仿宋_GB2312" w:cs="仿宋_GB2312"/>
                <w:color w:val="000000"/>
                <w:sz w:val="20"/>
                <w:szCs w:val="20"/>
                <w:lang w:val="en-US" w:eastAsia="zh-CN"/>
              </w:rPr>
              <w:t>0</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未按危险化学品的危险性质分区、分类、分库（或分柜）存放，禁忌类危险化学品混合存放。凡能混存危险化学品，采用堆垛方式码放的，货垛与货垛之间，未留有1 m以上的距离，包装容器</w:t>
            </w:r>
            <w:r>
              <w:rPr>
                <w:rFonts w:hint="eastAsia" w:ascii="仿宋_GB2312" w:hAnsi="仿宋_GB2312" w:cs="仿宋_GB2312"/>
                <w:color w:val="000000"/>
                <w:kern w:val="0"/>
                <w:sz w:val="20"/>
                <w:szCs w:val="20"/>
                <w:lang w:eastAsia="zh-CN" w:bidi="ar"/>
              </w:rPr>
              <w:t>不</w:t>
            </w:r>
            <w:r>
              <w:rPr>
                <w:rFonts w:hint="eastAsia" w:ascii="仿宋_GB2312" w:hAnsi="仿宋_GB2312" w:cs="仿宋_GB2312"/>
                <w:color w:val="000000"/>
                <w:kern w:val="0"/>
                <w:sz w:val="20"/>
                <w:szCs w:val="20"/>
                <w:lang w:bidi="ar"/>
              </w:rPr>
              <w:t>完整。</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应按危险化学品的危险性质分区、分类、分库（或分柜）存放，禁忌类危险化学品不应混合存放。凡能混存危险化学品，采用堆垛方式码放的，货垛与货垛之间，应留有1 m以上的距离，包装容器应完整，两种物品不应发生接触。</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default" w:ascii="仿宋_GB2312" w:hAnsi="仿宋_GB2312" w:cs="仿宋_GB2312"/>
                <w:color w:val="000000"/>
                <w:kern w:val="0"/>
                <w:sz w:val="20"/>
                <w:szCs w:val="20"/>
                <w:lang w:val="en" w:bidi="ar"/>
              </w:rPr>
            </w:pPr>
            <w:r>
              <w:rPr>
                <w:rFonts w:hint="eastAsia" w:ascii="仿宋_GB2312" w:hAnsi="仿宋_GB2312" w:cs="仿宋_GB2312"/>
                <w:color w:val="000000"/>
                <w:kern w:val="0"/>
                <w:sz w:val="20"/>
                <w:szCs w:val="20"/>
                <w:lang w:bidi="ar"/>
              </w:rPr>
              <w:t>《危险化学品储存场所建设及储存安全要求》</w:t>
            </w:r>
            <w:r>
              <w:rPr>
                <w:rFonts w:hint="eastAsia" w:ascii="仿宋_GB2312" w:hAnsi="仿宋_GB2312" w:cs="仿宋_GB2312"/>
                <w:color w:val="000000"/>
                <w:kern w:val="0"/>
                <w:sz w:val="20"/>
                <w:szCs w:val="20"/>
                <w:lang w:eastAsia="zh-CN" w:bidi="ar"/>
              </w:rPr>
              <w:t>（DB11/T 755）</w:t>
            </w:r>
            <w:r>
              <w:rPr>
                <w:rFonts w:hint="eastAsia" w:ascii="仿宋_GB2312" w:hAnsi="仿宋_GB2312" w:cs="仿宋_GB2312"/>
                <w:color w:val="000000"/>
                <w:kern w:val="0"/>
                <w:sz w:val="20"/>
                <w:szCs w:val="20"/>
                <w:lang w:bidi="ar"/>
              </w:rPr>
              <w:t>第5.1.1.1条</w:t>
            </w:r>
            <w:r>
              <w:rPr>
                <w:rFonts w:hint="default" w:ascii="仿宋_GB2312" w:hAnsi="仿宋_GB2312" w:cs="仿宋_GB2312"/>
                <w:color w:val="000000"/>
                <w:kern w:val="0"/>
                <w:sz w:val="20"/>
                <w:szCs w:val="20"/>
                <w:lang w:val="en" w:bidi="ar"/>
              </w:rPr>
              <w:t>;</w:t>
            </w:r>
          </w:p>
          <w:p>
            <w:pPr>
              <w:widowControl/>
              <w:adjustRightInd w:val="0"/>
              <w:snapToGrid w:val="0"/>
              <w:spacing w:after="0" w:line="240" w:lineRule="auto"/>
              <w:jc w:val="left"/>
              <w:textAlignment w:val="center"/>
              <w:rPr>
                <w:rFonts w:hint="default" w:ascii="仿宋_GB2312" w:hAnsi="仿宋_GB2312" w:cs="仿宋_GB2312"/>
                <w:color w:val="000000"/>
                <w:kern w:val="0"/>
                <w:sz w:val="20"/>
                <w:szCs w:val="20"/>
                <w:lang w:val="en" w:bidi="ar"/>
              </w:rPr>
            </w:pPr>
            <w:r>
              <w:rPr>
                <w:rFonts w:hint="eastAsia" w:ascii="仿宋_GB2312" w:hAnsi="仿宋_GB2312" w:cs="仿宋_GB2312"/>
                <w:color w:val="000000"/>
                <w:kern w:val="0"/>
                <w:sz w:val="20"/>
                <w:szCs w:val="20"/>
                <w:lang w:bidi="ar"/>
              </w:rPr>
              <w:t>《危险化学品安全管理条例》第八十条</w:t>
            </w:r>
            <w:r>
              <w:rPr>
                <w:rFonts w:hint="default" w:ascii="仿宋_GB2312" w:hAnsi="仿宋_GB2312" w:cs="仿宋_GB2312"/>
                <w:color w:val="000000"/>
                <w:kern w:val="0"/>
                <w:sz w:val="20"/>
                <w:szCs w:val="20"/>
                <w:lang w:val="en" w:bidi="ar"/>
              </w:rPr>
              <w:t>;</w:t>
            </w:r>
          </w:p>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《安全生产等级评定技术规范 第2部分：安全生产通用要求》（DB11/T 1322.2-2017）第3.8.1.18条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5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val="en-US" w:eastAsia="zh-CN"/>
              </w:rPr>
            </w:pPr>
            <w:r>
              <w:rPr>
                <w:rFonts w:hint="eastAsia" w:ascii="仿宋_GB2312" w:hAnsi="仿宋_GB2312" w:cs="仿宋_GB2312"/>
                <w:color w:val="000000"/>
                <w:sz w:val="20"/>
                <w:szCs w:val="20"/>
              </w:rPr>
              <w:t>14.2.12.06</w:t>
            </w:r>
            <w:r>
              <w:rPr>
                <w:rFonts w:hint="eastAsia" w:ascii="仿宋_GB2312" w:hAnsi="仿宋_GB2312" w:cs="仿宋_GB2312"/>
                <w:color w:val="000000"/>
                <w:sz w:val="20"/>
                <w:szCs w:val="20"/>
                <w:lang w:val="en-US" w:eastAsia="zh-CN"/>
              </w:rPr>
              <w:t>1</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气瓶未按GB/T 16163和TSG 23中气体特性进行分类，并分区存放，对可燃性、氧化性的气体未分室存放。气瓶存放时未牢固地直立，</w:t>
            </w:r>
            <w:r>
              <w:rPr>
                <w:rFonts w:hint="eastAsia" w:ascii="仿宋_GB2312" w:hAnsi="仿宋_GB2312" w:cs="仿宋_GB2312"/>
                <w:color w:val="000000"/>
                <w:kern w:val="0"/>
                <w:sz w:val="20"/>
                <w:szCs w:val="20"/>
                <w:lang w:eastAsia="zh-CN" w:bidi="ar"/>
              </w:rPr>
              <w:t>未</w:t>
            </w:r>
            <w:r>
              <w:rPr>
                <w:rFonts w:hint="eastAsia" w:ascii="仿宋_GB2312" w:hAnsi="仿宋_GB2312" w:cs="仿宋_GB2312"/>
                <w:color w:val="000000"/>
                <w:kern w:val="0"/>
                <w:sz w:val="20"/>
                <w:szCs w:val="20"/>
                <w:lang w:bidi="ar"/>
              </w:rPr>
              <w:t>固定，</w:t>
            </w:r>
            <w:r>
              <w:rPr>
                <w:rFonts w:hint="eastAsia" w:ascii="仿宋_GB2312" w:hAnsi="仿宋_GB2312" w:cs="仿宋_GB2312"/>
                <w:color w:val="000000"/>
                <w:kern w:val="0"/>
                <w:sz w:val="20"/>
                <w:szCs w:val="20"/>
                <w:lang w:eastAsia="zh-CN" w:bidi="ar"/>
              </w:rPr>
              <w:t>无</w:t>
            </w:r>
            <w:r>
              <w:rPr>
                <w:rFonts w:hint="eastAsia" w:ascii="仿宋_GB2312" w:hAnsi="仿宋_GB2312" w:cs="仿宋_GB2312"/>
                <w:color w:val="000000"/>
                <w:kern w:val="0"/>
                <w:sz w:val="20"/>
                <w:szCs w:val="20"/>
                <w:lang w:bidi="ar"/>
              </w:rPr>
              <w:t>瓶帽</w:t>
            </w:r>
            <w:r>
              <w:rPr>
                <w:rFonts w:hint="eastAsia" w:ascii="仿宋_GB2312" w:hAnsi="仿宋_GB2312" w:cs="仿宋_GB2312"/>
                <w:color w:val="000000"/>
                <w:kern w:val="0"/>
                <w:sz w:val="20"/>
                <w:szCs w:val="20"/>
                <w:lang w:eastAsia="zh-CN" w:bidi="ar"/>
              </w:rPr>
              <w:t>、</w:t>
            </w:r>
            <w:r>
              <w:rPr>
                <w:rFonts w:hint="eastAsia" w:ascii="仿宋_GB2312" w:hAnsi="仿宋_GB2312" w:cs="仿宋_GB2312"/>
                <w:color w:val="000000"/>
                <w:kern w:val="0"/>
                <w:sz w:val="20"/>
                <w:szCs w:val="20"/>
                <w:lang w:bidi="ar"/>
              </w:rPr>
              <w:t>防震圈。空瓶与重瓶未分区存放，</w:t>
            </w:r>
            <w:r>
              <w:rPr>
                <w:rFonts w:hint="eastAsia" w:ascii="仿宋_GB2312" w:hAnsi="仿宋_GB2312" w:cs="仿宋_GB2312"/>
                <w:color w:val="000000"/>
                <w:kern w:val="0"/>
                <w:sz w:val="20"/>
                <w:szCs w:val="20"/>
                <w:lang w:eastAsia="zh-CN" w:bidi="ar"/>
              </w:rPr>
              <w:t>无</w:t>
            </w:r>
            <w:r>
              <w:rPr>
                <w:rFonts w:hint="eastAsia" w:ascii="仿宋_GB2312" w:hAnsi="仿宋_GB2312" w:cs="仿宋_GB2312"/>
                <w:color w:val="000000"/>
                <w:kern w:val="0"/>
                <w:sz w:val="20"/>
                <w:szCs w:val="20"/>
                <w:lang w:bidi="ar"/>
              </w:rPr>
              <w:t>分区标志。</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气瓶应按GB/T 16163和TSG 23中气体特性进行分类，并分区存放，对可燃性、氧化性的气体应分室存放。气瓶存放时应牢固地直立，并固定，盖上瓶帽，套好防震圈。空瓶与重瓶应分区存放，并有分区标志。</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《危险化学品储存场所建设及储存安全要求》</w:t>
            </w:r>
            <w:r>
              <w:rPr>
                <w:rFonts w:hint="eastAsia" w:ascii="仿宋_GB2312" w:hAnsi="仿宋_GB2312" w:cs="仿宋_GB2312"/>
                <w:color w:val="000000"/>
                <w:kern w:val="0"/>
                <w:sz w:val="20"/>
                <w:szCs w:val="20"/>
                <w:lang w:eastAsia="zh-CN" w:bidi="ar"/>
              </w:rPr>
              <w:t>（DB11/T 755）</w:t>
            </w:r>
            <w:r>
              <w:rPr>
                <w:rFonts w:hint="eastAsia" w:ascii="仿宋_GB2312" w:hAnsi="仿宋_GB2312" w:cs="仿宋_GB2312"/>
                <w:color w:val="000000"/>
                <w:kern w:val="0"/>
                <w:sz w:val="20"/>
                <w:szCs w:val="20"/>
                <w:lang w:bidi="ar"/>
              </w:rPr>
              <w:t>第4.4条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val="en-US" w:eastAsia="zh-CN"/>
              </w:rPr>
            </w:pPr>
            <w:r>
              <w:rPr>
                <w:rFonts w:hint="eastAsia" w:ascii="仿宋_GB2312" w:hAnsi="仿宋_GB2312" w:cs="仿宋_GB2312"/>
                <w:color w:val="000000"/>
                <w:sz w:val="20"/>
                <w:szCs w:val="20"/>
              </w:rPr>
              <w:t>14.2.12.06</w:t>
            </w:r>
            <w:r>
              <w:rPr>
                <w:rFonts w:hint="eastAsia" w:ascii="仿宋_GB2312" w:hAnsi="仿宋_GB2312" w:cs="仿宋_GB2312"/>
                <w:color w:val="000000"/>
                <w:sz w:val="20"/>
                <w:szCs w:val="20"/>
                <w:lang w:val="en-US" w:eastAsia="zh-CN"/>
              </w:rPr>
              <w:t>2</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易燃易爆危险化学品的储存未符合下列要求：（1）储存场所应干燥、易于通风、密闭和避光，并应安装避雷装置；库房内可能散发或泄漏可燃气体、可燃蒸汽的场所应安装可燃气体检测报警装置；气体浓度检测报警装置未与防爆通风机联动，其安装位置未符合标准要求。（2）易爆性危险化学品应储存于一级轻顶耐火建筑的库房内；低、中闪点液体、一级易燃固体、自燃物品、压缩气体和液化气体应储存于一级耐火建筑的库房内；遇湿易燃品、氧化剂和有机过氧化物应储存于一、二级耐火建筑的库房内；二级易燃固体、高闪点液体应储存于耐火等级不低于二级的库房内；易燃气体不应与助燃气体同库储存；（3）易爆性危险化学品应避免阳光直射、远离火源、电源及产生火花的环境。</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易燃易爆危险化学品的储存应符合下列要求：（1）储存场所应干燥、易于通风、密闭和避光，并应安装避雷装置；库房内可能散发或泄漏可燃气体、可燃蒸汽的场所应安装可燃气体检测报警装置；（2）易爆性危险化学品应储存于一级轻顶耐火建筑的库房内；低、中闪点液体、一级易燃固体、自燃物品、压缩气体和液化气体应储存于一级耐火建筑的库房内；遇湿易燃品、氧化剂和有机过氧化物应储存于一、二级耐火建筑的库房内；二级易燃固体、高闪点液体应储存于耐火等级不低于二级的库房内；易燃气体不应与助燃气体同库储存；（3）易爆性危险化学品应避免阳光直射、远离火源、电源及产生火花的环境。</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default" w:ascii="仿宋_GB2312" w:hAnsi="仿宋_GB2312" w:cs="仿宋_GB2312"/>
                <w:color w:val="000000"/>
                <w:kern w:val="0"/>
                <w:sz w:val="20"/>
                <w:szCs w:val="20"/>
                <w:lang w:val="en" w:bidi="ar"/>
              </w:rPr>
            </w:pPr>
            <w:r>
              <w:rPr>
                <w:rFonts w:hint="eastAsia" w:ascii="仿宋_GB2312" w:hAnsi="仿宋_GB2312" w:cs="仿宋_GB2312"/>
                <w:color w:val="000000"/>
                <w:kern w:val="0"/>
                <w:sz w:val="20"/>
                <w:szCs w:val="20"/>
                <w:lang w:bidi="ar"/>
              </w:rPr>
              <w:t>《易燃易爆性商品储存养护技术条件》（GB 17914-2013）第4.2条、第4.3条</w:t>
            </w:r>
            <w:r>
              <w:rPr>
                <w:rFonts w:hint="default" w:ascii="仿宋_GB2312" w:hAnsi="仿宋_GB2312" w:cs="仿宋_GB2312"/>
                <w:color w:val="000000"/>
                <w:kern w:val="0"/>
                <w:sz w:val="20"/>
                <w:szCs w:val="20"/>
                <w:lang w:val="en" w:bidi="ar"/>
              </w:rPr>
              <w:t>;</w:t>
            </w:r>
          </w:p>
          <w:p>
            <w:pPr>
              <w:widowControl/>
              <w:adjustRightInd w:val="0"/>
              <w:snapToGrid w:val="0"/>
              <w:spacing w:after="0" w:line="240" w:lineRule="auto"/>
              <w:jc w:val="left"/>
              <w:textAlignment w:val="center"/>
              <w:rPr>
                <w:rFonts w:hint="default" w:ascii="仿宋_GB2312" w:hAnsi="仿宋_GB2312" w:cs="仿宋_GB2312"/>
                <w:color w:val="000000"/>
                <w:kern w:val="0"/>
                <w:sz w:val="20"/>
                <w:szCs w:val="20"/>
                <w:lang w:val="en" w:bidi="ar"/>
              </w:rPr>
            </w:pPr>
            <w:r>
              <w:rPr>
                <w:rFonts w:hint="eastAsia" w:ascii="仿宋_GB2312" w:hAnsi="仿宋_GB2312" w:cs="仿宋_GB2312"/>
                <w:color w:val="000000"/>
                <w:kern w:val="0"/>
                <w:sz w:val="20"/>
                <w:szCs w:val="20"/>
                <w:lang w:bidi="ar"/>
              </w:rPr>
              <w:t>《危险化学品储存场所建设及储存安全要求》</w:t>
            </w:r>
            <w:r>
              <w:rPr>
                <w:rFonts w:hint="eastAsia" w:ascii="仿宋_GB2312" w:hAnsi="仿宋_GB2312" w:cs="仿宋_GB2312"/>
                <w:color w:val="000000"/>
                <w:kern w:val="0"/>
                <w:sz w:val="20"/>
                <w:szCs w:val="20"/>
                <w:lang w:eastAsia="zh-CN" w:bidi="ar"/>
              </w:rPr>
              <w:t>（DB11/T 755）</w:t>
            </w:r>
            <w:r>
              <w:rPr>
                <w:rFonts w:hint="eastAsia" w:ascii="仿宋_GB2312" w:hAnsi="仿宋_GB2312" w:cs="仿宋_GB2312"/>
                <w:color w:val="000000"/>
                <w:kern w:val="0"/>
                <w:sz w:val="20"/>
                <w:szCs w:val="20"/>
                <w:lang w:bidi="ar"/>
              </w:rPr>
              <w:t>第5.1.1.4条、第5.1.1.5条、第5.1.1.11条</w:t>
            </w:r>
            <w:r>
              <w:rPr>
                <w:rFonts w:hint="default" w:ascii="仿宋_GB2312" w:hAnsi="仿宋_GB2312" w:cs="仿宋_GB2312"/>
                <w:color w:val="000000"/>
                <w:kern w:val="0"/>
                <w:sz w:val="20"/>
                <w:szCs w:val="20"/>
                <w:lang w:val="en" w:bidi="ar"/>
              </w:rPr>
              <w:t>;</w:t>
            </w:r>
          </w:p>
          <w:p>
            <w:pPr>
              <w:widowControl/>
              <w:adjustRightInd w:val="0"/>
              <w:snapToGrid w:val="0"/>
              <w:spacing w:after="0" w:line="240" w:lineRule="auto"/>
              <w:jc w:val="left"/>
              <w:textAlignment w:val="center"/>
              <w:rPr>
                <w:rFonts w:hint="default" w:ascii="仿宋_GB2312" w:hAnsi="仿宋_GB2312" w:cs="仿宋_GB2312"/>
                <w:color w:val="000000"/>
                <w:kern w:val="0"/>
                <w:sz w:val="20"/>
                <w:szCs w:val="20"/>
                <w:lang w:val="en" w:bidi="ar"/>
              </w:rPr>
            </w:pPr>
            <w:r>
              <w:rPr>
                <w:rFonts w:hint="eastAsia" w:ascii="仿宋_GB2312" w:hAnsi="仿宋_GB2312" w:cs="仿宋_GB2312"/>
                <w:color w:val="000000"/>
                <w:kern w:val="0"/>
                <w:sz w:val="20"/>
                <w:szCs w:val="20"/>
                <w:lang w:bidi="ar"/>
              </w:rPr>
              <w:t>《危险化学品安全管理条例》第八十条</w:t>
            </w:r>
            <w:r>
              <w:rPr>
                <w:rFonts w:hint="default" w:ascii="仿宋_GB2312" w:hAnsi="仿宋_GB2312" w:cs="仿宋_GB2312"/>
                <w:color w:val="000000"/>
                <w:kern w:val="0"/>
                <w:sz w:val="20"/>
                <w:szCs w:val="20"/>
                <w:lang w:val="en" w:bidi="ar"/>
              </w:rPr>
              <w:t>;</w:t>
            </w:r>
          </w:p>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《安全生产等级评定技术规范 第2部分：安全生产通用要求》（DB11/T 1322.2-2017）第3.8.1.19条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75"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val="en-US" w:eastAsia="zh-CN"/>
              </w:rPr>
            </w:pPr>
            <w:r>
              <w:rPr>
                <w:rFonts w:hint="eastAsia" w:ascii="仿宋_GB2312" w:hAnsi="仿宋_GB2312" w:cs="仿宋_GB2312"/>
                <w:color w:val="000000"/>
                <w:sz w:val="20"/>
                <w:szCs w:val="20"/>
              </w:rPr>
              <w:t>14.2.12.06</w:t>
            </w:r>
            <w:r>
              <w:rPr>
                <w:rFonts w:hint="eastAsia" w:ascii="仿宋_GB2312" w:hAnsi="仿宋_GB2312" w:cs="仿宋_GB2312"/>
                <w:color w:val="000000"/>
                <w:sz w:val="20"/>
                <w:szCs w:val="20"/>
                <w:lang w:val="en-US" w:eastAsia="zh-CN"/>
              </w:rPr>
              <w:t>3</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下列品种未专库储存：（1）爆炸品：黑色火药类、爆炸性化合物专库储存；（2）压缩气体和液化气体：易燃气体、助燃气体和有毒气体专库储存；（3）易燃液体可同库储存，但灭火方法不同的分库储存；（4）易燃固体可同库储存，但发乳剂与酸或酸性化学品分库储存；（5）硝酸纤维素酯、安全火柴、红磷及硫化磷、铝粉等金属粉类分库储存；（6）自燃品：黄磷、烃基金属化合物，浸动、植物油的制品分库储存；（7）遇湿易燃品应专库储存；（8）氧化剂和有机过氧化物，一、二级无机氧化剂与一、二级有机氧化剂分库储存；氯酸盐类、高锰酸盐、亚硝酸盐、过氧化钠、过氧化氢等分别专库储存。</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下列品种应专库储存：（1）爆炸品：黑色火药类、爆炸性化合物应专库储存；（2）压缩气体和液化气体：易燃气体、助燃气体和有毒气体应专库储存；（3）易燃液体可同库储存，但灭火方法不同的应分库储存；（4）易燃固体可同库储存，但发乳剂与酸或酸性化学品应分库储存；（5）硝酸纤维素酯、安全火柴、红磷及硫化磷、铝粉等金属粉类应分库储存；（6）自燃品：黄磷、烃基金属化合物，浸动、植物油的制品应分库储存；（7）遇湿易燃品应专库储存；（8）氧化剂和有机过氧化物，一、二级无机氧化剂与一、二级有机氧化剂应分库储存；氯酸盐类、高锰酸盐、亚硝酸盐、过氧化钠、过氧化氢等应分别专库储存。</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《易燃易爆性商品储存养护技术条件》（GB 17914-2013）第4.3.2条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38"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val="en-US" w:eastAsia="zh-CN"/>
              </w:rPr>
            </w:pPr>
            <w:r>
              <w:rPr>
                <w:rFonts w:hint="eastAsia" w:ascii="仿宋_GB2312" w:hAnsi="仿宋_GB2312" w:cs="仿宋_GB2312"/>
                <w:color w:val="000000"/>
                <w:sz w:val="20"/>
                <w:szCs w:val="20"/>
              </w:rPr>
              <w:t>14.2.12.06</w:t>
            </w:r>
            <w:r>
              <w:rPr>
                <w:rFonts w:hint="eastAsia" w:ascii="仿宋_GB2312" w:hAnsi="仿宋_GB2312" w:cs="仿宋_GB2312"/>
                <w:color w:val="000000"/>
                <w:sz w:val="20"/>
                <w:szCs w:val="20"/>
                <w:lang w:val="en-US" w:eastAsia="zh-CN"/>
              </w:rPr>
              <w:t>4</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腐蚀性危险化学品的储存未符合下列要求：（1）库房应阴凉、干燥、通风、避阳，并经防腐蚀、防渗处理；（2）储存发烟硝酸、溴素、高氯酸钾的库房应干燥通风；（3）溴氢酸、碘氢酸应闭光储存，溴素应专库储存；（4）腐蚀性化学品应避免阳光直射、暴晒，远离热源、电源、火源；（5）腐蚀性化学品应按不同类别、性质、危险程度、灭火方法等分区分类储存，性质和消防施救方法相抵的不应同库储存。</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腐蚀性危险化学品的储存应符合下列要求：（1）库房应阴凉、干燥、通风、避阳，并经防腐蚀、防渗处理；（2）储存发烟硝酸、溴素、高氯酸钾的库房应干燥通风；（3）溴氢酸、碘氢酸应闭光储存，溴素应专库储存；（4）腐蚀性化学品应避免阳光直射、暴晒，远离热源、电源、火源；（5）腐蚀性化学品应按不同类别、性质、危险程度、灭火方法等分区分类储存，性质和消防施救方法相抵的不应同库储存。</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default" w:ascii="仿宋_GB2312" w:hAnsi="仿宋_GB2312" w:cs="仿宋_GB2312"/>
                <w:color w:val="000000"/>
                <w:kern w:val="0"/>
                <w:sz w:val="20"/>
                <w:szCs w:val="20"/>
                <w:lang w:val="en" w:bidi="ar"/>
              </w:rPr>
            </w:pPr>
            <w:r>
              <w:rPr>
                <w:rFonts w:hint="eastAsia" w:ascii="仿宋_GB2312" w:hAnsi="仿宋_GB2312" w:cs="仿宋_GB2312"/>
                <w:color w:val="000000"/>
                <w:kern w:val="0"/>
                <w:sz w:val="20"/>
                <w:szCs w:val="20"/>
                <w:lang w:bidi="ar"/>
              </w:rPr>
              <w:t>《腐蚀性商品储存养护技术条件》（GB 17915-2013）第4.1条、第4.3.1条、第4.3.2条</w:t>
            </w:r>
            <w:r>
              <w:rPr>
                <w:rFonts w:hint="default" w:ascii="仿宋_GB2312" w:hAnsi="仿宋_GB2312" w:cs="仿宋_GB2312"/>
                <w:color w:val="000000"/>
                <w:kern w:val="0"/>
                <w:sz w:val="20"/>
                <w:szCs w:val="20"/>
                <w:lang w:val="en" w:bidi="ar"/>
              </w:rPr>
              <w:t>;</w:t>
            </w:r>
          </w:p>
          <w:p>
            <w:pPr>
              <w:widowControl/>
              <w:adjustRightInd w:val="0"/>
              <w:snapToGrid w:val="0"/>
              <w:spacing w:after="0" w:line="240" w:lineRule="auto"/>
              <w:jc w:val="left"/>
              <w:textAlignment w:val="center"/>
              <w:rPr>
                <w:rFonts w:hint="default" w:ascii="仿宋_GB2312" w:hAnsi="仿宋_GB2312" w:cs="仿宋_GB2312"/>
                <w:color w:val="000000"/>
                <w:kern w:val="0"/>
                <w:sz w:val="20"/>
                <w:szCs w:val="20"/>
                <w:lang w:val="en" w:bidi="ar"/>
              </w:rPr>
            </w:pPr>
            <w:r>
              <w:rPr>
                <w:rFonts w:hint="eastAsia" w:ascii="仿宋_GB2312" w:hAnsi="仿宋_GB2312" w:cs="仿宋_GB2312"/>
                <w:color w:val="000000"/>
                <w:kern w:val="0"/>
                <w:sz w:val="20"/>
                <w:szCs w:val="20"/>
                <w:lang w:bidi="ar"/>
              </w:rPr>
              <w:t>《安全生产等级评定技术规范 第2部分：安全生产通用要求》（DB11/T 1322.2-2017）第3.8.1.19条</w:t>
            </w:r>
            <w:r>
              <w:rPr>
                <w:rFonts w:hint="default" w:ascii="仿宋_GB2312" w:hAnsi="仿宋_GB2312" w:cs="仿宋_GB2312"/>
                <w:color w:val="000000"/>
                <w:kern w:val="0"/>
                <w:sz w:val="20"/>
                <w:szCs w:val="20"/>
                <w:lang w:val="en" w:bidi="ar"/>
              </w:rPr>
              <w:t>;</w:t>
            </w:r>
          </w:p>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《危险化学品安全管理条例》第八十条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13"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val="en-US" w:eastAsia="zh-CN"/>
              </w:rPr>
            </w:pPr>
            <w:r>
              <w:rPr>
                <w:rFonts w:hint="eastAsia" w:ascii="仿宋_GB2312" w:hAnsi="仿宋_GB2312" w:cs="仿宋_GB2312"/>
                <w:color w:val="000000"/>
                <w:sz w:val="20"/>
                <w:szCs w:val="20"/>
              </w:rPr>
              <w:t>14.2.12.06</w:t>
            </w:r>
            <w:r>
              <w:rPr>
                <w:rFonts w:hint="eastAsia" w:ascii="仿宋_GB2312" w:hAnsi="仿宋_GB2312" w:cs="仿宋_GB2312"/>
                <w:color w:val="000000"/>
                <w:sz w:val="20"/>
                <w:szCs w:val="20"/>
                <w:lang w:val="en-US" w:eastAsia="zh-CN"/>
              </w:rPr>
              <w:t>5</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有毒危险化学品的储存</w:t>
            </w:r>
            <w:r>
              <w:rPr>
                <w:rFonts w:hint="eastAsia" w:ascii="仿宋_GB2312" w:hAnsi="仿宋_GB2312" w:cs="仿宋_GB2312"/>
                <w:color w:val="000000"/>
                <w:kern w:val="0"/>
                <w:sz w:val="20"/>
                <w:szCs w:val="20"/>
                <w:lang w:eastAsia="zh-CN" w:bidi="ar"/>
              </w:rPr>
              <w:t>不</w:t>
            </w:r>
            <w:r>
              <w:rPr>
                <w:rFonts w:hint="eastAsia" w:ascii="仿宋_GB2312" w:hAnsi="仿宋_GB2312" w:cs="仿宋_GB2312"/>
                <w:color w:val="000000"/>
                <w:kern w:val="0"/>
                <w:sz w:val="20"/>
                <w:szCs w:val="20"/>
                <w:lang w:bidi="ar"/>
              </w:rPr>
              <w:t>符合下列要求：（1）库房应干燥、通风，机械通风排毒应有安全防护和处理措施；（2）库房耐火等级不低于二级；（3）库房应远离居民区和水源；（4）有毒化学品应避免阳光直射、暴晒，远离热源、电源、火源，在库区固定和方便的位置配置与毒害性相匹配的消防器材、报警装置和急救药箱；（5）不同种类的毒害性化学品，视其危险程度和灭火方法的不同应分开存放，性质相抵的毒害性化学品不应同库储存；（6）剧毒品应专库储存或存放在彼此间隔的单间内，并安装防盗报警器和监控系统，库门装双锁，实行双人收发、双人保管制度；（7）货垛高度不超过3 m。</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有毒危险化学品的储存应符合下列要求：（1）库房应干燥、通风，机械通风排毒应有安全防护和处理措施；（2）库房耐火等级不低于二级；（3）库房应远离居民区和水源；（4）有毒化学品应避免阳光直射、暴晒，远离热源、电源、火源，在库区固定和方便的位置配置与毒害性相匹配的消防器材、报警装置和急救药箱；（5）不同种类的毒害性化学品，视其危险程度和灭火方法的不同应分开存放，性质相抵的毒害性化学品不应同库储存；（6）剧毒品应专库储存或存放在彼此间隔的单间内，并安装防盗报警器和监控系统，库门装双锁，实行双人收发、双人保管制度；（7）货垛高度不超过3 m。</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default" w:ascii="仿宋_GB2312" w:hAnsi="仿宋_GB2312" w:cs="仿宋_GB2312"/>
                <w:color w:val="000000"/>
                <w:kern w:val="0"/>
                <w:sz w:val="20"/>
                <w:szCs w:val="20"/>
                <w:lang w:val="en" w:bidi="ar"/>
              </w:rPr>
            </w:pPr>
            <w:r>
              <w:rPr>
                <w:rFonts w:hint="eastAsia" w:ascii="仿宋_GB2312" w:hAnsi="仿宋_GB2312" w:cs="仿宋_GB2312"/>
                <w:color w:val="000000"/>
                <w:kern w:val="0"/>
                <w:sz w:val="20"/>
                <w:szCs w:val="20"/>
                <w:lang w:bidi="ar"/>
              </w:rPr>
              <w:t>《毒害性商品储存养护技术条件》（GB 17916-2013）第4.1.1条、第4.1.2条、第4.2条、第6.2.2条</w:t>
            </w:r>
            <w:r>
              <w:rPr>
                <w:rFonts w:hint="default" w:ascii="仿宋_GB2312" w:hAnsi="仿宋_GB2312" w:cs="仿宋_GB2312"/>
                <w:color w:val="000000"/>
                <w:kern w:val="0"/>
                <w:sz w:val="20"/>
                <w:szCs w:val="20"/>
                <w:lang w:val="en" w:bidi="ar"/>
              </w:rPr>
              <w:t>;</w:t>
            </w:r>
          </w:p>
          <w:p>
            <w:pPr>
              <w:widowControl/>
              <w:adjustRightInd w:val="0"/>
              <w:snapToGrid w:val="0"/>
              <w:spacing w:after="0" w:line="240" w:lineRule="auto"/>
              <w:jc w:val="left"/>
              <w:textAlignment w:val="center"/>
              <w:rPr>
                <w:rFonts w:hint="default" w:ascii="仿宋_GB2312" w:hAnsi="仿宋_GB2312" w:cs="仿宋_GB2312"/>
                <w:color w:val="000000"/>
                <w:kern w:val="0"/>
                <w:sz w:val="20"/>
                <w:szCs w:val="20"/>
                <w:lang w:val="en" w:bidi="ar"/>
              </w:rPr>
            </w:pPr>
            <w:r>
              <w:rPr>
                <w:rFonts w:hint="eastAsia" w:ascii="仿宋_GB2312" w:hAnsi="仿宋_GB2312" w:cs="仿宋_GB2312"/>
                <w:color w:val="000000"/>
                <w:kern w:val="0"/>
                <w:sz w:val="20"/>
                <w:szCs w:val="20"/>
                <w:lang w:bidi="ar"/>
              </w:rPr>
              <w:t>《危险化学品储存场所建设及储存安全要求》</w:t>
            </w:r>
            <w:r>
              <w:rPr>
                <w:rFonts w:hint="eastAsia" w:ascii="仿宋_GB2312" w:hAnsi="仿宋_GB2312" w:cs="仿宋_GB2312"/>
                <w:color w:val="000000"/>
                <w:kern w:val="0"/>
                <w:sz w:val="20"/>
                <w:szCs w:val="20"/>
                <w:lang w:eastAsia="zh-CN" w:bidi="ar"/>
              </w:rPr>
              <w:t>（DB11/T 755）</w:t>
            </w:r>
            <w:r>
              <w:rPr>
                <w:rFonts w:hint="eastAsia" w:ascii="仿宋_GB2312" w:hAnsi="仿宋_GB2312" w:cs="仿宋_GB2312"/>
                <w:color w:val="000000"/>
                <w:kern w:val="0"/>
                <w:sz w:val="20"/>
                <w:szCs w:val="20"/>
                <w:lang w:bidi="ar"/>
              </w:rPr>
              <w:t>第5.1.1.13条</w:t>
            </w:r>
            <w:r>
              <w:rPr>
                <w:rFonts w:hint="default" w:ascii="仿宋_GB2312" w:hAnsi="仿宋_GB2312" w:cs="仿宋_GB2312"/>
                <w:color w:val="000000"/>
                <w:kern w:val="0"/>
                <w:sz w:val="20"/>
                <w:szCs w:val="20"/>
                <w:lang w:val="en" w:bidi="ar"/>
              </w:rPr>
              <w:t>;</w:t>
            </w:r>
          </w:p>
          <w:p>
            <w:pPr>
              <w:widowControl/>
              <w:adjustRightInd w:val="0"/>
              <w:snapToGrid w:val="0"/>
              <w:spacing w:after="0" w:line="240" w:lineRule="auto"/>
              <w:jc w:val="left"/>
              <w:textAlignment w:val="center"/>
              <w:rPr>
                <w:rFonts w:hint="default" w:ascii="仿宋_GB2312" w:hAnsi="仿宋_GB2312" w:cs="仿宋_GB2312"/>
                <w:color w:val="000000"/>
                <w:kern w:val="0"/>
                <w:sz w:val="20"/>
                <w:szCs w:val="20"/>
                <w:lang w:val="en" w:bidi="ar"/>
              </w:rPr>
            </w:pPr>
            <w:r>
              <w:rPr>
                <w:rFonts w:hint="eastAsia" w:ascii="仿宋_GB2312" w:hAnsi="仿宋_GB2312" w:cs="仿宋_GB2312"/>
                <w:color w:val="000000"/>
                <w:kern w:val="0"/>
                <w:sz w:val="20"/>
                <w:szCs w:val="20"/>
                <w:lang w:bidi="ar"/>
              </w:rPr>
              <w:t>《危险化学品安全管理条例》第八十条</w:t>
            </w:r>
            <w:r>
              <w:rPr>
                <w:rFonts w:hint="default" w:ascii="仿宋_GB2312" w:hAnsi="仿宋_GB2312" w:cs="仿宋_GB2312"/>
                <w:color w:val="000000"/>
                <w:kern w:val="0"/>
                <w:sz w:val="20"/>
                <w:szCs w:val="20"/>
                <w:lang w:val="en" w:bidi="ar"/>
              </w:rPr>
              <w:t>;</w:t>
            </w:r>
          </w:p>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《安全生产等级评定技术规范 第2部分：安全生产通用要求》（DB11/T 1322.2-2017）第3.8.1.19条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val="en-US" w:eastAsia="zh-CN"/>
              </w:rPr>
            </w:pPr>
            <w:r>
              <w:rPr>
                <w:rFonts w:hint="eastAsia" w:ascii="仿宋_GB2312" w:hAnsi="等线"/>
                <w:color w:val="000000"/>
                <w:sz w:val="20"/>
                <w:szCs w:val="20"/>
              </w:rPr>
              <w:t>14.2.</w:t>
            </w:r>
            <w:r>
              <w:rPr>
                <w:rFonts w:hint="eastAsia" w:ascii="仿宋_GB2312" w:hAnsi="仿宋_GB2312" w:cs="仿宋_GB2312"/>
                <w:color w:val="000000"/>
                <w:sz w:val="20"/>
                <w:szCs w:val="20"/>
              </w:rPr>
              <w:t>12.</w:t>
            </w:r>
            <w:r>
              <w:rPr>
                <w:rFonts w:hint="eastAsia" w:ascii="仿宋_GB2312" w:hAnsi="等线"/>
                <w:color w:val="000000"/>
                <w:sz w:val="20"/>
                <w:szCs w:val="20"/>
              </w:rPr>
              <w:t>06</w:t>
            </w:r>
            <w:r>
              <w:rPr>
                <w:rFonts w:hint="eastAsia" w:ascii="仿宋_GB2312" w:hAnsi="等线"/>
                <w:color w:val="000000"/>
                <w:sz w:val="20"/>
                <w:szCs w:val="20"/>
                <w:lang w:val="en-US" w:eastAsia="zh-CN"/>
              </w:rPr>
              <w:t>6</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装卸、搬运危险化学品时未轻装、轻卸，摔、碰、撞击、拖拉、摩擦、倾倒和滚动。装卸搬运有燃烧爆炸危险性危险化学品的机械和工具未选用防爆型。</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装卸、搬运危险化学品时应轻装、轻卸，不应摔、碰、撞击、拖拉、摩擦、倾倒和滚动。装卸搬运有燃烧爆炸危险性危险化学品的机械和工具应选用防爆型。</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default" w:ascii="仿宋_GB2312" w:hAnsi="仿宋_GB2312" w:cs="仿宋_GB2312"/>
                <w:color w:val="000000"/>
                <w:kern w:val="0"/>
                <w:sz w:val="20"/>
                <w:szCs w:val="20"/>
                <w:lang w:val="en" w:bidi="ar"/>
              </w:rPr>
            </w:pPr>
            <w:r>
              <w:rPr>
                <w:rFonts w:hint="eastAsia" w:ascii="仿宋_GB2312" w:hAnsi="仿宋_GB2312" w:cs="仿宋_GB2312"/>
                <w:color w:val="000000"/>
                <w:kern w:val="0"/>
                <w:sz w:val="20"/>
                <w:szCs w:val="20"/>
                <w:lang w:bidi="ar"/>
              </w:rPr>
              <w:t>《危险化学品储存场所建设及储存安全要求》</w:t>
            </w:r>
            <w:r>
              <w:rPr>
                <w:rFonts w:hint="eastAsia" w:ascii="仿宋_GB2312" w:hAnsi="仿宋_GB2312" w:cs="仿宋_GB2312"/>
                <w:color w:val="000000"/>
                <w:kern w:val="0"/>
                <w:sz w:val="20"/>
                <w:szCs w:val="20"/>
                <w:lang w:eastAsia="zh-CN" w:bidi="ar"/>
              </w:rPr>
              <w:t>（DB11/T 755）</w:t>
            </w:r>
            <w:r>
              <w:rPr>
                <w:rFonts w:hint="eastAsia" w:ascii="仿宋_GB2312" w:hAnsi="仿宋_GB2312" w:cs="仿宋_GB2312"/>
                <w:color w:val="000000"/>
                <w:kern w:val="0"/>
                <w:sz w:val="20"/>
                <w:szCs w:val="20"/>
                <w:lang w:bidi="ar"/>
              </w:rPr>
              <w:t>第5.1.2.11条</w:t>
            </w:r>
            <w:r>
              <w:rPr>
                <w:rFonts w:hint="default" w:ascii="仿宋_GB2312" w:hAnsi="仿宋_GB2312" w:cs="仿宋_GB2312"/>
                <w:color w:val="000000"/>
                <w:kern w:val="0"/>
                <w:sz w:val="20"/>
                <w:szCs w:val="20"/>
                <w:lang w:val="en" w:bidi="ar"/>
              </w:rPr>
              <w:t>;</w:t>
            </w:r>
          </w:p>
          <w:p>
            <w:pPr>
              <w:widowControl/>
              <w:adjustRightInd w:val="0"/>
              <w:snapToGrid w:val="0"/>
              <w:spacing w:after="0" w:line="240" w:lineRule="auto"/>
              <w:jc w:val="left"/>
              <w:textAlignment w:val="center"/>
              <w:rPr>
                <w:rFonts w:hint="default" w:ascii="仿宋_GB2312" w:hAnsi="仿宋_GB2312" w:cs="仿宋_GB2312"/>
                <w:color w:val="000000"/>
                <w:sz w:val="20"/>
                <w:szCs w:val="20"/>
                <w:lang w:val="en"/>
              </w:rPr>
            </w:pPr>
            <w:r>
              <w:rPr>
                <w:rFonts w:hint="eastAsia" w:ascii="仿宋_GB2312" w:hAnsi="仿宋_GB2312" w:cs="仿宋_GB2312"/>
                <w:color w:val="000000"/>
                <w:kern w:val="0"/>
                <w:sz w:val="20"/>
                <w:szCs w:val="20"/>
                <w:lang w:bidi="ar"/>
              </w:rPr>
              <w:t>《安全生产等级评定技术规范 第2部分：安全生产通用要求》（DB11/T 1322.2-2017）第3.8.1.20条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val="en-US" w:eastAsia="zh-CN"/>
              </w:rPr>
            </w:pPr>
            <w:r>
              <w:rPr>
                <w:rFonts w:hint="eastAsia" w:ascii="仿宋_GB2312" w:hAnsi="等线"/>
                <w:color w:val="000000"/>
                <w:sz w:val="20"/>
                <w:szCs w:val="20"/>
              </w:rPr>
              <w:t>14.2.</w:t>
            </w:r>
            <w:r>
              <w:rPr>
                <w:rFonts w:hint="eastAsia" w:ascii="仿宋_GB2312" w:hAnsi="仿宋_GB2312" w:cs="仿宋_GB2312"/>
                <w:color w:val="000000"/>
                <w:sz w:val="20"/>
                <w:szCs w:val="20"/>
              </w:rPr>
              <w:t>12.06</w:t>
            </w:r>
            <w:r>
              <w:rPr>
                <w:rFonts w:hint="eastAsia" w:ascii="仿宋_GB2312" w:hAnsi="仿宋_GB2312" w:cs="仿宋_GB2312"/>
                <w:color w:val="000000"/>
                <w:sz w:val="20"/>
                <w:szCs w:val="20"/>
                <w:lang w:val="en-US" w:eastAsia="zh-CN"/>
              </w:rPr>
              <w:t>7</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使用、储存危险化学品的场所未配备相应消防器材。消防器材未便于取用，未有明显的标识，周围放杂物，挪作他用。消防器材未有专人负责，定期检查。</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使用、储存危险化学品的场所应配备相应消防器材。消防器材应便于取用，应有明显的标识，周围不应放杂物，并不应挪作他用。消防器材应有专人负责，定期检查。</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default" w:ascii="仿宋_GB2312" w:hAnsi="仿宋_GB2312" w:cs="仿宋_GB2312"/>
                <w:color w:val="000000"/>
                <w:kern w:val="0"/>
                <w:sz w:val="20"/>
                <w:szCs w:val="20"/>
                <w:lang w:val="en" w:bidi="ar"/>
              </w:rPr>
            </w:pPr>
            <w:r>
              <w:rPr>
                <w:rFonts w:hint="eastAsia" w:ascii="仿宋_GB2312" w:hAnsi="仿宋_GB2312" w:cs="仿宋_GB2312"/>
                <w:color w:val="000000"/>
                <w:kern w:val="0"/>
                <w:sz w:val="20"/>
                <w:szCs w:val="20"/>
                <w:lang w:bidi="ar"/>
              </w:rPr>
              <w:t>《危险化学品储存场所建设及储存安全要求》</w:t>
            </w:r>
            <w:r>
              <w:rPr>
                <w:rFonts w:hint="eastAsia" w:ascii="仿宋_GB2312" w:hAnsi="仿宋_GB2312" w:cs="仿宋_GB2312"/>
                <w:color w:val="000000"/>
                <w:kern w:val="0"/>
                <w:sz w:val="20"/>
                <w:szCs w:val="20"/>
                <w:lang w:eastAsia="zh-CN" w:bidi="ar"/>
              </w:rPr>
              <w:t>（DB11/T 755）</w:t>
            </w:r>
            <w:r>
              <w:rPr>
                <w:rFonts w:hint="eastAsia" w:ascii="仿宋_GB2312" w:hAnsi="仿宋_GB2312" w:cs="仿宋_GB2312"/>
                <w:color w:val="000000"/>
                <w:kern w:val="0"/>
                <w:sz w:val="20"/>
                <w:szCs w:val="20"/>
                <w:lang w:bidi="ar"/>
              </w:rPr>
              <w:t>第4.1.3.9条、第5.1.2.4条</w:t>
            </w:r>
            <w:r>
              <w:rPr>
                <w:rFonts w:hint="default" w:ascii="仿宋_GB2312" w:hAnsi="仿宋_GB2312" w:cs="仿宋_GB2312"/>
                <w:color w:val="000000"/>
                <w:kern w:val="0"/>
                <w:sz w:val="20"/>
                <w:szCs w:val="20"/>
                <w:lang w:val="en" w:bidi="ar"/>
              </w:rPr>
              <w:t>;</w:t>
            </w:r>
          </w:p>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《安全生产等级评定技术规范 第2部分：安全生产通用要求》（DB11/T 1322.2-2017）第3.8.1.21条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val="en-US" w:eastAsia="zh-CN"/>
              </w:rPr>
            </w:pPr>
            <w:r>
              <w:rPr>
                <w:rFonts w:hint="eastAsia" w:ascii="仿宋_GB2312" w:hAnsi="等线"/>
                <w:color w:val="000000"/>
                <w:sz w:val="20"/>
                <w:szCs w:val="20"/>
              </w:rPr>
              <w:t>14.2.</w:t>
            </w:r>
            <w:r>
              <w:rPr>
                <w:rFonts w:hint="eastAsia" w:ascii="仿宋_GB2312" w:hAnsi="仿宋_GB2312" w:cs="仿宋_GB2312"/>
                <w:color w:val="000000"/>
                <w:sz w:val="20"/>
                <w:szCs w:val="20"/>
              </w:rPr>
              <w:t>12.06</w:t>
            </w:r>
            <w:r>
              <w:rPr>
                <w:rFonts w:hint="eastAsia" w:ascii="仿宋_GB2312" w:hAnsi="仿宋_GB2312" w:cs="仿宋_GB2312"/>
                <w:color w:val="000000"/>
                <w:sz w:val="20"/>
                <w:szCs w:val="20"/>
                <w:lang w:val="en-US" w:eastAsia="zh-CN"/>
              </w:rPr>
              <w:t>8</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未根据所储存的危险化学品性质和特点，为作业人员配置事故柜、急救箱和个人防护用品。在有毒性、腐蚀性、刺激性危害的环境中，未设置淋洗器、洗眼器等卫生防护设施，其服务半径大于15 m。</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应根据所储存的危险化学品性质和特点，为作业人员配置事故柜、急救箱和个人防护用品。在有毒性、腐蚀性、刺激性危害的环境中，应设置淋洗器、洗眼器等卫生防护设施，其服务半径应不大于15 m。</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《安全生产等级评定技术规范 第2部分：安全生产通用要求》（DB11/T 1322.2-2017）第3.8.1.22条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59" w:type="pct"/>
            <w:tcBorders>
              <w:tl2br w:val="nil"/>
              <w:tr2bl w:val="nil"/>
            </w:tcBorders>
            <w:noWrap/>
            <w:vAlign w:val="center"/>
          </w:tcPr>
          <w:p>
            <w:pPr>
              <w:adjustRightInd w:val="0"/>
              <w:snapToGrid w:val="0"/>
              <w:spacing w:after="0" w:line="240" w:lineRule="auto"/>
              <w:jc w:val="center"/>
              <w:rPr>
                <w:rFonts w:hint="default" w:ascii="仿宋_GB2312" w:hAnsi="仿宋_GB2312" w:eastAsia="仿宋_GB2312" w:cs="仿宋_GB2312"/>
                <w:color w:val="000000"/>
                <w:sz w:val="20"/>
                <w:szCs w:val="20"/>
                <w:lang w:val="en-US" w:eastAsia="zh-CN"/>
              </w:rPr>
            </w:pPr>
            <w:r>
              <w:rPr>
                <w:rFonts w:hint="eastAsia" w:ascii="仿宋_GB2312" w:hAnsi="等线"/>
                <w:color w:val="000000"/>
                <w:sz w:val="20"/>
                <w:szCs w:val="20"/>
              </w:rPr>
              <w:t>14.2.</w:t>
            </w:r>
            <w:r>
              <w:rPr>
                <w:rFonts w:hint="eastAsia" w:ascii="仿宋_GB2312" w:hAnsi="仿宋_GB2312" w:cs="仿宋_GB2312"/>
                <w:color w:val="000000"/>
                <w:sz w:val="20"/>
                <w:szCs w:val="20"/>
              </w:rPr>
              <w:t>12.0</w:t>
            </w:r>
            <w:r>
              <w:rPr>
                <w:rFonts w:hint="eastAsia" w:ascii="仿宋_GB2312" w:hAnsi="仿宋_GB2312" w:cs="仿宋_GB2312"/>
                <w:color w:val="000000"/>
                <w:sz w:val="20"/>
                <w:szCs w:val="20"/>
                <w:lang w:val="en-US" w:eastAsia="zh-CN"/>
              </w:rPr>
              <w:t>69</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废弃危险化学品未存放在专门的储存场所，并指定专人负责管理；废弃危险化学品未交由有危险废物处置资质的单位进行处置。</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废弃危险化学品应存放在专门的储存场所，并指定专人负责管理；废弃危险化学品应交由有危险废物处置资质的单位进行处置。</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《安全生产等级评定技术规范 第2部分：安全生产通用要求》（DB11/T 1322.2-2017）第3.8.1.23条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val="en-US" w:eastAsia="zh-CN"/>
              </w:rPr>
            </w:pPr>
            <w:r>
              <w:rPr>
                <w:rFonts w:hint="eastAsia" w:ascii="仿宋_GB2312" w:hAnsi="仿宋_GB2312" w:cs="仿宋_GB2312"/>
                <w:color w:val="000000"/>
                <w:sz w:val="20"/>
                <w:szCs w:val="20"/>
              </w:rPr>
              <w:t>14.4.03.07</w:t>
            </w:r>
            <w:r>
              <w:rPr>
                <w:rFonts w:hint="eastAsia" w:ascii="仿宋_GB2312" w:hAnsi="仿宋_GB2312" w:cs="仿宋_GB2312"/>
                <w:color w:val="000000"/>
                <w:sz w:val="20"/>
                <w:szCs w:val="20"/>
                <w:lang w:val="en-US" w:eastAsia="zh-CN"/>
              </w:rPr>
              <w:t>0</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场所环境类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标志及标识类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存放废弃危险化学品的场所、设施，未设置危险废弃物识别标志。</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存放废弃危险化学品的场所、设施，应设置危险废弃物识别标志。</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《安全生产等级评定技术规范 第2部分：安全生产通用要求》（DB11/T 1322.2-2017）第3.8.1.24条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val="en-US" w:eastAsia="zh-CN"/>
              </w:rPr>
            </w:pPr>
            <w:r>
              <w:rPr>
                <w:rFonts w:hint="eastAsia" w:ascii="仿宋_GB2312" w:hAnsi="仿宋_GB2312" w:cs="仿宋_GB2312"/>
                <w:color w:val="000000"/>
                <w:sz w:val="20"/>
                <w:szCs w:val="20"/>
              </w:rPr>
              <w:t>14.2.12.07</w:t>
            </w:r>
            <w:r>
              <w:rPr>
                <w:rFonts w:hint="eastAsia" w:ascii="仿宋_GB2312" w:hAnsi="仿宋_GB2312" w:cs="仿宋_GB2312"/>
                <w:color w:val="000000"/>
                <w:sz w:val="20"/>
                <w:szCs w:val="20"/>
                <w:lang w:val="en-US" w:eastAsia="zh-CN"/>
              </w:rPr>
              <w:t>1</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在危险化学品储存场所内堆积可燃性物品。泄漏、渗漏危险化学品的包装容器未迅速转移至安全区域，未存放在危险化学品储存场所。</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不应在危险化学品储存场所内堆积可燃性物品。泄漏、渗漏危险化学品的包装容器应迅速转移至安全区域，不应存放在危险化学品储存场所。</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《安全生产等级评定技术规范 第2部分：安全生产通用要求》（DB11/T 1322.2-2017）第3.8.1.25条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000" w:type="pct"/>
            <w:gridSpan w:val="7"/>
            <w:tcBorders>
              <w:tl2br w:val="nil"/>
              <w:tr2bl w:val="nil"/>
            </w:tcBorders>
            <w:shd w:val="clear" w:color="auto" w:fill="B4C6E7"/>
            <w:vAlign w:val="center"/>
          </w:tcPr>
          <w:p>
            <w:pPr>
              <w:widowControl/>
              <w:adjustRightInd w:val="0"/>
              <w:snapToGrid w:val="0"/>
              <w:spacing w:after="0" w:line="240" w:lineRule="auto"/>
              <w:jc w:val="center"/>
              <w:textAlignment w:val="center"/>
              <w:rPr>
                <w:rFonts w:hint="eastAsia" w:ascii="仿宋_GB2312" w:hAnsi="仿宋_GB2312" w:cs="仿宋_GB2312"/>
                <w:b/>
                <w:color w:val="000000"/>
                <w:sz w:val="20"/>
                <w:szCs w:val="20"/>
              </w:rPr>
            </w:pPr>
            <w:r>
              <w:rPr>
                <w:rFonts w:hint="eastAsia" w:ascii="仿宋_GB2312" w:hAnsi="仿宋_GB2312" w:cs="仿宋_GB2312"/>
                <w:b/>
                <w:color w:val="000000"/>
                <w:kern w:val="0"/>
                <w:sz w:val="20"/>
                <w:szCs w:val="20"/>
                <w:lang w:eastAsia="zh-CN" w:bidi="ar"/>
              </w:rPr>
              <w:t>危险化学品</w:t>
            </w:r>
            <w:r>
              <w:rPr>
                <w:rFonts w:hint="eastAsia" w:ascii="仿宋_GB2312" w:hAnsi="仿宋_GB2312" w:cs="仿宋_GB2312"/>
                <w:b/>
                <w:color w:val="000000"/>
                <w:kern w:val="0"/>
                <w:sz w:val="20"/>
                <w:szCs w:val="20"/>
                <w:lang w:bidi="ar"/>
              </w:rPr>
              <w:t>仓库</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val="en-US" w:eastAsia="zh-CN"/>
              </w:rPr>
            </w:pPr>
            <w:r>
              <w:rPr>
                <w:rFonts w:hint="eastAsia" w:ascii="仿宋_GB2312" w:hAnsi="仿宋_GB2312" w:cs="仿宋_GB2312"/>
                <w:color w:val="000000"/>
                <w:sz w:val="20"/>
                <w:szCs w:val="20"/>
              </w:rPr>
              <w:t>14.4.02.07</w:t>
            </w:r>
            <w:r>
              <w:rPr>
                <w:rFonts w:hint="eastAsia" w:ascii="仿宋_GB2312" w:hAnsi="仿宋_GB2312" w:cs="仿宋_GB2312"/>
                <w:color w:val="000000"/>
                <w:sz w:val="20"/>
                <w:szCs w:val="20"/>
                <w:lang w:val="en-US" w:eastAsia="zh-CN"/>
              </w:rPr>
              <w:t>2</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场所环境类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建（构）筑物类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危险化学品专用仓库的墙体未采用不燃烧材料的实体墙。危险化学品专用仓库的建筑物构架未根据危险化学品的类别和危险等级采用木结构、钢结构或装配式钢筋混凝土结构。</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危险化学品专用仓库的墙体应采用不燃烧材料的实体墙。危险化学品专用仓库的建筑物构架应根据危险化学品的类别和危险等级采用木结构、钢结构或装配式钢筋混凝土结构。</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《安全生产等级评定技术规范 第2部分：安全生产通用要求》（DB11/T 1322.2-2017）第3.8.3条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3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val="en-US" w:eastAsia="zh-CN"/>
              </w:rPr>
            </w:pPr>
            <w:r>
              <w:rPr>
                <w:rFonts w:hint="eastAsia" w:ascii="仿宋_GB2312" w:hAnsi="仿宋_GB2312" w:cs="仿宋_GB2312"/>
                <w:color w:val="000000"/>
                <w:sz w:val="20"/>
                <w:szCs w:val="20"/>
              </w:rPr>
              <w:t>14.4.02.07</w:t>
            </w:r>
            <w:r>
              <w:rPr>
                <w:rFonts w:hint="eastAsia" w:ascii="仿宋_GB2312" w:hAnsi="仿宋_GB2312" w:cs="仿宋_GB2312"/>
                <w:color w:val="000000"/>
                <w:sz w:val="20"/>
                <w:szCs w:val="20"/>
                <w:lang w:val="en-US" w:eastAsia="zh-CN"/>
              </w:rPr>
              <w:t>3</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场所环境类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建（构）筑物类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危险化学品仓库建筑</w:t>
            </w:r>
            <w:r>
              <w:rPr>
                <w:rFonts w:hint="eastAsia" w:ascii="仿宋_GB2312" w:hAnsi="仿宋_GB2312" w:cs="仿宋_GB2312"/>
                <w:color w:val="000000"/>
                <w:kern w:val="0"/>
                <w:sz w:val="20"/>
                <w:szCs w:val="20"/>
                <w:lang w:eastAsia="zh-CN" w:bidi="ar"/>
              </w:rPr>
              <w:t>不</w:t>
            </w:r>
            <w:r>
              <w:rPr>
                <w:rFonts w:hint="eastAsia" w:ascii="仿宋_GB2312" w:hAnsi="仿宋_GB2312" w:cs="仿宋_GB2312"/>
                <w:color w:val="000000"/>
                <w:kern w:val="0"/>
                <w:sz w:val="20"/>
                <w:szCs w:val="20"/>
                <w:lang w:bidi="ar"/>
              </w:rPr>
              <w:t>符合下列要求：（1）危险化学品仓库应设置高窗，窗上应安装防护铁栏，窗户应采取避光和防雨措施；（2）危险化学品仓库门应根据危险化学品性质相应采用具有防火、防雷、防静电、防腐、不产生火花等功能的单一或复合材料制成（如铁皮或木质外包铁皮门），仓库门应向疏散方向开启；（3）存在爆炸危险的危险化学品仓库应设置泄压设施。泄压方向宜向上，侧面泄压应避开人员集中场所、主要通道及能引起二次爆炸的车间、仓库。泄压设施应采用轻质屋（4）易燃易爆危险化学品仓库地面应硬化、防火；易燃易爆液体危险化学品仓库地面还应便于冲洗。面板、轻质墙体和易于泄压的门、窗等；</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仓库建筑应符合下列要求：（1）危险化学品仓库应设置高窗，窗上应安装防护铁栏，窗户应采取避光和防雨措施；（2）危险化学品仓库门应根据危险化学品性质相应采用具有防火、防雷、防静电、防腐、不产生火花等功能的单一或复合材料制成（如铁皮或木质外包铁皮门），仓库门应向疏散方向开启；（3）存在爆炸危险的危险化学品仓库应设置泄压设施。泄压方向宜向上，侧面泄压应避开人员集中场所、主要通道及能引起二次爆炸的车间、仓库。泄压设施应采用轻质屋（4）易燃易爆危险化学品仓库地面应硬化、防火；易燃易爆液体危险化学品仓库地面还应便于冲洗。面板、轻质墙体和易于泄压的门、窗等；</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default" w:ascii="仿宋_GB2312" w:hAnsi="仿宋_GB2312" w:cs="仿宋_GB2312"/>
                <w:color w:val="000000"/>
                <w:kern w:val="0"/>
                <w:sz w:val="20"/>
                <w:szCs w:val="20"/>
                <w:lang w:val="en" w:bidi="ar"/>
              </w:rPr>
            </w:pPr>
            <w:r>
              <w:rPr>
                <w:rFonts w:hint="eastAsia" w:ascii="仿宋_GB2312" w:hAnsi="仿宋_GB2312" w:cs="仿宋_GB2312"/>
                <w:color w:val="000000"/>
                <w:kern w:val="0"/>
                <w:sz w:val="20"/>
                <w:szCs w:val="20"/>
                <w:lang w:bidi="ar"/>
              </w:rPr>
              <w:t>《危险化学品储存场所建设及储存安全要求》</w:t>
            </w:r>
            <w:r>
              <w:rPr>
                <w:rFonts w:hint="eastAsia" w:ascii="仿宋_GB2312" w:hAnsi="仿宋_GB2312" w:cs="仿宋_GB2312"/>
                <w:color w:val="000000"/>
                <w:kern w:val="0"/>
                <w:sz w:val="20"/>
                <w:szCs w:val="20"/>
                <w:lang w:eastAsia="zh-CN" w:bidi="ar"/>
              </w:rPr>
              <w:t>（DB11/T 755）</w:t>
            </w:r>
            <w:r>
              <w:rPr>
                <w:rFonts w:hint="eastAsia" w:ascii="仿宋_GB2312" w:hAnsi="仿宋_GB2312" w:cs="仿宋_GB2312"/>
                <w:color w:val="000000"/>
                <w:kern w:val="0"/>
                <w:sz w:val="20"/>
                <w:szCs w:val="20"/>
                <w:lang w:bidi="ar"/>
              </w:rPr>
              <w:t>第4.2.5条、第4.2.6条、第4.2.7条</w:t>
            </w:r>
            <w:r>
              <w:rPr>
                <w:rFonts w:hint="default" w:ascii="仿宋_GB2312" w:hAnsi="仿宋_GB2312" w:cs="仿宋_GB2312"/>
                <w:color w:val="000000"/>
                <w:kern w:val="0"/>
                <w:sz w:val="20"/>
                <w:szCs w:val="20"/>
                <w:lang w:val="en" w:bidi="ar"/>
              </w:rPr>
              <w:t>;</w:t>
            </w:r>
          </w:p>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《安全生产等级评定技术规范 第2部分：安全生产通用要求》（DB11/T 1322.2-2017）第3.8.3条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9"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val="en-US" w:eastAsia="zh-CN"/>
              </w:rPr>
            </w:pPr>
            <w:r>
              <w:rPr>
                <w:rFonts w:hint="eastAsia" w:ascii="仿宋_GB2312" w:hAnsi="等线"/>
                <w:color w:val="000000"/>
                <w:sz w:val="20"/>
                <w:szCs w:val="20"/>
              </w:rPr>
              <w:t>14.2.13.07</w:t>
            </w:r>
            <w:r>
              <w:rPr>
                <w:rFonts w:hint="eastAsia" w:ascii="仿宋_GB2312" w:hAnsi="等线"/>
                <w:color w:val="000000"/>
                <w:sz w:val="20"/>
                <w:szCs w:val="20"/>
                <w:lang w:val="en-US" w:eastAsia="zh-CN"/>
              </w:rPr>
              <w:t>4</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用电安全类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电气设施未符合下列要求：危险化学品仓库内照明设施和电气设备的配电箱及电气开关应设置在仓库外，并应可靠接地，安装过压、过载、触电、漏电保护设施，采取防雨、防潮保护措施。</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电气设施应符合下列要求：危险化学品仓库内照明设施和电气设备的配电箱及电气开关应设置在仓库外，并应可靠接地，安装过压、过载、触电、漏电保护设施，采取防雨、防潮保护措施。</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default" w:ascii="仿宋_GB2312" w:hAnsi="仿宋_GB2312" w:cs="仿宋_GB2312"/>
                <w:color w:val="000000"/>
                <w:kern w:val="0"/>
                <w:sz w:val="20"/>
                <w:szCs w:val="20"/>
                <w:lang w:val="en" w:bidi="ar"/>
              </w:rPr>
            </w:pPr>
            <w:r>
              <w:rPr>
                <w:rFonts w:hint="eastAsia" w:ascii="仿宋_GB2312" w:hAnsi="仿宋_GB2312" w:cs="仿宋_GB2312"/>
                <w:color w:val="000000"/>
                <w:kern w:val="0"/>
                <w:sz w:val="20"/>
                <w:szCs w:val="20"/>
                <w:lang w:bidi="ar"/>
              </w:rPr>
              <w:t>《危险化学品储存场所建设及储存安全要求》</w:t>
            </w:r>
            <w:r>
              <w:rPr>
                <w:rFonts w:hint="eastAsia" w:ascii="仿宋_GB2312" w:hAnsi="仿宋_GB2312" w:cs="仿宋_GB2312"/>
                <w:color w:val="000000"/>
                <w:kern w:val="0"/>
                <w:sz w:val="20"/>
                <w:szCs w:val="20"/>
                <w:lang w:eastAsia="zh-CN" w:bidi="ar"/>
              </w:rPr>
              <w:t>（DB11/T 755）</w:t>
            </w:r>
            <w:r>
              <w:rPr>
                <w:rFonts w:hint="eastAsia" w:ascii="仿宋_GB2312" w:hAnsi="仿宋_GB2312" w:cs="仿宋_GB2312"/>
                <w:color w:val="000000"/>
                <w:kern w:val="0"/>
                <w:sz w:val="20"/>
                <w:szCs w:val="20"/>
                <w:lang w:bidi="ar"/>
              </w:rPr>
              <w:t>第4.3.2条</w:t>
            </w:r>
            <w:r>
              <w:rPr>
                <w:rFonts w:hint="default" w:ascii="仿宋_GB2312" w:hAnsi="仿宋_GB2312" w:cs="仿宋_GB2312"/>
                <w:color w:val="000000"/>
                <w:kern w:val="0"/>
                <w:sz w:val="20"/>
                <w:szCs w:val="20"/>
                <w:lang w:val="en" w:bidi="ar"/>
              </w:rPr>
              <w:t>;</w:t>
            </w:r>
          </w:p>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《安全生产等级评定技术规范 第2部分：安全生产通用要求》（DB11/T 1322.2-2017）第3.8.3条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9"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val="en-US" w:eastAsia="zh-CN"/>
              </w:rPr>
            </w:pPr>
            <w:r>
              <w:rPr>
                <w:rFonts w:hint="eastAsia" w:ascii="仿宋_GB2312" w:hAnsi="等线"/>
                <w:color w:val="000000"/>
                <w:sz w:val="20"/>
                <w:szCs w:val="20"/>
              </w:rPr>
              <w:t>14.2.13.07</w:t>
            </w:r>
            <w:r>
              <w:rPr>
                <w:rFonts w:hint="eastAsia" w:ascii="仿宋_GB2312" w:hAnsi="等线"/>
                <w:color w:val="000000"/>
                <w:sz w:val="20"/>
                <w:szCs w:val="20"/>
                <w:lang w:val="en-US" w:eastAsia="zh-CN"/>
              </w:rPr>
              <w:t>5</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kern w:val="0"/>
                <w:sz w:val="20"/>
                <w:szCs w:val="20"/>
                <w:lang w:bidi="ar"/>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kern w:val="0"/>
                <w:sz w:val="20"/>
                <w:szCs w:val="20"/>
                <w:lang w:bidi="ar"/>
              </w:rPr>
            </w:pPr>
            <w:r>
              <w:rPr>
                <w:rFonts w:hint="eastAsia" w:ascii="仿宋_GB2312" w:hAnsi="仿宋_GB2312" w:cs="仿宋_GB2312"/>
                <w:color w:val="000000"/>
                <w:kern w:val="0"/>
                <w:sz w:val="20"/>
                <w:szCs w:val="20"/>
                <w:lang w:bidi="ar"/>
              </w:rPr>
              <w:t>用电安全类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eastAsiaTheme="minorEastAsia"/>
                <w:lang w:eastAsia="zh-CN"/>
              </w:rPr>
            </w:pPr>
            <w:r>
              <w:rPr>
                <w:rFonts w:hint="eastAsia" w:ascii="仿宋_GB2312" w:hAnsi="仿宋_GB2312" w:cs="仿宋_GB2312"/>
                <w:color w:val="000000"/>
                <w:kern w:val="0"/>
                <w:sz w:val="20"/>
                <w:szCs w:val="20"/>
                <w:lang w:bidi="ar"/>
              </w:rPr>
              <w:t>化学品仓库场所雷电防护装置、防雷接地装置和雷电防护检测不</w:t>
            </w:r>
            <w:r>
              <w:rPr>
                <w:rFonts w:hint="eastAsia" w:ascii="仿宋_GB2312" w:hAnsi="仿宋_GB2312" w:cs="仿宋_GB2312"/>
                <w:color w:val="000000"/>
                <w:kern w:val="0"/>
                <w:sz w:val="20"/>
                <w:szCs w:val="20"/>
                <w:lang w:eastAsia="zh-CN" w:bidi="ar"/>
              </w:rPr>
              <w:t>符合</w:t>
            </w:r>
            <w:r>
              <w:rPr>
                <w:rFonts w:hint="eastAsia" w:ascii="仿宋_GB2312" w:hAnsi="仿宋_GB2312" w:cs="仿宋_GB2312"/>
                <w:color w:val="000000"/>
                <w:kern w:val="0"/>
                <w:sz w:val="20"/>
                <w:szCs w:val="20"/>
                <w:lang w:bidi="ar"/>
              </w:rPr>
              <w:t>规范法规要求。</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kern w:val="0"/>
                <w:sz w:val="20"/>
                <w:szCs w:val="20"/>
                <w:lang w:bidi="ar"/>
              </w:rPr>
            </w:pPr>
            <w:r>
              <w:rPr>
                <w:rFonts w:hint="eastAsia" w:ascii="仿宋_GB2312" w:hAnsi="仿宋_GB2312" w:cs="仿宋_GB2312"/>
                <w:color w:val="000000"/>
                <w:kern w:val="0"/>
                <w:sz w:val="20"/>
                <w:szCs w:val="20"/>
                <w:lang w:bidi="ar"/>
              </w:rPr>
              <w:t>涉及可燃和有毒有害气体泄漏的场所设置的检测报警装置和防爆电气设备、化工生产装置自动化控制系统、安全仪表系统、火灾自动报警系统未采取防雷措施。</w:t>
            </w:r>
          </w:p>
          <w:p>
            <w:pPr>
              <w:widowControl/>
              <w:adjustRightInd w:val="0"/>
              <w:snapToGrid w:val="0"/>
              <w:spacing w:after="0" w:line="240" w:lineRule="auto"/>
              <w:jc w:val="left"/>
              <w:textAlignment w:val="center"/>
              <w:rPr>
                <w:rFonts w:hint="eastAsia" w:ascii="仿宋_GB2312" w:hAnsi="仿宋_GB2312" w:cs="仿宋_GB2312"/>
                <w:color w:val="000000"/>
                <w:kern w:val="0"/>
                <w:sz w:val="20"/>
                <w:szCs w:val="20"/>
                <w:lang w:bidi="ar"/>
              </w:rPr>
            </w:pPr>
            <w:r>
              <w:rPr>
                <w:rFonts w:hint="eastAsia" w:ascii="仿宋_GB2312" w:hAnsi="仿宋_GB2312" w:cs="仿宋_GB2312"/>
                <w:color w:val="000000"/>
                <w:kern w:val="0"/>
                <w:sz w:val="20"/>
                <w:szCs w:val="20"/>
                <w:lang w:bidi="ar"/>
              </w:rPr>
              <w:t>建（构）筑物外、户外生产设施的引下线未设置防跨步电压、接触电压和旁侧闪络电压措施。</w:t>
            </w:r>
          </w:p>
          <w:p>
            <w:pPr>
              <w:widowControl/>
              <w:adjustRightInd w:val="0"/>
              <w:snapToGrid w:val="0"/>
              <w:spacing w:after="0" w:line="240" w:lineRule="auto"/>
              <w:jc w:val="left"/>
              <w:textAlignment w:val="center"/>
              <w:rPr>
                <w:rFonts w:hint="eastAsia" w:ascii="仿宋_GB2312" w:hAnsi="仿宋_GB2312" w:cs="仿宋_GB2312"/>
                <w:color w:val="000000"/>
                <w:kern w:val="0"/>
                <w:sz w:val="20"/>
                <w:szCs w:val="20"/>
                <w:lang w:bidi="ar"/>
              </w:rPr>
            </w:pPr>
            <w:r>
              <w:rPr>
                <w:rFonts w:hint="eastAsia" w:ascii="仿宋_GB2312" w:hAnsi="仿宋_GB2312" w:cs="仿宋_GB2312"/>
                <w:color w:val="000000"/>
                <w:kern w:val="0"/>
                <w:sz w:val="20"/>
                <w:szCs w:val="20"/>
                <w:lang w:bidi="ar"/>
              </w:rPr>
              <w:t>未开展雷电防护装置检测，或委托的检测机构不具备相应资质。</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kern w:val="0"/>
                <w:sz w:val="20"/>
                <w:szCs w:val="20"/>
                <w:lang w:bidi="ar"/>
              </w:rPr>
            </w:pPr>
            <w:r>
              <w:rPr>
                <w:rFonts w:hint="eastAsia" w:ascii="仿宋_GB2312" w:hAnsi="仿宋_GB2312" w:cs="仿宋_GB2312"/>
                <w:color w:val="000000"/>
                <w:kern w:val="0"/>
                <w:sz w:val="20"/>
                <w:szCs w:val="20"/>
                <w:lang w:bidi="ar"/>
              </w:rPr>
              <w:t>《化学品仓库建设工程和场所防雷安全隐患排查要求标准（试行）》附表1《化学品仓库建设工程和场所防雷安全重大隐患判定要素》</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r>
              <w:rPr>
                <w:rFonts w:hint="eastAsia" w:ascii="仿宋_GB2312" w:hAnsi="仿宋_GB2312" w:cs="仿宋_GB2312"/>
                <w:color w:val="000000"/>
                <w:sz w:val="20"/>
                <w:szCs w:val="20"/>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9"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cs="仿宋_GB2312"/>
                <w:color w:val="000000"/>
                <w:sz w:val="20"/>
                <w:szCs w:val="20"/>
                <w:highlight w:val="none"/>
              </w:rPr>
              <w:t>14.4.02.07</w:t>
            </w:r>
            <w:r>
              <w:rPr>
                <w:rFonts w:hint="eastAsia" w:ascii="仿宋_GB2312" w:hAnsi="仿宋_GB2312" w:cs="仿宋_GB2312"/>
                <w:color w:val="000000"/>
                <w:sz w:val="20"/>
                <w:szCs w:val="20"/>
                <w:highlight w:val="none"/>
                <w:lang w:val="en-US" w:eastAsia="zh-CN"/>
              </w:rPr>
              <w:t>6</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cs="仿宋_GB2312"/>
                <w:color w:val="000000"/>
                <w:kern w:val="0"/>
                <w:sz w:val="20"/>
                <w:szCs w:val="20"/>
                <w:highlight w:val="none"/>
                <w:lang w:bidi="ar"/>
              </w:rPr>
              <w:t>场所环境类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cs="仿宋_GB2312"/>
                <w:color w:val="000000"/>
                <w:kern w:val="0"/>
                <w:sz w:val="20"/>
                <w:szCs w:val="20"/>
                <w:highlight w:val="none"/>
                <w:lang w:bidi="ar"/>
              </w:rPr>
              <w:t>建（构）筑物类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kern w:val="0"/>
                <w:sz w:val="20"/>
                <w:szCs w:val="20"/>
                <w:highlight w:val="none"/>
                <w:lang w:eastAsia="zh-CN" w:bidi="ar"/>
              </w:rPr>
            </w:pPr>
            <w:r>
              <w:rPr>
                <w:rFonts w:hint="eastAsia" w:ascii="仿宋_GB2312" w:hAnsi="仿宋_GB2312" w:cs="仿宋_GB2312"/>
                <w:color w:val="000000"/>
                <w:kern w:val="0"/>
                <w:sz w:val="20"/>
                <w:szCs w:val="20"/>
                <w:highlight w:val="none"/>
                <w:lang w:eastAsia="zh-CN" w:bidi="ar"/>
              </w:rPr>
              <w:t>危险化学品仓库布置在洪水、雪崩、滑坡、泥石流、塌方及危石等危险区域。</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eastAsia="仿宋_GB2312" w:cs="仿宋_GB2312"/>
                <w:color w:val="000000"/>
                <w:kern w:val="0"/>
                <w:sz w:val="20"/>
                <w:szCs w:val="20"/>
                <w:highlight w:val="none"/>
                <w:lang w:eastAsia="zh-CN" w:bidi="ar"/>
              </w:rPr>
            </w:pPr>
            <w:r>
              <w:rPr>
                <w:rFonts w:hint="eastAsia" w:ascii="仿宋_GB2312" w:hAnsi="仿宋_GB2312" w:cs="仿宋_GB2312"/>
                <w:color w:val="000000"/>
                <w:kern w:val="0"/>
                <w:sz w:val="20"/>
                <w:szCs w:val="20"/>
                <w:highlight w:val="none"/>
                <w:lang w:eastAsia="zh-CN" w:bidi="ar"/>
              </w:rPr>
              <w:t>危险化学品仓库布置在洪水、雪崩、滑坡、泥石流、塌方及危石等危险区域。</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eastAsia="仿宋_GB2312" w:cs="仿宋_GB2312"/>
                <w:color w:val="000000"/>
                <w:kern w:val="0"/>
                <w:sz w:val="20"/>
                <w:szCs w:val="20"/>
                <w:highlight w:val="none"/>
                <w:lang w:eastAsia="zh-CN" w:bidi="ar"/>
              </w:rPr>
            </w:pPr>
            <w:r>
              <w:rPr>
                <w:rFonts w:hint="eastAsia" w:ascii="仿宋_GB2312" w:hAnsi="仿宋_GB2312" w:cs="仿宋_GB2312"/>
                <w:color w:val="000000"/>
                <w:kern w:val="0"/>
                <w:sz w:val="20"/>
                <w:szCs w:val="20"/>
                <w:highlight w:val="none"/>
                <w:lang w:eastAsia="zh-CN" w:bidi="ar"/>
              </w:rPr>
              <w:t>《水利工程建设项目生产安全重大事故隐患清单指南》</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cs="仿宋_GB2312"/>
                <w:color w:val="000000"/>
                <w:sz w:val="20"/>
                <w:szCs w:val="20"/>
                <w:highlight w:val="none"/>
              </w:rPr>
              <w:t>★</w:t>
            </w:r>
            <w:r>
              <w:rPr>
                <w:rFonts w:hint="eastAsia" w:ascii="仿宋_GB2312" w:hAnsi="仿宋_GB2312" w:cs="仿宋_GB2312"/>
                <w:color w:val="000000"/>
                <w:sz w:val="20"/>
                <w:szCs w:val="20"/>
                <w:highlight w:val="none"/>
                <w:lang w:val="en-US" w:eastAsia="zh-CN"/>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5000" w:type="pct"/>
            <w:gridSpan w:val="7"/>
            <w:tcBorders>
              <w:tl2br w:val="nil"/>
              <w:tr2bl w:val="nil"/>
            </w:tcBorders>
            <w:shd w:val="clear" w:color="auto" w:fill="B4C6E7"/>
            <w:vAlign w:val="center"/>
          </w:tcPr>
          <w:p>
            <w:pPr>
              <w:widowControl/>
              <w:adjustRightInd w:val="0"/>
              <w:snapToGrid w:val="0"/>
              <w:spacing w:after="0" w:line="240" w:lineRule="auto"/>
              <w:jc w:val="center"/>
              <w:textAlignment w:val="center"/>
              <w:rPr>
                <w:rFonts w:hint="eastAsia" w:ascii="仿宋_GB2312" w:hAnsi="仿宋_GB2312" w:cs="仿宋_GB2312"/>
                <w:b/>
                <w:color w:val="000000"/>
                <w:sz w:val="20"/>
                <w:szCs w:val="20"/>
              </w:rPr>
            </w:pPr>
            <w:r>
              <w:rPr>
                <w:rFonts w:hint="eastAsia" w:ascii="仿宋_GB2312" w:hAnsi="仿宋_GB2312" w:cs="仿宋_GB2312"/>
                <w:b/>
                <w:color w:val="000000"/>
                <w:kern w:val="0"/>
                <w:sz w:val="20"/>
                <w:szCs w:val="20"/>
                <w:lang w:bidi="ar"/>
              </w:rPr>
              <w:t>专用</w:t>
            </w:r>
            <w:r>
              <w:rPr>
                <w:rFonts w:hint="eastAsia" w:ascii="仿宋_GB2312" w:hAnsi="仿宋_GB2312" w:cs="仿宋_GB2312"/>
                <w:b/>
                <w:color w:val="000000"/>
                <w:kern w:val="0"/>
                <w:sz w:val="20"/>
                <w:szCs w:val="20"/>
                <w:lang w:eastAsia="zh-CN" w:bidi="ar"/>
              </w:rPr>
              <w:t>储存</w:t>
            </w:r>
            <w:r>
              <w:rPr>
                <w:rFonts w:hint="eastAsia" w:ascii="仿宋_GB2312" w:hAnsi="仿宋_GB2312" w:cs="仿宋_GB2312"/>
                <w:b/>
                <w:color w:val="000000"/>
                <w:kern w:val="0"/>
                <w:sz w:val="20"/>
                <w:szCs w:val="20"/>
                <w:lang w:bidi="ar"/>
              </w:rPr>
              <w:t>室与气瓶间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58"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仿宋_GB2312" w:cs="仿宋_GB2312"/>
                <w:color w:val="000000"/>
                <w:sz w:val="20"/>
                <w:szCs w:val="20"/>
              </w:rPr>
              <w:t>14.4.02.077</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场所环境类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建（构）筑物类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储存危险化学品的专用储存室和气瓶间的耐火等级低于二级；专用储存室安全出口</w:t>
            </w:r>
            <w:r>
              <w:rPr>
                <w:rFonts w:hint="eastAsia" w:ascii="仿宋_GB2312" w:hAnsi="仿宋_GB2312" w:cs="仿宋_GB2312"/>
                <w:color w:val="000000"/>
                <w:kern w:val="0"/>
                <w:sz w:val="20"/>
                <w:szCs w:val="20"/>
                <w:lang w:eastAsia="zh-CN" w:bidi="ar"/>
              </w:rPr>
              <w:t>不符合要求</w:t>
            </w:r>
            <w:r>
              <w:rPr>
                <w:rFonts w:hint="eastAsia" w:ascii="仿宋_GB2312" w:hAnsi="仿宋_GB2312" w:cs="仿宋_GB2312"/>
                <w:color w:val="000000"/>
                <w:kern w:val="0"/>
                <w:sz w:val="20"/>
                <w:szCs w:val="20"/>
                <w:lang w:bidi="ar"/>
              </w:rPr>
              <w:t>。安全出口的门未向疏散方向开启。</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储存危险化学品的专用储存室和气瓶间的耐火等级不应低于二级；专用储存室安全出口不应少于2个，但当建筑面积不大于100 m</w:t>
            </w:r>
            <w:r>
              <w:rPr>
                <w:rFonts w:hint="eastAsia" w:ascii="仿宋_GB2312" w:hAnsi="仿宋_GB2312" w:cs="仿宋_GB2312"/>
                <w:color w:val="000000"/>
                <w:kern w:val="0"/>
                <w:sz w:val="20"/>
                <w:szCs w:val="20"/>
                <w:vertAlign w:val="superscript"/>
                <w:lang w:bidi="ar"/>
              </w:rPr>
              <w:t>2</w:t>
            </w:r>
            <w:r>
              <w:rPr>
                <w:rFonts w:hint="eastAsia" w:ascii="仿宋_GB2312" w:hAnsi="仿宋_GB2312" w:cs="仿宋_GB2312"/>
                <w:color w:val="000000"/>
                <w:kern w:val="0"/>
                <w:sz w:val="20"/>
                <w:szCs w:val="20"/>
                <w:lang w:bidi="ar"/>
              </w:rPr>
              <w:t>时，可设置1个安全出口。安全出口的门应向疏散方向开启。</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default" w:ascii="仿宋_GB2312" w:hAnsi="仿宋_GB2312" w:cs="仿宋_GB2312"/>
                <w:color w:val="000000"/>
                <w:kern w:val="0"/>
                <w:sz w:val="20"/>
                <w:szCs w:val="20"/>
                <w:lang w:val="en" w:bidi="ar"/>
              </w:rPr>
            </w:pPr>
            <w:r>
              <w:rPr>
                <w:rFonts w:hint="eastAsia" w:ascii="仿宋_GB2312" w:hAnsi="仿宋_GB2312" w:cs="仿宋_GB2312"/>
                <w:color w:val="000000"/>
                <w:kern w:val="0"/>
                <w:sz w:val="20"/>
                <w:szCs w:val="20"/>
                <w:lang w:bidi="ar"/>
              </w:rPr>
              <w:t>《建筑设计防火规范（2018年版）》（GB 50016-2014）第3.8.2条</w:t>
            </w:r>
            <w:r>
              <w:rPr>
                <w:rFonts w:hint="default" w:ascii="仿宋_GB2312" w:hAnsi="仿宋_GB2312" w:cs="仿宋_GB2312"/>
                <w:color w:val="000000"/>
                <w:kern w:val="0"/>
                <w:sz w:val="20"/>
                <w:szCs w:val="20"/>
                <w:lang w:val="en" w:bidi="ar"/>
              </w:rPr>
              <w:t>;</w:t>
            </w:r>
          </w:p>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《安全生产等级评定技术规范 第2部分：安全生产通用要求》（DB11/T 1322.2-2017）第3.8.4.1条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仿宋_GB2312" w:cs="仿宋_GB2312"/>
                <w:color w:val="000000"/>
                <w:sz w:val="20"/>
                <w:szCs w:val="20"/>
              </w:rPr>
              <w:t>14.4.02.078</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场所环境类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建（构）筑物类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专用储存室和气瓶间未远离食堂、活动室等人员较为密集的建筑。专用储存室和气瓶间如设在建筑物内，未选择靠外墙、人员较少的位置，</w:t>
            </w:r>
            <w:r>
              <w:rPr>
                <w:rFonts w:hint="eastAsia" w:ascii="仿宋_GB2312" w:hAnsi="仿宋_GB2312" w:cs="仿宋_GB2312"/>
                <w:color w:val="000000"/>
                <w:kern w:val="0"/>
                <w:sz w:val="20"/>
                <w:szCs w:val="20"/>
                <w:lang w:eastAsia="zh-CN" w:bidi="ar"/>
              </w:rPr>
              <w:t>未</w:t>
            </w:r>
            <w:r>
              <w:rPr>
                <w:rFonts w:hint="eastAsia" w:ascii="仿宋_GB2312" w:hAnsi="仿宋_GB2312" w:cs="仿宋_GB2312"/>
                <w:color w:val="000000"/>
                <w:kern w:val="0"/>
                <w:sz w:val="20"/>
                <w:szCs w:val="20"/>
                <w:lang w:bidi="ar"/>
              </w:rPr>
              <w:t>设置防火墙、泄压设施；如与其他建筑物贴邻设置时，有门、窗与相邻建筑物相通；泄压设施宜采用轻质屋面板、轻质墙体和易于泄压的门、窗等，其设置未避开人员密集的场所和主要交通道路。</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专用储存室和气瓶间应远离食堂、活动室等人员较为密集的建筑。专用储存室和气瓶间如设在建筑物内，应选择靠外墙、人员较少的位置，并设置防火墙、泄压设施；如与其他建筑物贴邻设置时，不应有门、窗与相邻建筑物相通；泄压设施宜采用轻质屋面板、轻质墙体和易于泄压的门、窗等，其设置应避开人员密集的场所和主要交通道路。</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default" w:ascii="仿宋_GB2312" w:hAnsi="仿宋_GB2312" w:cs="仿宋_GB2312"/>
                <w:color w:val="000000"/>
                <w:kern w:val="0"/>
                <w:sz w:val="20"/>
                <w:szCs w:val="20"/>
                <w:lang w:val="en" w:bidi="ar"/>
              </w:rPr>
            </w:pPr>
            <w:r>
              <w:rPr>
                <w:rFonts w:hint="eastAsia" w:ascii="仿宋_GB2312" w:hAnsi="仿宋_GB2312" w:cs="仿宋_GB2312"/>
                <w:color w:val="000000"/>
                <w:kern w:val="0"/>
                <w:sz w:val="20"/>
                <w:szCs w:val="20"/>
                <w:lang w:bidi="ar"/>
              </w:rPr>
              <w:t>《建筑设计防火规范（2018年版）》（GB 50016-2014）第3.6.2条、第3.6.3条</w:t>
            </w:r>
            <w:r>
              <w:rPr>
                <w:rFonts w:hint="default" w:ascii="仿宋_GB2312" w:hAnsi="仿宋_GB2312" w:cs="仿宋_GB2312"/>
                <w:color w:val="000000"/>
                <w:kern w:val="0"/>
                <w:sz w:val="20"/>
                <w:szCs w:val="20"/>
                <w:lang w:val="en" w:bidi="ar"/>
              </w:rPr>
              <w:t>;</w:t>
            </w:r>
          </w:p>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《安全生产等级评定技术规范 第2部分：安全生产通用要求》（DB11/T 1322.2-2017）第3.8.4.2条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仿宋_GB2312" w:cs="仿宋_GB2312"/>
                <w:color w:val="000000"/>
                <w:sz w:val="20"/>
                <w:szCs w:val="20"/>
              </w:rPr>
              <w:t>14.2.12.079</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储存有易燃易爆危险化学品的专用储存室和易燃气体气瓶间外未设置静电消除器。</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储存有易燃易爆危险化学品的专用储存室和易燃气体气瓶间外应设置静电消除器。</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《安全生产等级评定技术规范 第2部分：安全生产通用要求》（DB11/T 1322.2-2017）第3.8.4.3条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88"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仿宋_GB2312" w:cs="仿宋_GB2312"/>
                <w:color w:val="000000"/>
                <w:sz w:val="20"/>
                <w:szCs w:val="20"/>
              </w:rPr>
              <w:t>14.4.02.080</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场所环境类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建（构）筑物类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储存有易燃易爆危险化学品的专用储存室和易燃气体气瓶间的门窗、地面</w:t>
            </w:r>
            <w:r>
              <w:rPr>
                <w:rFonts w:hint="eastAsia" w:ascii="仿宋_GB2312" w:hAnsi="仿宋_GB2312" w:cs="仿宋_GB2312"/>
                <w:color w:val="000000"/>
                <w:kern w:val="0"/>
                <w:sz w:val="20"/>
                <w:szCs w:val="20"/>
                <w:lang w:eastAsia="zh-CN" w:bidi="ar"/>
              </w:rPr>
              <w:t>不</w:t>
            </w:r>
            <w:r>
              <w:rPr>
                <w:rFonts w:hint="eastAsia" w:ascii="仿宋_GB2312" w:hAnsi="仿宋_GB2312" w:cs="仿宋_GB2312"/>
                <w:color w:val="000000"/>
                <w:kern w:val="0"/>
                <w:sz w:val="20"/>
                <w:szCs w:val="20"/>
                <w:lang w:bidi="ar"/>
              </w:rPr>
              <w:t>符合要求。</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储存有易燃易爆危险化学品的专用储存室和易燃气体气瓶间的门窗、地面应符合下列要求：（1）门应向疏散方向开启；（2）地面平整、耐磨、防滑，不应设地沟、暗道；（3）门窗、地面应采用撞击时不产生火花的材料制作。采用绝缘材料作整体面层时，应采取防静电措施。</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《安全生产等级评定技术规范 第2部分：安全生产通用要求》（DB11/T 1322.2-2017）第3.8.4.5条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4" w:hRule="atLeast"/>
        </w:trPr>
        <w:tc>
          <w:tcPr>
            <w:tcW w:w="5000" w:type="pct"/>
            <w:gridSpan w:val="7"/>
            <w:tcBorders>
              <w:tl2br w:val="nil"/>
              <w:tr2bl w:val="nil"/>
            </w:tcBorders>
            <w:shd w:val="clear" w:color="auto" w:fill="B4C6E7"/>
            <w:vAlign w:val="center"/>
          </w:tcPr>
          <w:p>
            <w:pPr>
              <w:widowControl/>
              <w:adjustRightInd w:val="0"/>
              <w:snapToGrid w:val="0"/>
              <w:spacing w:after="0" w:line="240" w:lineRule="auto"/>
              <w:jc w:val="center"/>
              <w:textAlignment w:val="center"/>
              <w:rPr>
                <w:rFonts w:hint="eastAsia" w:ascii="仿宋_GB2312" w:hAnsi="仿宋_GB2312" w:cs="仿宋_GB2312"/>
                <w:b/>
                <w:color w:val="000000"/>
                <w:sz w:val="20"/>
                <w:szCs w:val="20"/>
              </w:rPr>
            </w:pPr>
            <w:r>
              <w:rPr>
                <w:rFonts w:hint="eastAsia" w:ascii="仿宋_GB2312" w:hAnsi="仿宋_GB2312" w:cs="仿宋_GB2312"/>
                <w:b/>
                <w:color w:val="000000"/>
                <w:kern w:val="0"/>
                <w:sz w:val="20"/>
                <w:szCs w:val="20"/>
                <w:lang w:bidi="ar"/>
              </w:rPr>
              <w:t>储存专柜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59" w:type="pct"/>
            <w:tcBorders>
              <w:tl2br w:val="nil"/>
              <w:tr2bl w:val="nil"/>
            </w:tcBorders>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等线"/>
                <w:color w:val="000000"/>
                <w:sz w:val="20"/>
                <w:szCs w:val="20"/>
              </w:rPr>
              <w:t>14.2.</w:t>
            </w:r>
            <w:r>
              <w:rPr>
                <w:rFonts w:hint="eastAsia" w:ascii="仿宋_GB2312" w:hAnsi="仿宋_GB2312" w:cs="仿宋_GB2312"/>
                <w:color w:val="000000"/>
                <w:sz w:val="20"/>
                <w:szCs w:val="20"/>
              </w:rPr>
              <w:t>12.081</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作业场所危险化学品未采用专柜存储，替代专用储存室，存储量超过本岗位当班使用量；每个专柜的存储量超过50 L或50 kg。</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作业场所危险化学品可采用专柜存储，但不应替代专用储存室，存储量不应超过本岗位当班使用量；每个专柜的存储量不应超过50 L或50 kg。</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《安全生产等级评定技术规范 第2部分：安全生产通用要求》（DB11/T 1322.2-2017）第3.8.5.1条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359" w:type="pct"/>
            <w:tcBorders>
              <w:tl2br w:val="nil"/>
              <w:tr2bl w:val="nil"/>
            </w:tcBorders>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等线"/>
                <w:color w:val="000000"/>
                <w:sz w:val="20"/>
                <w:szCs w:val="20"/>
              </w:rPr>
              <w:t>14.2.</w:t>
            </w:r>
            <w:r>
              <w:rPr>
                <w:rFonts w:hint="eastAsia" w:ascii="仿宋_GB2312" w:hAnsi="仿宋_GB2312" w:cs="仿宋_GB2312"/>
                <w:color w:val="000000"/>
                <w:sz w:val="20"/>
                <w:szCs w:val="20"/>
              </w:rPr>
              <w:t>12.082</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采用防爆柜、防腐柜等专柜储存易燃易爆、腐蚀性危险化学品的，专柜未放置于阴凉干燥通风处。专柜无进风口和排风口，</w:t>
            </w:r>
            <w:r>
              <w:rPr>
                <w:rFonts w:hint="eastAsia" w:ascii="仿宋_GB2312" w:hAnsi="仿宋_GB2312" w:cs="仿宋_GB2312"/>
                <w:color w:val="000000"/>
                <w:kern w:val="0"/>
                <w:sz w:val="20"/>
                <w:szCs w:val="20"/>
                <w:lang w:eastAsia="zh-CN" w:bidi="ar"/>
              </w:rPr>
              <w:t>未</w:t>
            </w:r>
            <w:r>
              <w:rPr>
                <w:rFonts w:hint="eastAsia" w:ascii="仿宋_GB2312" w:hAnsi="仿宋_GB2312" w:cs="仿宋_GB2312"/>
                <w:color w:val="000000"/>
                <w:kern w:val="0"/>
                <w:sz w:val="20"/>
                <w:szCs w:val="20"/>
                <w:lang w:bidi="ar"/>
              </w:rPr>
              <w:t>直通到室外，柜体未进行可靠接地或者危险化学品储存柜应具有吸收净化功能。</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采用防爆柜、防腐柜等专柜储存易燃易爆、腐蚀性危险化学品的，专柜应放置于阴凉干燥通风处。专柜应有进风口和排风口，且直通到室外，柜体应进行可靠接地或者危险化学品储存柜应具有吸收净化功能。</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《安全生产等级评定技术规范 第2部分：安全生产通用要求》（DB11/T 1322.2-2017）第3.8.5.2条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359" w:type="pct"/>
            <w:tcBorders>
              <w:tl2br w:val="nil"/>
              <w:tr2bl w:val="nil"/>
            </w:tcBorders>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等线"/>
                <w:color w:val="000000"/>
                <w:sz w:val="20"/>
                <w:szCs w:val="20"/>
              </w:rPr>
              <w:t>14.2.09.083</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监控系统类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易燃气体、毒性气体气瓶柜未在排风出口设置气体浓度检测报警装置；安装高度未根据气体的密度而定。气体声光报警信号控制器未设置在气瓶柜外并接至有人值守的值班室内。</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易燃气体、毒性气体气瓶柜应在排风出口设置气体浓度检测报警装置；安装高度应根据气体的密度而定。气体声光报警信号控制器应设置在气瓶柜外并接至有人值守的值班室内。</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《安全生产等级评定技术规范 第2部分：安全生产通用要求》（DB11/T 1322.2-2017）第3.8.5.3条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359" w:type="pct"/>
            <w:tcBorders>
              <w:tl2br w:val="nil"/>
              <w:tr2bl w:val="nil"/>
            </w:tcBorders>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仿宋_GB2312" w:cs="仿宋_GB2312"/>
                <w:color w:val="000000"/>
                <w:sz w:val="20"/>
                <w:szCs w:val="20"/>
              </w:rPr>
              <w:t>14.4.03.084</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场所环境类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标志及标识类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专柜</w:t>
            </w:r>
            <w:r>
              <w:rPr>
                <w:rFonts w:hint="eastAsia" w:ascii="仿宋_GB2312" w:hAnsi="仿宋_GB2312" w:cs="仿宋_GB2312"/>
                <w:color w:val="000000"/>
                <w:kern w:val="0"/>
                <w:sz w:val="20"/>
                <w:szCs w:val="20"/>
                <w:lang w:eastAsia="zh-CN" w:bidi="ar"/>
              </w:rPr>
              <w:t>无</w:t>
            </w:r>
            <w:r>
              <w:rPr>
                <w:rFonts w:hint="eastAsia" w:ascii="仿宋_GB2312" w:hAnsi="仿宋_GB2312" w:cs="仿宋_GB2312"/>
                <w:color w:val="000000"/>
                <w:kern w:val="0"/>
                <w:sz w:val="20"/>
                <w:szCs w:val="20"/>
                <w:lang w:bidi="ar"/>
              </w:rPr>
              <w:t>明显标识，</w:t>
            </w:r>
            <w:r>
              <w:rPr>
                <w:rFonts w:hint="eastAsia" w:ascii="仿宋_GB2312" w:hAnsi="仿宋_GB2312" w:cs="仿宋_GB2312"/>
                <w:color w:val="000000"/>
                <w:kern w:val="0"/>
                <w:sz w:val="20"/>
                <w:szCs w:val="20"/>
                <w:lang w:eastAsia="zh-CN" w:bidi="ar"/>
              </w:rPr>
              <w:t>未</w:t>
            </w:r>
            <w:r>
              <w:rPr>
                <w:rFonts w:hint="eastAsia" w:ascii="仿宋_GB2312" w:hAnsi="仿宋_GB2312" w:cs="仿宋_GB2312"/>
                <w:color w:val="000000"/>
                <w:kern w:val="0"/>
                <w:sz w:val="20"/>
                <w:szCs w:val="20"/>
                <w:lang w:bidi="ar"/>
              </w:rPr>
              <w:t>标明危险化学品类别、责任人、安全员、保管员等信息。柜内存放的危险化学品</w:t>
            </w:r>
            <w:r>
              <w:rPr>
                <w:rFonts w:hint="eastAsia" w:ascii="仿宋_GB2312" w:hAnsi="仿宋_GB2312" w:cs="仿宋_GB2312"/>
                <w:color w:val="000000"/>
                <w:kern w:val="0"/>
                <w:sz w:val="20"/>
                <w:szCs w:val="20"/>
                <w:lang w:eastAsia="zh-CN" w:bidi="ar"/>
              </w:rPr>
              <w:t>未</w:t>
            </w:r>
            <w:r>
              <w:rPr>
                <w:rFonts w:hint="eastAsia" w:ascii="仿宋_GB2312" w:hAnsi="仿宋_GB2312" w:cs="仿宋_GB2312"/>
                <w:color w:val="000000"/>
                <w:kern w:val="0"/>
                <w:sz w:val="20"/>
                <w:szCs w:val="20"/>
                <w:lang w:bidi="ar"/>
              </w:rPr>
              <w:t>按照品名分类摆放。</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专柜应有明显标识，标明危险化学品类别、责任人、安全员、保管员等信息。柜内存放的危险化学品按照品名分类摆放。</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《安全生产等级评定技术规范 第2部分：安全生产通用要求》（DB11/T 1322.2-2017）第3.8.5.4条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59" w:type="pct"/>
            <w:tcBorders>
              <w:tl2br w:val="nil"/>
              <w:tr2bl w:val="nil"/>
            </w:tcBorders>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等线"/>
                <w:color w:val="000000"/>
                <w:sz w:val="20"/>
                <w:szCs w:val="20"/>
              </w:rPr>
              <w:t>14.2.</w:t>
            </w:r>
            <w:r>
              <w:rPr>
                <w:rFonts w:hint="eastAsia" w:ascii="仿宋_GB2312" w:hAnsi="仿宋_GB2312" w:cs="仿宋_GB2312"/>
                <w:color w:val="000000"/>
                <w:sz w:val="20"/>
                <w:szCs w:val="20"/>
              </w:rPr>
              <w:t>12.085</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需低温存放的易燃易爆危险化学品未存放在具有防爆功能的冰箱内。</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需低温存放的易燃易爆危险化学品应存放在具有防爆功能的冰箱内。</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《危险化学品储存场所建设及储存安全要求》</w:t>
            </w:r>
            <w:r>
              <w:rPr>
                <w:rFonts w:hint="eastAsia" w:ascii="仿宋_GB2312" w:hAnsi="仿宋_GB2312" w:cs="仿宋_GB2312"/>
                <w:color w:val="000000"/>
                <w:kern w:val="0"/>
                <w:sz w:val="20"/>
                <w:szCs w:val="20"/>
                <w:lang w:eastAsia="zh-CN" w:bidi="ar"/>
              </w:rPr>
              <w:t>（DB11/T 755）</w:t>
            </w:r>
            <w:r>
              <w:rPr>
                <w:rFonts w:hint="eastAsia" w:ascii="仿宋_GB2312" w:hAnsi="仿宋_GB2312" w:cs="仿宋_GB2312"/>
                <w:color w:val="000000"/>
                <w:kern w:val="0"/>
                <w:sz w:val="20"/>
                <w:szCs w:val="20"/>
                <w:lang w:bidi="ar"/>
              </w:rPr>
              <w:t>第5.1.1.10条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59" w:type="pct"/>
            <w:tcBorders>
              <w:tl2br w:val="nil"/>
              <w:tr2bl w:val="nil"/>
            </w:tcBorders>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等线"/>
                <w:color w:val="000000"/>
                <w:sz w:val="20"/>
                <w:szCs w:val="20"/>
              </w:rPr>
              <w:t>14.2.</w:t>
            </w:r>
            <w:r>
              <w:rPr>
                <w:rFonts w:hint="eastAsia" w:ascii="仿宋_GB2312" w:hAnsi="仿宋_GB2312" w:cs="仿宋_GB2312"/>
                <w:color w:val="000000"/>
                <w:sz w:val="20"/>
                <w:szCs w:val="20"/>
              </w:rPr>
              <w:t>12.086</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腐蚀性化学品未单独存放在具有防腐蚀功能的储存柜内，无防遗撒托盘。</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腐蚀性化学品应单独存放在具有防腐蚀功能的储存柜内，并有防遗撒托盘。</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default" w:ascii="仿宋_GB2312" w:hAnsi="仿宋_GB2312" w:cs="仿宋_GB2312"/>
                <w:color w:val="000000"/>
                <w:kern w:val="0"/>
                <w:sz w:val="20"/>
                <w:szCs w:val="20"/>
                <w:lang w:val="en" w:bidi="ar"/>
              </w:rPr>
            </w:pPr>
            <w:r>
              <w:rPr>
                <w:rFonts w:hint="eastAsia" w:ascii="仿宋_GB2312" w:hAnsi="仿宋_GB2312" w:cs="仿宋_GB2312"/>
                <w:color w:val="000000"/>
                <w:kern w:val="0"/>
                <w:sz w:val="20"/>
                <w:szCs w:val="20"/>
                <w:lang w:bidi="ar"/>
              </w:rPr>
              <w:t>1.《腐蚀性商品储存养护技术条件》（GB 17915-2013）</w:t>
            </w:r>
            <w:r>
              <w:rPr>
                <w:rFonts w:hint="default" w:ascii="仿宋_GB2312" w:hAnsi="仿宋_GB2312" w:cs="仿宋_GB2312"/>
                <w:color w:val="000000"/>
                <w:kern w:val="0"/>
                <w:sz w:val="20"/>
                <w:szCs w:val="20"/>
                <w:lang w:val="en" w:bidi="ar"/>
              </w:rPr>
              <w:t>;</w:t>
            </w:r>
          </w:p>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2.《危险化学品储存场所建设及储存安全要求》</w:t>
            </w:r>
            <w:r>
              <w:rPr>
                <w:rFonts w:hint="eastAsia" w:ascii="仿宋_GB2312" w:hAnsi="仿宋_GB2312" w:cs="仿宋_GB2312"/>
                <w:color w:val="000000"/>
                <w:kern w:val="0"/>
                <w:sz w:val="20"/>
                <w:szCs w:val="20"/>
                <w:lang w:eastAsia="zh-CN" w:bidi="ar"/>
              </w:rPr>
              <w:t>（DB11/T 755）</w:t>
            </w:r>
            <w:r>
              <w:rPr>
                <w:rFonts w:hint="eastAsia" w:ascii="仿宋_GB2312" w:hAnsi="仿宋_GB2312" w:cs="仿宋_GB2312"/>
                <w:color w:val="000000"/>
                <w:kern w:val="0"/>
                <w:sz w:val="20"/>
                <w:szCs w:val="20"/>
                <w:lang w:bidi="ar"/>
              </w:rPr>
              <w:t>第5.1.1.10条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59" w:type="pct"/>
            <w:tcBorders>
              <w:tl2br w:val="nil"/>
              <w:tr2bl w:val="nil"/>
            </w:tcBorders>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等线"/>
                <w:color w:val="000000"/>
                <w:sz w:val="20"/>
                <w:szCs w:val="20"/>
              </w:rPr>
              <w:t>14.2.</w:t>
            </w:r>
            <w:r>
              <w:rPr>
                <w:rFonts w:hint="eastAsia" w:ascii="仿宋_GB2312" w:hAnsi="仿宋_GB2312" w:cs="仿宋_GB2312"/>
                <w:color w:val="000000"/>
                <w:sz w:val="20"/>
                <w:szCs w:val="20"/>
              </w:rPr>
              <w:t>12.087</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爆炸性化学品、易制毒化学品和易制爆危险化学品未与其他危险化学品分柜存放。</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爆炸性化学品、易制毒化学品和易制爆危险化学品应与其他危险化学品分柜存放。</w:t>
            </w:r>
          </w:p>
        </w:tc>
        <w:tc>
          <w:tcPr>
            <w:tcW w:w="1369" w:type="pct"/>
            <w:tcBorders>
              <w:tl2br w:val="nil"/>
              <w:tr2bl w:val="nil"/>
            </w:tcBorders>
            <w:vAlign w:val="center"/>
          </w:tcPr>
          <w:p>
            <w:pPr>
              <w:widowControl/>
              <w:adjustRightInd w:val="0"/>
              <w:snapToGrid w:val="0"/>
              <w:spacing w:after="0" w:line="240" w:lineRule="auto"/>
              <w:textAlignment w:val="bottom"/>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《危险化学品储存场所建设及储存安全要求》</w:t>
            </w:r>
            <w:r>
              <w:rPr>
                <w:rFonts w:hint="eastAsia" w:ascii="仿宋_GB2312" w:hAnsi="仿宋_GB2312" w:cs="仿宋_GB2312"/>
                <w:color w:val="000000"/>
                <w:kern w:val="0"/>
                <w:sz w:val="20"/>
                <w:szCs w:val="20"/>
                <w:lang w:eastAsia="zh-CN" w:bidi="ar"/>
              </w:rPr>
              <w:t>（DB11/T 755）</w:t>
            </w:r>
            <w:r>
              <w:rPr>
                <w:rFonts w:hint="eastAsia" w:ascii="仿宋_GB2312" w:hAnsi="仿宋_GB2312" w:cs="仿宋_GB2312"/>
                <w:color w:val="000000"/>
                <w:kern w:val="0"/>
                <w:sz w:val="20"/>
                <w:szCs w:val="20"/>
                <w:lang w:bidi="ar"/>
              </w:rPr>
              <w:t>第5.1.1.10条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59" w:type="pct"/>
            <w:tcBorders>
              <w:tl2br w:val="nil"/>
              <w:tr2bl w:val="nil"/>
            </w:tcBorders>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等线"/>
                <w:color w:val="000000"/>
                <w:sz w:val="20"/>
                <w:szCs w:val="20"/>
              </w:rPr>
              <w:t>14.2.</w:t>
            </w:r>
            <w:r>
              <w:rPr>
                <w:rFonts w:hint="eastAsia" w:ascii="仿宋_GB2312" w:hAnsi="仿宋_GB2312" w:cs="仿宋_GB2312"/>
                <w:color w:val="000000"/>
                <w:sz w:val="20"/>
                <w:szCs w:val="20"/>
              </w:rPr>
              <w:t>12.088</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存放易燃易爆危险化学品的储存柜</w:t>
            </w:r>
            <w:r>
              <w:rPr>
                <w:rFonts w:hint="eastAsia" w:ascii="仿宋_GB2312" w:hAnsi="仿宋_GB2312" w:cs="仿宋_GB2312"/>
                <w:color w:val="000000"/>
                <w:kern w:val="0"/>
                <w:sz w:val="20"/>
                <w:szCs w:val="20"/>
                <w:lang w:eastAsia="zh-CN" w:bidi="ar"/>
              </w:rPr>
              <w:t>无</w:t>
            </w:r>
            <w:r>
              <w:rPr>
                <w:rFonts w:hint="eastAsia" w:ascii="仿宋_GB2312" w:hAnsi="仿宋_GB2312" w:cs="仿宋_GB2312"/>
                <w:color w:val="000000"/>
                <w:kern w:val="0"/>
                <w:sz w:val="20"/>
                <w:szCs w:val="20"/>
                <w:lang w:bidi="ar"/>
              </w:rPr>
              <w:t>导出静电的接地装置</w:t>
            </w:r>
            <w:r>
              <w:rPr>
                <w:rFonts w:hint="eastAsia" w:ascii="仿宋_GB2312" w:hAnsi="仿宋_GB2312" w:cs="仿宋_GB2312"/>
                <w:color w:val="000000"/>
                <w:kern w:val="0"/>
                <w:sz w:val="20"/>
                <w:szCs w:val="20"/>
                <w:lang w:eastAsia="zh-CN" w:bidi="ar"/>
              </w:rPr>
              <w:t>，未</w:t>
            </w:r>
            <w:r>
              <w:rPr>
                <w:rFonts w:hint="eastAsia" w:ascii="仿宋_GB2312" w:hAnsi="仿宋_GB2312" w:cs="仿宋_GB2312"/>
                <w:color w:val="000000"/>
                <w:kern w:val="0"/>
                <w:sz w:val="20"/>
                <w:szCs w:val="20"/>
                <w:lang w:bidi="ar"/>
              </w:rPr>
              <w:t>可靠接地。</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存放易燃易爆危险化学品的储存柜应有导出静电的接地装置并可靠接地。</w:t>
            </w:r>
          </w:p>
        </w:tc>
        <w:tc>
          <w:tcPr>
            <w:tcW w:w="1369"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《危险化学品储存场所建设及储存安全要求》</w:t>
            </w:r>
            <w:r>
              <w:rPr>
                <w:rFonts w:hint="eastAsia" w:ascii="仿宋_GB2312" w:hAnsi="仿宋_GB2312" w:cs="仿宋_GB2312"/>
                <w:color w:val="000000"/>
                <w:kern w:val="0"/>
                <w:sz w:val="20"/>
                <w:szCs w:val="20"/>
                <w:lang w:eastAsia="zh-CN" w:bidi="ar"/>
              </w:rPr>
              <w:t>（DB11/T 755）</w:t>
            </w:r>
            <w:r>
              <w:rPr>
                <w:rFonts w:hint="eastAsia" w:ascii="仿宋_GB2312" w:hAnsi="仿宋_GB2312" w:cs="仿宋_GB2312"/>
                <w:color w:val="000000"/>
                <w:kern w:val="0"/>
                <w:sz w:val="20"/>
                <w:szCs w:val="20"/>
                <w:lang w:bidi="ar"/>
              </w:rPr>
              <w:t>第4.1.3.11条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59" w:type="pct"/>
            <w:tcBorders>
              <w:tl2br w:val="nil"/>
              <w:tr2bl w:val="nil"/>
            </w:tcBorders>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等线"/>
                <w:color w:val="000000"/>
                <w:sz w:val="20"/>
                <w:szCs w:val="20"/>
              </w:rPr>
              <w:t>14.2.</w:t>
            </w:r>
            <w:r>
              <w:rPr>
                <w:rFonts w:hint="eastAsia" w:ascii="仿宋_GB2312" w:hAnsi="仿宋_GB2312" w:cs="仿宋_GB2312"/>
                <w:color w:val="000000"/>
                <w:sz w:val="20"/>
                <w:szCs w:val="20"/>
              </w:rPr>
              <w:t>12.089</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液体化学试剂未放置在防遗撒托盘上。</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液体化学试剂应放置在防遗撒托盘上。</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《危险化学品储存场所建设及储存安全要求》</w:t>
            </w:r>
            <w:r>
              <w:rPr>
                <w:rFonts w:hint="eastAsia" w:ascii="仿宋_GB2312" w:hAnsi="仿宋_GB2312" w:cs="仿宋_GB2312"/>
                <w:color w:val="000000"/>
                <w:kern w:val="0"/>
                <w:sz w:val="20"/>
                <w:szCs w:val="20"/>
                <w:lang w:eastAsia="zh-CN" w:bidi="ar"/>
              </w:rPr>
              <w:t>（DB11/T 755）</w:t>
            </w:r>
            <w:r>
              <w:rPr>
                <w:rFonts w:hint="eastAsia" w:ascii="仿宋_GB2312" w:hAnsi="仿宋_GB2312" w:cs="仿宋_GB2312"/>
                <w:color w:val="000000"/>
                <w:kern w:val="0"/>
                <w:sz w:val="20"/>
                <w:szCs w:val="20"/>
                <w:lang w:bidi="ar"/>
              </w:rPr>
              <w:t>第5.1.1.10条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5000" w:type="pct"/>
            <w:gridSpan w:val="7"/>
            <w:tcBorders>
              <w:tl2br w:val="nil"/>
              <w:tr2bl w:val="nil"/>
            </w:tcBorders>
            <w:shd w:val="clear" w:color="auto" w:fill="B4C6E7"/>
            <w:vAlign w:val="center"/>
          </w:tcPr>
          <w:p>
            <w:pPr>
              <w:widowControl/>
              <w:adjustRightInd w:val="0"/>
              <w:snapToGrid w:val="0"/>
              <w:spacing w:after="0" w:line="240" w:lineRule="auto"/>
              <w:jc w:val="center"/>
              <w:textAlignment w:val="center"/>
              <w:rPr>
                <w:rFonts w:hint="eastAsia" w:ascii="仿宋_GB2312" w:hAnsi="仿宋_GB2312" w:cs="仿宋_GB2312"/>
                <w:b/>
                <w:color w:val="000000"/>
                <w:sz w:val="20"/>
                <w:szCs w:val="20"/>
              </w:rPr>
            </w:pPr>
            <w:r>
              <w:rPr>
                <w:rFonts w:hint="eastAsia" w:ascii="仿宋_GB2312" w:hAnsi="仿宋_GB2312" w:cs="仿宋_GB2312"/>
                <w:b/>
                <w:color w:val="000000"/>
                <w:kern w:val="0"/>
                <w:sz w:val="20"/>
                <w:szCs w:val="20"/>
                <w:lang w:bidi="ar"/>
              </w:rPr>
              <w:t>危险化学品储罐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仿宋_GB2312" w:cs="仿宋_GB2312"/>
                <w:color w:val="000000"/>
                <w:sz w:val="20"/>
                <w:szCs w:val="20"/>
              </w:rPr>
              <w:t>14.4.01.090</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场所环境类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平面布置类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构成危险化学品重大危险源的储罐与人员密集场所、公共设施、水源保护区、道路交通干线、基本农田保护区、风景名胜区、自然保护区、军事管理区及其他有关规定的场所、设施、区域的距离</w:t>
            </w:r>
            <w:r>
              <w:rPr>
                <w:rFonts w:hint="eastAsia" w:ascii="仿宋_GB2312" w:hAnsi="仿宋_GB2312" w:cs="仿宋_GB2312"/>
                <w:color w:val="000000"/>
                <w:kern w:val="0"/>
                <w:sz w:val="20"/>
                <w:szCs w:val="20"/>
                <w:lang w:eastAsia="zh-CN" w:bidi="ar"/>
              </w:rPr>
              <w:t>不</w:t>
            </w:r>
            <w:r>
              <w:rPr>
                <w:rFonts w:hint="eastAsia" w:ascii="仿宋_GB2312" w:hAnsi="仿宋_GB2312" w:cs="仿宋_GB2312"/>
                <w:color w:val="000000"/>
                <w:kern w:val="0"/>
                <w:sz w:val="20"/>
                <w:szCs w:val="20"/>
                <w:lang w:bidi="ar"/>
              </w:rPr>
              <w:t>符合国家有关规定。</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构成危险化学品重大危险源的罐区与人员密集场所、公共设施、水源保护区、道路交通干线、基本农田保护区、风景名胜区、自然保护区、军事管理区及其他有关规定的场所、设施、区域的距离应符合国家有关规定。</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《危险化学品地上储罐区安全要求》（DB11/T 833-2019）第4.1.2条</w:t>
            </w:r>
          </w:p>
        </w:tc>
        <w:tc>
          <w:tcPr>
            <w:tcW w:w="134" w:type="pct"/>
            <w:tcBorders>
              <w:tl2br w:val="nil"/>
              <w:tr2bl w:val="nil"/>
            </w:tcBorders>
            <w:noWrap/>
            <w:vAlign w:val="bottom"/>
          </w:tcPr>
          <w:p>
            <w:pPr>
              <w:adjustRightInd w:val="0"/>
              <w:snapToGrid w:val="0"/>
              <w:spacing w:after="0" w:line="240" w:lineRule="auto"/>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等线"/>
                <w:color w:val="000000"/>
                <w:sz w:val="20"/>
                <w:szCs w:val="20"/>
              </w:rPr>
              <w:t>14.4.</w:t>
            </w:r>
            <w:r>
              <w:rPr>
                <w:rFonts w:hint="eastAsia" w:ascii="仿宋_GB2312" w:hAnsi="仿宋_GB2312" w:cs="仿宋_GB2312"/>
                <w:color w:val="000000"/>
                <w:sz w:val="20"/>
                <w:szCs w:val="20"/>
              </w:rPr>
              <w:t>01.091</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场所环境类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平面布置类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罐区未布置在邻近城镇或居民区全年最小频率风向的上风侧。</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罐区应布置在邻近城镇或居民区全年最小频率风向的上风侧。</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《危险化学品地上储罐区安全要求》（DB11/T 833-2019）第4.1.3条</w:t>
            </w:r>
          </w:p>
        </w:tc>
        <w:tc>
          <w:tcPr>
            <w:tcW w:w="134" w:type="pct"/>
            <w:tcBorders>
              <w:tl2br w:val="nil"/>
              <w:tr2bl w:val="nil"/>
            </w:tcBorders>
            <w:noWrap/>
            <w:vAlign w:val="bottom"/>
          </w:tcPr>
          <w:p>
            <w:pPr>
              <w:adjustRightInd w:val="0"/>
              <w:snapToGrid w:val="0"/>
              <w:spacing w:after="0" w:line="240" w:lineRule="auto"/>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等线"/>
                <w:color w:val="000000"/>
                <w:sz w:val="20"/>
                <w:szCs w:val="20"/>
              </w:rPr>
              <w:t>14.4.</w:t>
            </w:r>
            <w:r>
              <w:rPr>
                <w:rFonts w:hint="eastAsia" w:ascii="仿宋_GB2312" w:hAnsi="仿宋_GB2312" w:cs="仿宋_GB2312"/>
                <w:color w:val="000000"/>
                <w:sz w:val="20"/>
                <w:szCs w:val="20"/>
              </w:rPr>
              <w:t>01.092</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场所环境类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平面布置类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罐区未布置在本单位全年最小频率风向的上风侧。罐区、装卸区未与辅助生产区及办公区分开布置。</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罐区应布置在本单位全年最小频率风向的上风侧。罐区、装卸区应与辅助生产区及办公区分开布置。</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《危险化学品地上储罐区安全要求》（DB11/T 833-2019）第4.1.4条</w:t>
            </w:r>
          </w:p>
        </w:tc>
        <w:tc>
          <w:tcPr>
            <w:tcW w:w="134" w:type="pct"/>
            <w:tcBorders>
              <w:tl2br w:val="nil"/>
              <w:tr2bl w:val="nil"/>
            </w:tcBorders>
            <w:noWrap/>
            <w:vAlign w:val="bottom"/>
          </w:tcPr>
          <w:p>
            <w:pPr>
              <w:adjustRightInd w:val="0"/>
              <w:snapToGrid w:val="0"/>
              <w:spacing w:after="0" w:line="240" w:lineRule="auto"/>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等线"/>
                <w:color w:val="000000"/>
                <w:sz w:val="20"/>
                <w:szCs w:val="20"/>
              </w:rPr>
              <w:t>14.4.0</w:t>
            </w:r>
            <w:r>
              <w:rPr>
                <w:rFonts w:hint="eastAsia" w:ascii="仿宋_GB2312" w:hAnsi="仿宋_GB2312" w:cs="仿宋_GB2312"/>
                <w:color w:val="000000"/>
                <w:sz w:val="20"/>
                <w:szCs w:val="20"/>
              </w:rPr>
              <w:t>3.093</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场所环境类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标志及标识类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储存易燃、易爆、有毒危险化学品的储罐和有刺激性、窒息性气体的储罐未在显著位置设置风向标。</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储存易燃、易爆、有毒危险化学品的储罐和有刺激性、窒息性气体的储罐应在显著位置设置风向标。</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《危险化学品地上储罐区安全要求》（DB11/T 833-2019）第5.1.1.3条</w:t>
            </w:r>
          </w:p>
        </w:tc>
        <w:tc>
          <w:tcPr>
            <w:tcW w:w="134" w:type="pct"/>
            <w:tcBorders>
              <w:tl2br w:val="nil"/>
              <w:tr2bl w:val="nil"/>
            </w:tcBorders>
            <w:noWrap/>
            <w:vAlign w:val="bottom"/>
          </w:tcPr>
          <w:p>
            <w:pPr>
              <w:adjustRightInd w:val="0"/>
              <w:snapToGrid w:val="0"/>
              <w:spacing w:after="0" w:line="240" w:lineRule="auto"/>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等线"/>
                <w:color w:val="000000"/>
                <w:sz w:val="20"/>
                <w:szCs w:val="20"/>
              </w:rPr>
              <w:t>14.2.0</w:t>
            </w:r>
            <w:r>
              <w:rPr>
                <w:rFonts w:hint="eastAsia" w:ascii="仿宋_GB2312" w:hAnsi="仿宋_GB2312" w:cs="仿宋_GB2312"/>
                <w:color w:val="000000"/>
                <w:sz w:val="20"/>
                <w:szCs w:val="20"/>
              </w:rPr>
              <w:t>2.094</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工艺及生产设备设施类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危险化学品金属储罐内壁未根据储存化学品的特性采取相应防腐措施。</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危险化学品金属储罐内壁应根据储存化学品的特性采取相应防腐措施。</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《危险化学品地上储罐区安全要求》（DB11/T 833-2019）第5.1.2.1条</w:t>
            </w:r>
          </w:p>
        </w:tc>
        <w:tc>
          <w:tcPr>
            <w:tcW w:w="134" w:type="pct"/>
            <w:tcBorders>
              <w:tl2br w:val="nil"/>
              <w:tr2bl w:val="nil"/>
            </w:tcBorders>
            <w:noWrap/>
            <w:vAlign w:val="bottom"/>
          </w:tcPr>
          <w:p>
            <w:pPr>
              <w:adjustRightInd w:val="0"/>
              <w:snapToGrid w:val="0"/>
              <w:spacing w:after="0" w:line="240" w:lineRule="auto"/>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等线"/>
                <w:color w:val="000000"/>
                <w:sz w:val="20"/>
                <w:szCs w:val="20"/>
              </w:rPr>
              <w:t>14.2.0</w:t>
            </w:r>
            <w:r>
              <w:rPr>
                <w:rFonts w:hint="eastAsia" w:ascii="仿宋_GB2312" w:hAnsi="仿宋_GB2312" w:cs="仿宋_GB2312"/>
                <w:color w:val="000000"/>
                <w:sz w:val="20"/>
                <w:szCs w:val="20"/>
              </w:rPr>
              <w:t>2.095</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工艺及生产设备设施类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危险化学品储罐进出口管道紧邻罐壁的第一道阀门未设置自动或手动紧急切断阀或阀门组，</w:t>
            </w:r>
            <w:r>
              <w:rPr>
                <w:rFonts w:hint="eastAsia" w:ascii="仿宋_GB2312" w:hAnsi="仿宋_GB2312" w:cs="仿宋_GB2312"/>
                <w:color w:val="000000"/>
                <w:kern w:val="0"/>
                <w:sz w:val="20"/>
                <w:szCs w:val="20"/>
                <w:lang w:eastAsia="zh-CN" w:bidi="ar"/>
              </w:rPr>
              <w:t>未</w:t>
            </w:r>
            <w:r>
              <w:rPr>
                <w:rFonts w:hint="eastAsia" w:ascii="仿宋_GB2312" w:hAnsi="仿宋_GB2312" w:cs="仿宋_GB2312"/>
                <w:color w:val="000000"/>
                <w:kern w:val="0"/>
                <w:sz w:val="20"/>
                <w:szCs w:val="20"/>
                <w:lang w:bidi="ar"/>
              </w:rPr>
              <w:t>保证有效。</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危险化学品储罐进出口管道紧邻罐壁的第一道阀门应设置自动或手动紧急切断阀或阀门组，并保证有效。</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《危险化学品地上储罐区安全要求》（DB11/T 833-2019）第5.1.2.2条</w:t>
            </w:r>
            <w:r>
              <w:rPr>
                <w:rFonts w:hint="default" w:ascii="仿宋_GB2312" w:hAnsi="仿宋_GB2312" w:cs="仿宋_GB2312"/>
                <w:color w:val="000000"/>
                <w:kern w:val="0"/>
                <w:sz w:val="20"/>
                <w:szCs w:val="20"/>
                <w:lang w:val="en" w:bidi="ar"/>
              </w:rPr>
              <w:t>;</w:t>
            </w:r>
            <w:r>
              <w:rPr>
                <w:rFonts w:hint="eastAsia" w:ascii="仿宋_GB2312" w:hAnsi="仿宋_GB2312" w:cs="仿宋_GB2312"/>
                <w:color w:val="000000"/>
                <w:kern w:val="0"/>
                <w:sz w:val="20"/>
                <w:szCs w:val="20"/>
                <w:lang w:bidi="ar"/>
              </w:rPr>
              <w:br w:type="textWrapping"/>
            </w:r>
            <w:r>
              <w:rPr>
                <w:rFonts w:hint="eastAsia" w:ascii="仿宋_GB2312" w:hAnsi="仿宋_GB2312" w:cs="仿宋_GB2312"/>
                <w:color w:val="000000"/>
                <w:kern w:val="0"/>
                <w:sz w:val="20"/>
                <w:szCs w:val="20"/>
                <w:lang w:bidi="ar"/>
              </w:rPr>
              <w:t>《危险化学品常压储罐安全管理规范》（DB11/T 1400-2017）第5.3条</w:t>
            </w:r>
          </w:p>
        </w:tc>
        <w:tc>
          <w:tcPr>
            <w:tcW w:w="134" w:type="pct"/>
            <w:tcBorders>
              <w:tl2br w:val="nil"/>
              <w:tr2bl w:val="nil"/>
            </w:tcBorders>
            <w:noWrap/>
            <w:vAlign w:val="bottom"/>
          </w:tcPr>
          <w:p>
            <w:pPr>
              <w:adjustRightInd w:val="0"/>
              <w:snapToGrid w:val="0"/>
              <w:spacing w:after="0" w:line="240" w:lineRule="auto"/>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等线"/>
                <w:color w:val="000000"/>
                <w:sz w:val="20"/>
                <w:szCs w:val="20"/>
              </w:rPr>
              <w:t>14.2.0</w:t>
            </w:r>
            <w:r>
              <w:rPr>
                <w:rFonts w:hint="eastAsia" w:ascii="仿宋_GB2312" w:hAnsi="仿宋_GB2312" w:cs="仿宋_GB2312"/>
                <w:color w:val="000000"/>
                <w:sz w:val="20"/>
                <w:szCs w:val="20"/>
              </w:rPr>
              <w:t>2.096</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工艺及生产设备设施类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危险化学品压力储罐未设置安全阀等安全附件，压力储罐和安全阀等未定期检验。</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危险化学品压力储罐应设置安全阀等安全附件，压力储罐和安全阀等应定期检验。</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《危险化学品地上储罐区安全要求》（DB11/T 833-2019）第5.1.2.3条</w:t>
            </w:r>
          </w:p>
        </w:tc>
        <w:tc>
          <w:tcPr>
            <w:tcW w:w="134" w:type="pct"/>
            <w:tcBorders>
              <w:tl2br w:val="nil"/>
              <w:tr2bl w:val="nil"/>
            </w:tcBorders>
            <w:noWrap/>
            <w:vAlign w:val="bottom"/>
          </w:tcPr>
          <w:p>
            <w:pPr>
              <w:adjustRightInd w:val="0"/>
              <w:snapToGrid w:val="0"/>
              <w:spacing w:after="0" w:line="240" w:lineRule="auto"/>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等线"/>
                <w:color w:val="000000"/>
                <w:sz w:val="20"/>
                <w:szCs w:val="20"/>
              </w:rPr>
              <w:t>14.2.0</w:t>
            </w:r>
            <w:r>
              <w:rPr>
                <w:rFonts w:hint="eastAsia" w:ascii="仿宋_GB2312" w:hAnsi="仿宋_GB2312" w:cs="仿宋_GB2312"/>
                <w:color w:val="000000"/>
                <w:sz w:val="20"/>
                <w:szCs w:val="20"/>
              </w:rPr>
              <w:t>2.097</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工艺及生产设备设施类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危险化学品固定顶储罐未设通气管或呼吸阀，宜选用呼吸阀，呼吸阀未配有阻火器及呼吸阀挡板，阻火器及呼吸阀未有防冻措施。</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危险化学品固定顶储罐应设通气管或呼吸阀，宜选用呼吸阀，呼吸阀应配有阻火器及呼吸阀挡板，阻火器及呼吸阀应有防冻措施。</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《危险化学品地上储罐区安全要求》（DB11/T 833-2019）第5.1.2.4条</w:t>
            </w:r>
          </w:p>
        </w:tc>
        <w:tc>
          <w:tcPr>
            <w:tcW w:w="134" w:type="pct"/>
            <w:tcBorders>
              <w:tl2br w:val="nil"/>
              <w:tr2bl w:val="nil"/>
            </w:tcBorders>
            <w:noWrap/>
            <w:vAlign w:val="bottom"/>
          </w:tcPr>
          <w:p>
            <w:pPr>
              <w:adjustRightInd w:val="0"/>
              <w:snapToGrid w:val="0"/>
              <w:spacing w:after="0" w:line="240" w:lineRule="auto"/>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等线"/>
                <w:color w:val="000000"/>
                <w:sz w:val="20"/>
                <w:szCs w:val="20"/>
              </w:rPr>
              <w:t>14.2.13.98</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用电安全类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储罐未设置符合GB 50057 、GB 50650规定的防雷保护系统。</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罐区应设置符合GB 50057 、GB 50650规定的防雷保护系统。</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default" w:ascii="仿宋_GB2312" w:hAnsi="仿宋_GB2312" w:cs="仿宋_GB2312"/>
                <w:color w:val="000000"/>
                <w:kern w:val="0"/>
                <w:sz w:val="20"/>
                <w:szCs w:val="20"/>
                <w:lang w:val="en" w:bidi="ar"/>
              </w:rPr>
            </w:pPr>
            <w:r>
              <w:rPr>
                <w:rFonts w:hint="eastAsia" w:ascii="仿宋_GB2312" w:hAnsi="仿宋_GB2312" w:cs="仿宋_GB2312"/>
                <w:color w:val="000000"/>
                <w:kern w:val="0"/>
                <w:sz w:val="20"/>
                <w:szCs w:val="20"/>
                <w:lang w:bidi="ar"/>
              </w:rPr>
              <w:t>《危险化学品地上储罐区安全要求》（DB11/T 833-2019）第5.4.1条</w:t>
            </w:r>
            <w:r>
              <w:rPr>
                <w:rFonts w:hint="default" w:ascii="仿宋_GB2312" w:hAnsi="仿宋_GB2312" w:cs="仿宋_GB2312"/>
                <w:color w:val="000000"/>
                <w:kern w:val="0"/>
                <w:sz w:val="20"/>
                <w:szCs w:val="20"/>
                <w:lang w:val="en" w:bidi="ar"/>
              </w:rPr>
              <w:t>;</w:t>
            </w:r>
          </w:p>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sz w:val="20"/>
                <w:szCs w:val="20"/>
              </w:rPr>
              <w:t>《防雷安全领域重大事故隐患判定标准》</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r>
              <w:rPr>
                <w:rFonts w:hint="eastAsia" w:ascii="仿宋_GB2312" w:hAnsi="仿宋_GB2312" w:cs="仿宋_GB2312"/>
                <w:color w:val="000000"/>
                <w:sz w:val="20"/>
                <w:szCs w:val="20"/>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等线"/>
                <w:color w:val="000000"/>
                <w:sz w:val="20"/>
                <w:szCs w:val="20"/>
              </w:rPr>
              <w:t>14.2.13.99</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用电安全类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储罐防雷防静电装置</w:t>
            </w:r>
            <w:r>
              <w:rPr>
                <w:rFonts w:hint="eastAsia" w:ascii="仿宋_GB2312" w:hAnsi="仿宋_GB2312" w:cs="仿宋_GB2312"/>
                <w:color w:val="000000"/>
                <w:kern w:val="0"/>
                <w:sz w:val="20"/>
                <w:szCs w:val="20"/>
                <w:lang w:eastAsia="zh-CN" w:bidi="ar"/>
              </w:rPr>
              <w:t>未</w:t>
            </w:r>
            <w:r>
              <w:rPr>
                <w:rFonts w:hint="eastAsia" w:ascii="仿宋_GB2312" w:hAnsi="仿宋_GB2312" w:cs="仿宋_GB2312"/>
                <w:color w:val="000000"/>
                <w:kern w:val="0"/>
                <w:sz w:val="20"/>
                <w:szCs w:val="20"/>
                <w:lang w:bidi="ar"/>
              </w:rPr>
              <w:t>每半年检验一次，不具有有效期内的检测合格报告。检测报告未存档备查。</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防雷防静电装置应每半年检验一次，并具有有效期内的检测合格报告。检测报告应存档备查。</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default" w:ascii="仿宋_GB2312" w:hAnsi="仿宋_GB2312" w:cs="仿宋_GB2312"/>
                <w:color w:val="000000"/>
                <w:kern w:val="0"/>
                <w:sz w:val="20"/>
                <w:szCs w:val="20"/>
                <w:lang w:val="en" w:bidi="ar"/>
              </w:rPr>
            </w:pPr>
            <w:r>
              <w:rPr>
                <w:rFonts w:hint="eastAsia" w:ascii="仿宋_GB2312" w:hAnsi="仿宋_GB2312" w:cs="仿宋_GB2312"/>
                <w:color w:val="000000"/>
                <w:kern w:val="0"/>
                <w:sz w:val="20"/>
                <w:szCs w:val="20"/>
                <w:lang w:bidi="ar"/>
              </w:rPr>
              <w:t>《危险化学品常压储罐安全管理规范》（DB11/T 1400-2017）第4.8条</w:t>
            </w:r>
            <w:r>
              <w:rPr>
                <w:rFonts w:hint="default" w:ascii="仿宋_GB2312" w:hAnsi="仿宋_GB2312" w:cs="仿宋_GB2312"/>
                <w:color w:val="000000"/>
                <w:kern w:val="0"/>
                <w:sz w:val="20"/>
                <w:szCs w:val="20"/>
                <w:lang w:val="en" w:bidi="ar"/>
              </w:rPr>
              <w:t>;</w:t>
            </w:r>
          </w:p>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sz w:val="20"/>
                <w:szCs w:val="20"/>
              </w:rPr>
              <w:t>《防雷安全领域重大事故隐患判定标准》</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r>
              <w:rPr>
                <w:rFonts w:hint="eastAsia" w:ascii="仿宋_GB2312" w:hAnsi="仿宋_GB2312" w:cs="仿宋_GB2312"/>
                <w:color w:val="000000"/>
                <w:sz w:val="20"/>
                <w:szCs w:val="20"/>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仿宋_GB2312" w:cs="仿宋_GB2312"/>
                <w:color w:val="000000"/>
                <w:sz w:val="20"/>
                <w:szCs w:val="20"/>
              </w:rPr>
              <w:t>14.4.02.100</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场所环境类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建（构）筑物类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易燃易爆危险化学品装卸区、泵房、防火堤内或围堰区域未用符合GB 50016要求的不发火地面。</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易燃易爆危险化学品装卸区、泵房、防火堤内或围堰区域应采用符合GB 50016要求的不发火地面。</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《危险化学品地上储罐区安全要求》（DB11/T 833-2019）第5.4.2条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等线"/>
                <w:color w:val="000000"/>
                <w:sz w:val="20"/>
                <w:szCs w:val="20"/>
              </w:rPr>
              <w:t>14.2.13.101</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用电安全类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易产生静电的危险化学品装卸系统，未设置符合GB 12158规定的防静电接地装置。</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易产生静电的危险化学品装卸系统，应设置符合GB 12158规定的防静电接地装置。</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《危险化学品地上储罐区安全要求》（DB11/T 833-2019）第5.4.3条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等线"/>
                <w:color w:val="000000"/>
                <w:sz w:val="20"/>
                <w:szCs w:val="20"/>
              </w:rPr>
              <w:t>14.2.13.102</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用电安全类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储存易燃易爆危险化学品的储罐（储罐区）的电气设备未按 AQ 3009 及 DB11/T 1320 规定进行电气防爆检测。</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储存易燃易爆危险化学品的储罐（储罐区）的电气设备应按 AQ 3009 及 DB11/T 1320 规定进行电气防爆检测。</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《危险化学品常压储罐安全管理规范》（DB11/T 1400-2017）第4.9条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等线"/>
                <w:color w:val="000000"/>
                <w:sz w:val="20"/>
                <w:szCs w:val="20"/>
              </w:rPr>
              <w:t>14.2.0</w:t>
            </w:r>
            <w:r>
              <w:rPr>
                <w:rFonts w:hint="eastAsia" w:ascii="仿宋_GB2312" w:hAnsi="仿宋_GB2312" w:cs="仿宋_GB2312"/>
                <w:color w:val="000000"/>
                <w:sz w:val="20"/>
                <w:szCs w:val="20"/>
              </w:rPr>
              <w:t>9.103</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监控系统类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储罐未进行安全监控。易燃、易爆、剧毒危险化学品储罐和危险化学品压力储罐、构成危险化学品重大危险源的罐区未进行安全监控。安全监控主要参数包括：罐内介质的液位、温度、压力，流量/流速、罐区内可燃/有毒气体浓度和风向、风速、环境温度等；相关现场探测仪器的数据未直接接入到系统控制设备中，系统未符合AQ 3035的规定；危险化学品安全监控装备未符合AQ 3036的规定，并定期进行检验。</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罐区宜进行安全监控。易燃、易爆、剧毒危险化学品储罐和危险化学品压力储罐、构成危险化学品重大危险源的罐区应进行安全监控。安全监控主要参数包括：罐内介质的液位、温度、压力，流量/流速、罐区内可燃/有毒气体浓度和风向、风速、环境温度等；相关现场探测仪器的数据宜直接接入到系统控制设备中，系统应符合AQ 3035的规定；危险化学品安全监控装备应符合AQ 3036的规定，并定期进行检验。</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《国家安全监管总局关于进一步加强化学品罐区安全管理的通知》（安监总管三〔2014〕68号）</w:t>
            </w:r>
            <w:r>
              <w:rPr>
                <w:rFonts w:hint="default" w:ascii="仿宋_GB2312" w:hAnsi="仿宋_GB2312" w:cs="仿宋_GB2312"/>
                <w:color w:val="000000"/>
                <w:kern w:val="0"/>
                <w:sz w:val="20"/>
                <w:szCs w:val="20"/>
                <w:lang w:val="en" w:bidi="ar"/>
              </w:rPr>
              <w:t>;</w:t>
            </w:r>
            <w:r>
              <w:rPr>
                <w:rFonts w:hint="eastAsia" w:ascii="仿宋_GB2312" w:hAnsi="仿宋_GB2312" w:cs="仿宋_GB2312"/>
                <w:color w:val="000000"/>
                <w:kern w:val="0"/>
                <w:sz w:val="20"/>
                <w:szCs w:val="20"/>
                <w:lang w:bidi="ar"/>
              </w:rPr>
              <w:br w:type="textWrapping"/>
            </w:r>
            <w:r>
              <w:rPr>
                <w:rFonts w:hint="eastAsia" w:ascii="仿宋_GB2312" w:hAnsi="仿宋_GB2312" w:cs="仿宋_GB2312"/>
                <w:color w:val="000000"/>
                <w:kern w:val="0"/>
                <w:sz w:val="20"/>
                <w:szCs w:val="20"/>
                <w:lang w:bidi="ar"/>
              </w:rPr>
              <w:t>《危险化学品地上储罐区安全要求》（DB11/T 833-2019）第5.5.1条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等线"/>
                <w:color w:val="000000"/>
                <w:sz w:val="20"/>
                <w:szCs w:val="20"/>
              </w:rPr>
              <w:t>14.2.0</w:t>
            </w:r>
            <w:r>
              <w:rPr>
                <w:rFonts w:hint="eastAsia" w:ascii="仿宋_GB2312" w:hAnsi="仿宋_GB2312" w:cs="仿宋_GB2312"/>
                <w:color w:val="000000"/>
                <w:sz w:val="20"/>
                <w:szCs w:val="20"/>
              </w:rPr>
              <w:t>9.104</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监控系统类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储罐未配备完善的温度、液位指示、报警系统及安全辅助设施。</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储罐应配备完善的温度、液位指示、报警系统及安全辅助设施。</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《国家安全监管总局关于进一步加强化学品罐区安全管理的通知》（安监总管三〔2014〕68号）</w:t>
            </w:r>
            <w:r>
              <w:rPr>
                <w:rFonts w:hint="default" w:ascii="仿宋_GB2312" w:hAnsi="仿宋_GB2312" w:cs="仿宋_GB2312"/>
                <w:color w:val="000000"/>
                <w:kern w:val="0"/>
                <w:sz w:val="20"/>
                <w:szCs w:val="20"/>
                <w:lang w:val="en" w:bidi="ar"/>
              </w:rPr>
              <w:t>;</w:t>
            </w:r>
            <w:r>
              <w:rPr>
                <w:rFonts w:hint="eastAsia" w:ascii="仿宋_GB2312" w:hAnsi="仿宋_GB2312" w:cs="仿宋_GB2312"/>
                <w:color w:val="000000"/>
                <w:kern w:val="0"/>
                <w:sz w:val="20"/>
                <w:szCs w:val="20"/>
                <w:lang w:bidi="ar"/>
              </w:rPr>
              <w:br w:type="textWrapping"/>
            </w:r>
            <w:r>
              <w:rPr>
                <w:rFonts w:hint="eastAsia" w:ascii="仿宋_GB2312" w:hAnsi="仿宋_GB2312" w:cs="仿宋_GB2312"/>
                <w:color w:val="000000"/>
                <w:kern w:val="0"/>
                <w:sz w:val="20"/>
                <w:szCs w:val="20"/>
                <w:lang w:bidi="ar"/>
              </w:rPr>
              <w:t>《危险化学品常压储罐安全管理规范》（DB11/T 1400-2017）第5.2条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等线"/>
                <w:color w:val="000000"/>
                <w:sz w:val="20"/>
                <w:szCs w:val="20"/>
              </w:rPr>
              <w:t>14.2.0</w:t>
            </w:r>
            <w:r>
              <w:rPr>
                <w:rFonts w:hint="eastAsia" w:ascii="仿宋_GB2312" w:hAnsi="仿宋_GB2312" w:cs="仿宋_GB2312"/>
                <w:color w:val="000000"/>
                <w:sz w:val="20"/>
                <w:szCs w:val="20"/>
              </w:rPr>
              <w:t>9.105</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监控系统类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未根据危险化学品储罐的实际情况，未设置由温度、液位、压力等参数控制物料的自动切断、转移、喷淋降温等联锁自动控制装备，未设置就地手动控制装置或手动遥控装置备用。</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根据危险化学品储罐的实际情况，设置由温度、液位、压力等参数控制物料的自动切断、转移、喷淋降温等联锁自动控制装备，并设置就地手动控制装置或手动遥控装置备用。</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《危险化学品地上储罐区安全要求》（DB11/T 833-2019）第5.5.3条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等线"/>
                <w:color w:val="000000"/>
                <w:sz w:val="20"/>
                <w:szCs w:val="20"/>
              </w:rPr>
              <w:t>14.2.0</w:t>
            </w:r>
            <w:r>
              <w:rPr>
                <w:rFonts w:hint="eastAsia" w:ascii="仿宋_GB2312" w:hAnsi="仿宋_GB2312" w:cs="仿宋_GB2312"/>
                <w:color w:val="000000"/>
                <w:sz w:val="20"/>
                <w:szCs w:val="20"/>
              </w:rPr>
              <w:t>9.106</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监控系统类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罐区控制室未设置易燃、易爆、有毒危险化学品安全监控声光报警装置。</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罐区控制室应设置易燃、易爆、有毒危险化学品安全监控声光报警装置。</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《危险化学品地上储罐区安全要求》（DB11/T 833-2019）第5.5.4条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等线"/>
                <w:color w:val="000000"/>
                <w:sz w:val="20"/>
                <w:szCs w:val="20"/>
              </w:rPr>
              <w:t>14.2.0</w:t>
            </w:r>
            <w:r>
              <w:rPr>
                <w:rFonts w:hint="eastAsia" w:ascii="仿宋_GB2312" w:hAnsi="仿宋_GB2312" w:cs="仿宋_GB2312"/>
                <w:color w:val="000000"/>
                <w:sz w:val="20"/>
                <w:szCs w:val="20"/>
              </w:rPr>
              <w:t>9.107</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监控系统类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罐区设置未覆盖全部区域的视频监控报警系统。</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罐区设置覆盖全部区域的视频监控报警系统；</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《危险化学品地上储罐区安全要求》（DB11/T 833-2019）第5.5.5条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等线"/>
                <w:color w:val="000000"/>
                <w:sz w:val="20"/>
                <w:szCs w:val="20"/>
              </w:rPr>
              <w:t>14.2.0</w:t>
            </w:r>
            <w:r>
              <w:rPr>
                <w:rFonts w:hint="eastAsia" w:ascii="仿宋_GB2312" w:hAnsi="仿宋_GB2312" w:cs="仿宋_GB2312"/>
                <w:color w:val="000000"/>
                <w:sz w:val="20"/>
                <w:szCs w:val="20"/>
              </w:rPr>
              <w:t>9.108</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监控系统类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易燃、易爆、剧毒危险化学品罐区和储存量大于或等于GB 18218中规定危险化学品临界量的罐区未设置符合GB 50348规定的入侵报警系统。</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易燃、易爆、剧毒危险化学品罐区和储存量大于或等于GB 18218中规定危险化学品临界量的罐区设置符合GB 50348规定的入侵报警系统。</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《危险化学品地上储罐区安全要求》（DB11/T 833-2019）第5.5.6条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5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等线"/>
                <w:color w:val="000000"/>
                <w:sz w:val="20"/>
                <w:szCs w:val="20"/>
              </w:rPr>
              <w:t>14.2.0</w:t>
            </w:r>
            <w:r>
              <w:rPr>
                <w:rFonts w:hint="eastAsia" w:ascii="仿宋_GB2312" w:hAnsi="仿宋_GB2312" w:cs="仿宋_GB2312"/>
                <w:color w:val="000000"/>
                <w:sz w:val="20"/>
                <w:szCs w:val="20"/>
              </w:rPr>
              <w:t>9.109</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监控系统类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储罐的压力上限报警、高低位液位报警、温度报警、气体浓度报警及罐区入侵报警、视频监控报警等信号</w:t>
            </w:r>
            <w:r>
              <w:rPr>
                <w:rFonts w:hint="eastAsia" w:ascii="仿宋_GB2312" w:hAnsi="仿宋_GB2312" w:cs="仿宋_GB2312"/>
                <w:color w:val="000000"/>
                <w:kern w:val="0"/>
                <w:sz w:val="20"/>
                <w:szCs w:val="20"/>
                <w:lang w:eastAsia="zh-CN" w:bidi="ar"/>
              </w:rPr>
              <w:t>未</w:t>
            </w:r>
            <w:r>
              <w:rPr>
                <w:rFonts w:hint="eastAsia" w:ascii="仿宋_GB2312" w:hAnsi="仿宋_GB2312" w:cs="仿宋_GB2312"/>
                <w:color w:val="000000"/>
                <w:kern w:val="0"/>
                <w:sz w:val="20"/>
                <w:szCs w:val="20"/>
                <w:lang w:bidi="ar"/>
              </w:rPr>
              <w:t>选用数字信号、触点信号、毫安信号或毫伏信号，传输至本单位的控制室，安全监控信号</w:t>
            </w:r>
            <w:r>
              <w:rPr>
                <w:rFonts w:hint="eastAsia" w:ascii="仿宋_GB2312" w:hAnsi="仿宋_GB2312" w:cs="仿宋_GB2312"/>
                <w:color w:val="000000"/>
                <w:kern w:val="0"/>
                <w:sz w:val="20"/>
                <w:szCs w:val="20"/>
                <w:lang w:eastAsia="zh-CN" w:bidi="ar"/>
              </w:rPr>
              <w:t>不</w:t>
            </w:r>
            <w:r>
              <w:rPr>
                <w:rFonts w:hint="eastAsia" w:ascii="仿宋_GB2312" w:hAnsi="仿宋_GB2312" w:cs="仿宋_GB2312"/>
                <w:color w:val="000000"/>
                <w:kern w:val="0"/>
                <w:sz w:val="20"/>
                <w:szCs w:val="20"/>
                <w:lang w:bidi="ar"/>
              </w:rPr>
              <w:t>满足异地调用需要。</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储罐的压力上限报警、高低位液位报警、温度报警、气体浓度报警及罐区入侵报警、视频监控报警等信号宜选用数字信号、触点信号、毫安信号或毫伏信号，传输至本单位的控制室，安全监控信号应满足异地调用需要。</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《危险化学品地上储罐区安全要求》（DB11/T 833-2019）第5.5.7条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等线"/>
                <w:color w:val="000000"/>
                <w:sz w:val="20"/>
                <w:szCs w:val="20"/>
              </w:rPr>
              <w:t>14.2.0</w:t>
            </w:r>
            <w:r>
              <w:rPr>
                <w:rFonts w:hint="eastAsia" w:ascii="仿宋_GB2312" w:hAnsi="仿宋_GB2312" w:cs="仿宋_GB2312"/>
                <w:color w:val="000000"/>
                <w:sz w:val="20"/>
                <w:szCs w:val="20"/>
              </w:rPr>
              <w:t>9.110</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监控系统类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安全监控信号未能自动巡查并记录。视频监控图像未保存90天以上。报警信息未保存1年以上。</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安全监控信号应能自动巡查并记录。视频监控图像应保存90天以上。报警信息应保存1年以上。</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《危险化学品地上储罐区安全要求》（DB11/T 833-2019）第5.5.8条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9" w:hRule="atLeast"/>
        </w:trPr>
        <w:tc>
          <w:tcPr>
            <w:tcW w:w="5000" w:type="pct"/>
            <w:gridSpan w:val="7"/>
            <w:tcBorders>
              <w:tl2br w:val="nil"/>
              <w:tr2bl w:val="nil"/>
            </w:tcBorders>
            <w:shd w:val="clear" w:color="auto" w:fill="B4C6E7"/>
            <w:vAlign w:val="center"/>
          </w:tcPr>
          <w:p>
            <w:pPr>
              <w:widowControl/>
              <w:adjustRightInd w:val="0"/>
              <w:snapToGrid w:val="0"/>
              <w:spacing w:after="0" w:line="240" w:lineRule="auto"/>
              <w:jc w:val="center"/>
              <w:textAlignment w:val="center"/>
              <w:rPr>
                <w:rFonts w:hint="eastAsia" w:ascii="仿宋_GB2312" w:hAnsi="仿宋_GB2312" w:cs="仿宋_GB2312"/>
                <w:b/>
                <w:color w:val="000000"/>
                <w:sz w:val="20"/>
                <w:szCs w:val="20"/>
              </w:rPr>
            </w:pPr>
            <w:r>
              <w:rPr>
                <w:rFonts w:hint="eastAsia" w:ascii="仿宋_GB2312" w:hAnsi="仿宋_GB2312" w:cs="仿宋_GB2312"/>
                <w:b/>
                <w:bCs/>
                <w:color w:val="000000"/>
                <w:sz w:val="20"/>
                <w:szCs w:val="20"/>
              </w:rPr>
              <w:t>液氧储罐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等线"/>
                <w:color w:val="000000"/>
                <w:sz w:val="20"/>
                <w:szCs w:val="20"/>
              </w:rPr>
              <w:t>14.4.0</w:t>
            </w:r>
            <w:r>
              <w:rPr>
                <w:rFonts w:hint="eastAsia" w:ascii="仿宋_GB2312" w:hAnsi="仿宋_GB2312" w:cs="仿宋_GB2312"/>
                <w:color w:val="000000"/>
                <w:sz w:val="20"/>
                <w:szCs w:val="20"/>
              </w:rPr>
              <w:t>2.111</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场所环境类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建（构）筑物类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液氧贮罐站未远离热源、火源和易燃、易爆源。</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液氧贮罐站应远离热源、火源和易燃、易爆源。</w:t>
            </w:r>
          </w:p>
        </w:tc>
        <w:tc>
          <w:tcPr>
            <w:tcW w:w="1369"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《综合医院建筑设计规范》（GB 51039-2014）第5.24.5条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等线"/>
                <w:color w:val="000000"/>
                <w:sz w:val="20"/>
                <w:szCs w:val="20"/>
              </w:rPr>
              <w:t>14.4.0</w:t>
            </w:r>
            <w:r>
              <w:rPr>
                <w:rFonts w:hint="eastAsia" w:ascii="仿宋_GB2312" w:hAnsi="仿宋_GB2312" w:cs="仿宋_GB2312"/>
                <w:color w:val="000000"/>
                <w:sz w:val="20"/>
                <w:szCs w:val="20"/>
              </w:rPr>
              <w:t>2.112</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场所环境类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建（构）筑物类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液氧贮罐</w:t>
            </w:r>
            <w:r>
              <w:rPr>
                <w:rFonts w:hint="eastAsia" w:ascii="仿宋_GB2312" w:hAnsi="仿宋_GB2312" w:cs="仿宋_GB2312"/>
                <w:color w:val="000000"/>
                <w:kern w:val="0"/>
                <w:sz w:val="20"/>
                <w:szCs w:val="20"/>
                <w:lang w:eastAsia="zh-CN" w:bidi="ar"/>
              </w:rPr>
              <w:t>未</w:t>
            </w:r>
            <w:r>
              <w:rPr>
                <w:rFonts w:hint="eastAsia" w:ascii="仿宋_GB2312" w:hAnsi="仿宋_GB2312" w:cs="仿宋_GB2312"/>
                <w:color w:val="000000"/>
                <w:kern w:val="0"/>
                <w:sz w:val="20"/>
                <w:szCs w:val="20"/>
                <w:lang w:bidi="ar"/>
              </w:rPr>
              <w:t xml:space="preserve">设置防火围堰，围堰的有效容积小于围堰最大液氧贮罐的容积，高度低于0.9m。 </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液氧贮罐应设置防火围堰，围堰的有效容积不应小于围堰最大液氧贮罐的容积，且高度不应低于0.9 m。</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《医用气体工程技术规范》（GB 50751-2012）第4.6.3条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5"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等线"/>
                <w:color w:val="000000"/>
                <w:sz w:val="20"/>
                <w:szCs w:val="20"/>
              </w:rPr>
              <w:t>14.4.0</w:t>
            </w:r>
            <w:r>
              <w:rPr>
                <w:rFonts w:hint="eastAsia" w:ascii="仿宋_GB2312" w:hAnsi="仿宋_GB2312" w:cs="仿宋_GB2312"/>
                <w:color w:val="000000"/>
                <w:sz w:val="20"/>
                <w:szCs w:val="20"/>
              </w:rPr>
              <w:t>2.113</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场所环境类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建（构）筑物类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液氧贮罐处的实体围墙高度低于2.5 m；当围墙外为道路或开阔地时，贮罐与实体围墙的间距小于1 m；围墙外为建（构）筑物时，贮罐与实体围墙的间距小于5 m。</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液氧贮罐处的实体围墙高度不应低于2.5 m；当围墙外为道路或开阔地时，贮罐与实体围墙的间距不应小于1 m；围墙外为建（构）筑物时，贮罐与实体围墙的间距不应小于5 m。</w:t>
            </w:r>
          </w:p>
        </w:tc>
        <w:tc>
          <w:tcPr>
            <w:tcW w:w="1369"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《医用气体工程技术规范》（GB 50751-2012）第4.6.4条第二款</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等线"/>
                <w:color w:val="000000"/>
                <w:sz w:val="20"/>
                <w:szCs w:val="20"/>
              </w:rPr>
              <w:t>14.2.0</w:t>
            </w:r>
            <w:r>
              <w:rPr>
                <w:rFonts w:hint="eastAsia" w:ascii="仿宋_GB2312" w:hAnsi="仿宋_GB2312" w:cs="仿宋_GB2312"/>
                <w:color w:val="000000"/>
                <w:sz w:val="20"/>
                <w:szCs w:val="20"/>
              </w:rPr>
              <w:t>2.114</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工艺及生产设备设施类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液氧贮罐</w:t>
            </w:r>
            <w:r>
              <w:rPr>
                <w:rFonts w:hint="eastAsia" w:ascii="仿宋_GB2312" w:hAnsi="仿宋_GB2312" w:cs="仿宋_GB2312"/>
                <w:color w:val="000000"/>
                <w:kern w:val="0"/>
                <w:sz w:val="20"/>
                <w:szCs w:val="20"/>
                <w:lang w:eastAsia="zh-CN" w:bidi="ar"/>
              </w:rPr>
              <w:t>不</w:t>
            </w:r>
            <w:r>
              <w:rPr>
                <w:rFonts w:hint="eastAsia" w:ascii="仿宋_GB2312" w:hAnsi="仿宋_GB2312" w:cs="仿宋_GB2312"/>
                <w:color w:val="000000"/>
                <w:kern w:val="0"/>
                <w:sz w:val="20"/>
                <w:szCs w:val="20"/>
                <w:lang w:bidi="ar"/>
              </w:rPr>
              <w:t>符合下列要求：（1）单罐容积不应大于5m</w:t>
            </w:r>
            <w:r>
              <w:rPr>
                <w:rFonts w:cs="Calibri"/>
                <w:color w:val="000000"/>
                <w:kern w:val="0"/>
                <w:sz w:val="20"/>
                <w:szCs w:val="20"/>
                <w:lang w:bidi="ar"/>
              </w:rPr>
              <w:t>³</w:t>
            </w:r>
            <w:r>
              <w:rPr>
                <w:rFonts w:hint="eastAsia" w:ascii="仿宋_GB2312" w:hAnsi="仿宋_GB2312" w:cs="仿宋_GB2312"/>
                <w:color w:val="000000"/>
                <w:kern w:val="0"/>
                <w:sz w:val="20"/>
                <w:szCs w:val="20"/>
                <w:lang w:bidi="ar"/>
              </w:rPr>
              <w:t>，总容积不宜大于20m</w:t>
            </w:r>
            <w:r>
              <w:rPr>
                <w:rFonts w:cs="Calibri"/>
                <w:color w:val="000000"/>
                <w:kern w:val="0"/>
                <w:sz w:val="20"/>
                <w:szCs w:val="20"/>
                <w:lang w:bidi="ar"/>
              </w:rPr>
              <w:t>³</w:t>
            </w:r>
            <w:r>
              <w:rPr>
                <w:rFonts w:hint="eastAsia" w:ascii="仿宋_GB2312" w:hAnsi="仿宋_GB2312" w:cs="仿宋_GB2312"/>
                <w:color w:val="000000"/>
                <w:kern w:val="0"/>
                <w:sz w:val="20"/>
                <w:szCs w:val="20"/>
                <w:lang w:bidi="ar"/>
              </w:rPr>
              <w:t>；（2）相邻储罐之间的距离不应小于最大储罐直径的0.75倍。</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液氧贮罐应符合下列要求：（1）单罐容积不应大于5m</w:t>
            </w:r>
            <w:r>
              <w:rPr>
                <w:rFonts w:cs="Calibri"/>
                <w:color w:val="000000"/>
                <w:kern w:val="0"/>
                <w:sz w:val="20"/>
                <w:szCs w:val="20"/>
                <w:lang w:bidi="ar"/>
              </w:rPr>
              <w:t>³</w:t>
            </w:r>
            <w:r>
              <w:rPr>
                <w:rFonts w:hint="eastAsia" w:ascii="仿宋_GB2312" w:hAnsi="仿宋_GB2312" w:cs="仿宋_GB2312"/>
                <w:color w:val="000000"/>
                <w:kern w:val="0"/>
                <w:sz w:val="20"/>
                <w:szCs w:val="20"/>
                <w:lang w:bidi="ar"/>
              </w:rPr>
              <w:t>，总容积不宜大于20m</w:t>
            </w:r>
            <w:r>
              <w:rPr>
                <w:rFonts w:cs="Calibri"/>
                <w:color w:val="000000"/>
                <w:kern w:val="0"/>
                <w:sz w:val="20"/>
                <w:szCs w:val="20"/>
                <w:lang w:bidi="ar"/>
              </w:rPr>
              <w:t>³</w:t>
            </w:r>
            <w:r>
              <w:rPr>
                <w:rFonts w:hint="eastAsia" w:ascii="仿宋_GB2312" w:hAnsi="仿宋_GB2312" w:cs="仿宋_GB2312"/>
                <w:color w:val="000000"/>
                <w:kern w:val="0"/>
                <w:sz w:val="20"/>
                <w:szCs w:val="20"/>
                <w:lang w:bidi="ar"/>
              </w:rPr>
              <w:t>；（2）相邻储罐之间的距离不应小于最大储罐直径的0.75倍。</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《建筑设计防火规范（2018年版）》（GB 50016-2014）第4.3.4条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55" w:hRule="atLeast"/>
        </w:trPr>
        <w:tc>
          <w:tcPr>
            <w:tcW w:w="35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sz w:val="20"/>
                <w:szCs w:val="20"/>
              </w:rPr>
              <w:t>14.4.01.115</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场所环境类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平面布置类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kern w:val="0"/>
                <w:sz w:val="20"/>
                <w:szCs w:val="20"/>
                <w:lang w:bidi="ar"/>
              </w:rPr>
            </w:pPr>
            <w:r>
              <w:rPr>
                <w:rFonts w:hint="eastAsia" w:ascii="仿宋_GB2312" w:hAnsi="仿宋_GB2312" w:cs="仿宋_GB2312"/>
                <w:color w:val="000000"/>
                <w:kern w:val="0"/>
                <w:sz w:val="20"/>
                <w:szCs w:val="20"/>
                <w:lang w:bidi="ar"/>
              </w:rPr>
              <w:t>液氧贮罐与医疗卫生机构外建筑的防火间距</w:t>
            </w:r>
            <w:r>
              <w:rPr>
                <w:rFonts w:hint="eastAsia" w:ascii="仿宋_GB2312" w:hAnsi="仿宋_GB2312" w:cs="仿宋_GB2312"/>
                <w:color w:val="000000"/>
                <w:kern w:val="0"/>
                <w:sz w:val="20"/>
                <w:szCs w:val="20"/>
                <w:lang w:eastAsia="zh-CN" w:bidi="ar"/>
              </w:rPr>
              <w:t>不</w:t>
            </w:r>
            <w:r>
              <w:rPr>
                <w:rFonts w:hint="eastAsia" w:ascii="仿宋_GB2312" w:hAnsi="仿宋_GB2312" w:cs="仿宋_GB2312"/>
                <w:color w:val="000000"/>
                <w:kern w:val="0"/>
                <w:sz w:val="20"/>
                <w:szCs w:val="20"/>
                <w:lang w:bidi="ar"/>
              </w:rPr>
              <w:t>符合下列要求：</w:t>
            </w:r>
          </w:p>
          <w:p>
            <w:pPr>
              <w:widowControl/>
              <w:adjustRightInd w:val="0"/>
              <w:snapToGrid w:val="0"/>
              <w:spacing w:after="0" w:line="240" w:lineRule="auto"/>
              <w:jc w:val="left"/>
              <w:textAlignment w:val="center"/>
              <w:rPr>
                <w:rFonts w:hint="eastAsia" w:ascii="仿宋_GB2312" w:hAnsi="仿宋_GB2312" w:cs="仿宋_GB2312"/>
                <w:color w:val="000000"/>
                <w:kern w:val="0"/>
                <w:sz w:val="20"/>
                <w:szCs w:val="20"/>
                <w:lang w:bidi="ar"/>
              </w:rPr>
            </w:pPr>
            <w:r>
              <w:rPr>
                <w:rFonts w:hint="eastAsia" w:ascii="仿宋_GB2312" w:hAnsi="仿宋_GB2312" w:cs="仿宋_GB2312"/>
                <w:color w:val="000000"/>
                <w:kern w:val="0"/>
                <w:sz w:val="20"/>
                <w:szCs w:val="20"/>
                <w:lang w:bidi="ar"/>
              </w:rPr>
              <w:t>（1）液氧贮罐与建筑物、储罐、堆场等的防火间距小于《建筑设计防火规范（2018年版）》（GB 50016-2014）的规定；</w:t>
            </w:r>
            <w:r>
              <w:rPr>
                <w:rFonts w:hint="eastAsia" w:ascii="仿宋_GB2312" w:hAnsi="仿宋_GB2312" w:cs="仿宋_GB2312"/>
                <w:color w:val="000000"/>
                <w:kern w:val="0"/>
                <w:sz w:val="20"/>
                <w:szCs w:val="20"/>
                <w:lang w:bidi="ar"/>
              </w:rPr>
              <w:br w:type="textWrapping"/>
            </w:r>
            <w:r>
              <w:rPr>
                <w:rFonts w:hint="eastAsia" w:ascii="仿宋_GB2312" w:hAnsi="仿宋_GB2312" w:cs="仿宋_GB2312"/>
                <w:color w:val="000000"/>
                <w:kern w:val="0"/>
                <w:sz w:val="20"/>
                <w:szCs w:val="20"/>
                <w:lang w:bidi="ar"/>
              </w:rPr>
              <w:t>（2）总容积小于等于3</w:t>
            </w:r>
            <w:r>
              <w:rPr>
                <w:rFonts w:hint="eastAsia" w:ascii="仿宋_GB2312" w:hAnsi="仿宋_GB2312" w:cs="仿宋_GB2312"/>
                <w:color w:val="000000"/>
                <w:kern w:val="0"/>
                <w:sz w:val="20"/>
                <w:szCs w:val="20"/>
                <w:lang w:val="en-US" w:eastAsia="zh-CN" w:bidi="ar"/>
              </w:rPr>
              <w:t xml:space="preserve"> </w:t>
            </w:r>
            <w:r>
              <w:rPr>
                <w:rFonts w:hint="eastAsia" w:ascii="仿宋_GB2312" w:hAnsi="仿宋_GB2312" w:cs="仿宋_GB2312"/>
                <w:color w:val="000000"/>
                <w:kern w:val="0"/>
                <w:sz w:val="20"/>
                <w:szCs w:val="20"/>
                <w:lang w:bidi="ar"/>
              </w:rPr>
              <w:t>m3的液氧贮罐与其使用建筑的防火间距应符合下列要求：</w:t>
            </w:r>
            <w:r>
              <w:rPr>
                <w:rFonts w:hint="eastAsia" w:ascii="仿宋_GB2312" w:hAnsi="仿宋_GB2312" w:cs="仿宋_GB2312"/>
                <w:color w:val="000000"/>
                <w:kern w:val="0"/>
                <w:sz w:val="20"/>
                <w:szCs w:val="20"/>
                <w:lang w:bidi="ar"/>
              </w:rPr>
              <w:br w:type="textWrapping"/>
            </w:r>
            <w:r>
              <w:rPr>
                <w:rFonts w:hint="eastAsia" w:ascii="仿宋_GB2312" w:hAnsi="仿宋_GB2312" w:cs="仿宋_GB2312"/>
                <w:color w:val="000000"/>
                <w:kern w:val="0"/>
                <w:sz w:val="20"/>
                <w:szCs w:val="20"/>
                <w:lang w:bidi="ar"/>
              </w:rPr>
              <w:t>1）当设置在独立的一、二级耐火等级的专用建筑物内时，其防火间距小于10 m；</w:t>
            </w:r>
          </w:p>
          <w:p>
            <w:pPr>
              <w:widowControl/>
              <w:numPr>
                <w:ilvl w:val="0"/>
                <w:numId w:val="1"/>
              </w:numPr>
              <w:adjustRightInd w:val="0"/>
              <w:snapToGrid w:val="0"/>
              <w:spacing w:after="0" w:line="240" w:lineRule="auto"/>
              <w:jc w:val="left"/>
              <w:textAlignment w:val="center"/>
              <w:rPr>
                <w:rFonts w:hint="eastAsia" w:ascii="仿宋_GB2312" w:hAnsi="仿宋_GB2312" w:cs="仿宋_GB2312"/>
                <w:color w:val="000000"/>
                <w:kern w:val="0"/>
                <w:sz w:val="20"/>
                <w:szCs w:val="20"/>
                <w:lang w:bidi="ar"/>
              </w:rPr>
            </w:pPr>
            <w:r>
              <w:rPr>
                <w:rFonts w:hint="eastAsia" w:ascii="仿宋_GB2312" w:hAnsi="仿宋_GB2312" w:cs="仿宋_GB2312"/>
                <w:color w:val="000000"/>
                <w:kern w:val="0"/>
                <w:sz w:val="20"/>
                <w:szCs w:val="20"/>
                <w:lang w:bidi="ar"/>
              </w:rPr>
              <w:t>当设置在独立的一、二级耐火等级的专用建筑物内，且面向使用建筑物一侧采用无门窗洞口的防火墙隔开时，其防火间距不限；</w:t>
            </w:r>
          </w:p>
          <w:p>
            <w:pPr>
              <w:widowControl/>
              <w:numPr>
                <w:ilvl w:val="0"/>
                <w:numId w:val="1"/>
              </w:numPr>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当低温储存的液氧储罐采取了防火措施时，其防火间距小于5 m。</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液氧贮罐与医疗卫生机构外建筑的防火间距应符合下列要求：（1）液氧贮罐与建筑物、储罐、堆场等的防火间距小于《建筑设计防火规范（2018年版）》（GB 50016-2014）的规定；</w:t>
            </w:r>
            <w:r>
              <w:rPr>
                <w:rFonts w:hint="eastAsia" w:ascii="仿宋_GB2312" w:hAnsi="仿宋_GB2312" w:cs="仿宋_GB2312"/>
                <w:color w:val="000000"/>
                <w:kern w:val="0"/>
                <w:sz w:val="20"/>
                <w:szCs w:val="20"/>
                <w:lang w:bidi="ar"/>
              </w:rPr>
              <w:br w:type="textWrapping"/>
            </w:r>
            <w:r>
              <w:rPr>
                <w:rFonts w:hint="eastAsia" w:ascii="仿宋_GB2312" w:hAnsi="仿宋_GB2312" w:cs="仿宋_GB2312"/>
                <w:color w:val="000000"/>
                <w:kern w:val="0"/>
                <w:sz w:val="20"/>
                <w:szCs w:val="20"/>
                <w:lang w:bidi="ar"/>
              </w:rPr>
              <w:t>（2）总容积小于等于3 m3的液氧贮罐与其使用建筑的防火间距应符合下列要求：</w:t>
            </w:r>
            <w:r>
              <w:rPr>
                <w:rFonts w:hint="eastAsia" w:ascii="仿宋_GB2312" w:hAnsi="仿宋_GB2312" w:cs="仿宋_GB2312"/>
                <w:color w:val="000000"/>
                <w:kern w:val="0"/>
                <w:sz w:val="20"/>
                <w:szCs w:val="20"/>
                <w:lang w:bidi="ar"/>
              </w:rPr>
              <w:br w:type="textWrapping"/>
            </w:r>
            <w:r>
              <w:rPr>
                <w:rFonts w:hint="eastAsia" w:ascii="仿宋_GB2312" w:hAnsi="仿宋_GB2312" w:cs="仿宋_GB2312"/>
                <w:color w:val="000000"/>
                <w:kern w:val="0"/>
                <w:sz w:val="20"/>
                <w:szCs w:val="20"/>
                <w:lang w:bidi="ar"/>
              </w:rPr>
              <w:t>1）当设置在独立的一、二级耐火等级的专用建筑物内时，其防火间距小于10 m；2）当设置在独立的一、二级耐火等级的专用建筑物内，且面向使用建筑物一侧采用无门窗洞口的防火墙隔开时，其防火间距不限；3）当低温储存的液氧储罐采取了防火措施时，其防火间距小于5 m。</w:t>
            </w:r>
          </w:p>
        </w:tc>
        <w:tc>
          <w:tcPr>
            <w:tcW w:w="1369"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《医用气体工程技术规范》（GB 50751-2012）第4.6.4条第一款</w:t>
            </w:r>
            <w:r>
              <w:rPr>
                <w:rFonts w:hint="default" w:ascii="仿宋_GB2312" w:hAnsi="仿宋_GB2312" w:cs="仿宋_GB2312"/>
                <w:color w:val="000000"/>
                <w:kern w:val="0"/>
                <w:sz w:val="20"/>
                <w:szCs w:val="20"/>
                <w:lang w:val="en" w:bidi="ar"/>
              </w:rPr>
              <w:t>;</w:t>
            </w:r>
            <w:r>
              <w:rPr>
                <w:rFonts w:hint="eastAsia" w:ascii="仿宋_GB2312" w:hAnsi="仿宋_GB2312" w:cs="仿宋_GB2312"/>
                <w:color w:val="000000"/>
                <w:kern w:val="0"/>
                <w:sz w:val="20"/>
                <w:szCs w:val="20"/>
                <w:lang w:bidi="ar"/>
              </w:rPr>
              <w:br w:type="textWrapping"/>
            </w:r>
            <w:r>
              <w:rPr>
                <w:rFonts w:hint="eastAsia" w:ascii="仿宋_GB2312" w:hAnsi="仿宋_GB2312" w:cs="仿宋_GB2312"/>
                <w:color w:val="000000"/>
                <w:kern w:val="0"/>
                <w:sz w:val="20"/>
                <w:szCs w:val="20"/>
                <w:lang w:bidi="ar"/>
              </w:rPr>
              <w:t>《建筑设计防火规范（2018年版）》（GB 50016-2014）第4.3.3条、第4.3.4条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59" w:type="pct"/>
            <w:tcBorders>
              <w:tl2br w:val="nil"/>
              <w:tr2bl w:val="nil"/>
            </w:tcBorders>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等线"/>
                <w:color w:val="000000"/>
                <w:sz w:val="20"/>
                <w:szCs w:val="20"/>
              </w:rPr>
              <w:t>14.4.0</w:t>
            </w:r>
            <w:r>
              <w:rPr>
                <w:rFonts w:hint="eastAsia" w:ascii="仿宋_GB2312" w:hAnsi="仿宋_GB2312" w:cs="仿宋_GB2312"/>
                <w:color w:val="000000"/>
                <w:sz w:val="20"/>
                <w:szCs w:val="20"/>
              </w:rPr>
              <w:t>2.116</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场所环境类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建（构）筑物类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液氧贮罐与医疗卫生机构内部建（构）筑物之间的防火间距</w:t>
            </w:r>
            <w:r>
              <w:rPr>
                <w:rFonts w:hint="eastAsia" w:ascii="仿宋_GB2312" w:hAnsi="仿宋_GB2312" w:cs="仿宋_GB2312"/>
                <w:color w:val="000000"/>
                <w:kern w:val="0"/>
                <w:sz w:val="20"/>
                <w:szCs w:val="20"/>
                <w:lang w:eastAsia="zh-CN" w:bidi="ar"/>
              </w:rPr>
              <w:t>不符合</w:t>
            </w:r>
            <w:r>
              <w:rPr>
                <w:rFonts w:hint="eastAsia" w:ascii="仿宋_GB2312" w:hAnsi="仿宋_GB2312" w:cs="仿宋_GB2312"/>
                <w:color w:val="000000"/>
                <w:kern w:val="0"/>
                <w:sz w:val="20"/>
                <w:szCs w:val="20"/>
                <w:lang w:bidi="ar"/>
              </w:rPr>
              <w:t>《医用气体工程技术规范》（GB 50751-2012）的规定。</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液氧贮罐与医疗卫生机构内部建（构）筑物之间的防火间距应不小于医用气体工程技术规范》（GB 50751-2012）第4.6.4条第三款的规定。</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default" w:ascii="仿宋_GB2312" w:hAnsi="仿宋_GB2312" w:cs="仿宋_GB2312"/>
                <w:color w:val="000000"/>
                <w:kern w:val="0"/>
                <w:sz w:val="20"/>
                <w:szCs w:val="20"/>
                <w:lang w:val="en" w:bidi="ar"/>
              </w:rPr>
            </w:pPr>
            <w:r>
              <w:rPr>
                <w:rFonts w:hint="eastAsia" w:ascii="仿宋_GB2312" w:hAnsi="仿宋_GB2312" w:cs="仿宋_GB2312"/>
                <w:color w:val="000000"/>
                <w:kern w:val="0"/>
                <w:sz w:val="20"/>
                <w:szCs w:val="20"/>
                <w:lang w:bidi="ar"/>
              </w:rPr>
              <w:t>《医用气体工程技术规范》（GB 50751-2012）第4.6.4条第三款</w:t>
            </w:r>
            <w:r>
              <w:rPr>
                <w:rFonts w:hint="default" w:ascii="仿宋_GB2312" w:hAnsi="仿宋_GB2312" w:cs="仿宋_GB2312"/>
                <w:color w:val="000000"/>
                <w:kern w:val="0"/>
                <w:sz w:val="20"/>
                <w:szCs w:val="20"/>
                <w:lang w:val="en" w:bidi="ar"/>
              </w:rPr>
              <w:t>;</w:t>
            </w:r>
          </w:p>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sz w:val="20"/>
                <w:szCs w:val="20"/>
              </w:rPr>
              <w:t>《医疗机构重大事故隐患判定清单（试行）》</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r>
              <w:rPr>
                <w:rFonts w:hint="eastAsia" w:ascii="仿宋_GB2312" w:hAnsi="仿宋_GB2312" w:cs="仿宋_GB2312"/>
                <w:color w:val="000000"/>
                <w:sz w:val="20"/>
                <w:szCs w:val="20"/>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359" w:type="pct"/>
            <w:tcBorders>
              <w:tl2br w:val="nil"/>
              <w:tr2bl w:val="nil"/>
            </w:tcBorders>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等线"/>
                <w:color w:val="000000"/>
                <w:sz w:val="20"/>
                <w:szCs w:val="20"/>
              </w:rPr>
              <w:t>14.4.0</w:t>
            </w:r>
            <w:r>
              <w:rPr>
                <w:rFonts w:hint="eastAsia" w:ascii="仿宋_GB2312" w:hAnsi="仿宋_GB2312" w:cs="仿宋_GB2312"/>
                <w:color w:val="000000"/>
                <w:sz w:val="20"/>
                <w:szCs w:val="20"/>
              </w:rPr>
              <w:t>2.117</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场所环境类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建（构）筑物类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液氧贮罐周围5m范围内有可燃物和沥青路面。</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液氧贮罐周围5m范围内不应有可燃物和沥青路面。</w:t>
            </w:r>
          </w:p>
        </w:tc>
        <w:tc>
          <w:tcPr>
            <w:tcW w:w="1369" w:type="pct"/>
            <w:tcBorders>
              <w:tl2br w:val="nil"/>
              <w:tr2bl w:val="nil"/>
            </w:tcBorders>
            <w:vAlign w:val="center"/>
          </w:tcPr>
          <w:p>
            <w:pPr>
              <w:widowControl/>
              <w:adjustRightInd w:val="0"/>
              <w:snapToGrid w:val="0"/>
              <w:spacing w:after="0" w:line="240" w:lineRule="auto"/>
              <w:textAlignment w:val="center"/>
              <w:rPr>
                <w:rFonts w:hint="default" w:ascii="仿宋_GB2312" w:hAnsi="仿宋_GB2312" w:cs="仿宋_GB2312"/>
                <w:color w:val="000000"/>
                <w:kern w:val="0"/>
                <w:sz w:val="20"/>
                <w:szCs w:val="20"/>
                <w:lang w:val="en" w:bidi="ar"/>
              </w:rPr>
            </w:pPr>
            <w:r>
              <w:rPr>
                <w:rFonts w:hint="eastAsia" w:ascii="仿宋_GB2312" w:hAnsi="仿宋_GB2312" w:cs="仿宋_GB2312"/>
                <w:color w:val="000000"/>
                <w:kern w:val="0"/>
                <w:sz w:val="20"/>
                <w:szCs w:val="20"/>
                <w:lang w:bidi="ar"/>
              </w:rPr>
              <w:t>《医用气体工程技术规范》（GB 50751-2012）第4.6.3条</w:t>
            </w:r>
            <w:r>
              <w:rPr>
                <w:rFonts w:hint="default" w:ascii="仿宋_GB2312" w:hAnsi="仿宋_GB2312" w:cs="仿宋_GB2312"/>
                <w:color w:val="000000"/>
                <w:kern w:val="0"/>
                <w:sz w:val="20"/>
                <w:szCs w:val="20"/>
                <w:lang w:val="en" w:bidi="ar"/>
              </w:rPr>
              <w:t>;</w:t>
            </w:r>
            <w:r>
              <w:rPr>
                <w:rFonts w:hint="eastAsia" w:ascii="仿宋_GB2312" w:hAnsi="仿宋_GB2312" w:cs="仿宋_GB2312"/>
                <w:color w:val="000000"/>
                <w:kern w:val="0"/>
                <w:sz w:val="20"/>
                <w:szCs w:val="20"/>
                <w:lang w:bidi="ar"/>
              </w:rPr>
              <w:br w:type="textWrapping"/>
            </w:r>
            <w:r>
              <w:rPr>
                <w:rFonts w:hint="eastAsia" w:ascii="仿宋_GB2312" w:hAnsi="仿宋_GB2312" w:cs="仿宋_GB2312"/>
                <w:color w:val="000000"/>
                <w:kern w:val="0"/>
                <w:sz w:val="20"/>
                <w:szCs w:val="20"/>
                <w:lang w:bidi="ar"/>
              </w:rPr>
              <w:t>《氧气站设计规范》（GB 50030-2013）第3.0.4条、第3.0.14条</w:t>
            </w:r>
            <w:r>
              <w:rPr>
                <w:rFonts w:hint="default" w:ascii="仿宋_GB2312" w:hAnsi="仿宋_GB2312" w:cs="仿宋_GB2312"/>
                <w:color w:val="000000"/>
                <w:kern w:val="0"/>
                <w:sz w:val="20"/>
                <w:szCs w:val="20"/>
                <w:lang w:val="en" w:bidi="ar"/>
              </w:rPr>
              <w:t>;</w:t>
            </w:r>
          </w:p>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《建筑设计防火规范（2018年版）》（GB 50016-2014）第4.3.5条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59" w:type="pct"/>
            <w:tcBorders>
              <w:tl2br w:val="nil"/>
              <w:tr2bl w:val="nil"/>
            </w:tcBorders>
            <w:vAlign w:val="center"/>
          </w:tcPr>
          <w:p>
            <w:pPr>
              <w:adjustRightInd w:val="0"/>
              <w:snapToGrid w:val="0"/>
              <w:spacing w:after="0" w:line="240" w:lineRule="auto"/>
              <w:jc w:val="center"/>
              <w:rPr>
                <w:rFonts w:hint="eastAsia" w:ascii="仿宋_GB2312" w:hAnsi="仿宋_GB2312" w:cs="仿宋_GB2312"/>
                <w:color w:val="000000"/>
                <w:sz w:val="20"/>
                <w:szCs w:val="20"/>
              </w:rPr>
            </w:pPr>
            <w:r>
              <w:rPr>
                <w:rFonts w:hint="eastAsia" w:ascii="仿宋_GB2312" w:hAnsi="等线"/>
                <w:color w:val="000000"/>
                <w:sz w:val="20"/>
                <w:szCs w:val="20"/>
              </w:rPr>
              <w:t>14.4.0</w:t>
            </w:r>
            <w:r>
              <w:rPr>
                <w:rFonts w:hint="eastAsia" w:ascii="仿宋_GB2312" w:hAnsi="仿宋_GB2312" w:cs="仿宋_GB2312"/>
                <w:color w:val="000000"/>
                <w:sz w:val="20"/>
                <w:szCs w:val="20"/>
              </w:rPr>
              <w:t>3.118</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场所环境类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标志及标识类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液氧贮罐和汽化器的周围未设围墙或栅栏，未设明显的禁火标志。</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液氧贮罐和汽化器的周围宜设围墙或栅栏，并应设明显的禁火标志。</w:t>
            </w:r>
          </w:p>
        </w:tc>
        <w:tc>
          <w:tcPr>
            <w:tcW w:w="1369"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《氧气站设计规范》（GB 50030-2013）第3.0.17条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3" w:hRule="atLeast"/>
        </w:trPr>
        <w:tc>
          <w:tcPr>
            <w:tcW w:w="5000" w:type="pct"/>
            <w:gridSpan w:val="7"/>
            <w:tcBorders>
              <w:tl2br w:val="nil"/>
              <w:tr2bl w:val="nil"/>
            </w:tcBorders>
            <w:shd w:val="clear" w:color="auto" w:fill="B4C6E7"/>
            <w:vAlign w:val="center"/>
          </w:tcPr>
          <w:p>
            <w:pPr>
              <w:widowControl/>
              <w:adjustRightInd w:val="0"/>
              <w:snapToGrid w:val="0"/>
              <w:spacing w:after="0" w:line="240" w:lineRule="auto"/>
              <w:jc w:val="center"/>
              <w:textAlignment w:val="center"/>
              <w:rPr>
                <w:rFonts w:hint="eastAsia" w:ascii="仿宋_GB2312" w:hAnsi="仿宋_GB2312" w:cs="仿宋_GB2312"/>
                <w:b/>
                <w:color w:val="000000"/>
                <w:sz w:val="20"/>
                <w:szCs w:val="20"/>
              </w:rPr>
            </w:pPr>
            <w:r>
              <w:rPr>
                <w:rFonts w:hint="eastAsia" w:ascii="仿宋_GB2312" w:hAnsi="仿宋_GB2312" w:cs="仿宋_GB2312"/>
                <w:b/>
                <w:color w:val="000000"/>
                <w:kern w:val="0"/>
                <w:sz w:val="20"/>
                <w:szCs w:val="20"/>
                <w:lang w:bidi="ar"/>
              </w:rPr>
              <w:t>气体一般要求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59" w:type="pct"/>
            <w:tcBorders>
              <w:tl2br w:val="nil"/>
              <w:tr2bl w:val="nil"/>
            </w:tcBorders>
            <w:vAlign w:val="center"/>
          </w:tcPr>
          <w:p>
            <w:pPr>
              <w:adjustRightInd w:val="0"/>
              <w:snapToGrid w:val="0"/>
              <w:spacing w:after="0" w:line="240" w:lineRule="auto"/>
              <w:jc w:val="center"/>
              <w:rPr>
                <w:rFonts w:hint="default" w:ascii="仿宋_GB2312" w:hAnsi="仿宋_GB2312" w:eastAsia="仿宋_GB2312" w:cs="仿宋_GB2312"/>
                <w:color w:val="000000"/>
                <w:sz w:val="20"/>
                <w:szCs w:val="20"/>
                <w:lang w:val="en-US" w:eastAsia="zh-CN"/>
              </w:rPr>
            </w:pPr>
            <w:r>
              <w:rPr>
                <w:rFonts w:hint="eastAsia" w:ascii="仿宋_GB2312" w:hAnsi="等线"/>
                <w:color w:val="000000"/>
                <w:sz w:val="20"/>
                <w:szCs w:val="20"/>
              </w:rPr>
              <w:t>14.1.05.1</w:t>
            </w:r>
            <w:r>
              <w:rPr>
                <w:rFonts w:hint="eastAsia" w:ascii="仿宋_GB2312" w:hAnsi="等线"/>
                <w:color w:val="000000"/>
                <w:sz w:val="20"/>
                <w:szCs w:val="20"/>
                <w:lang w:val="en-US" w:eastAsia="zh-CN"/>
              </w:rPr>
              <w:t>19</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基础资料类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操作规程类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使用单位未制定安全使用操作规程。</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使用单位必须制定安全使用操作规程。</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《北京市生产经营单位安全生产主体责任规定》（北京市人民政府令第285号）</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9" w:hRule="atLeast"/>
        </w:trPr>
        <w:tc>
          <w:tcPr>
            <w:tcW w:w="359" w:type="pct"/>
            <w:tcBorders>
              <w:tl2br w:val="nil"/>
              <w:tr2bl w:val="nil"/>
            </w:tcBorders>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eastAsia="zh-CN"/>
              </w:rPr>
            </w:pPr>
            <w:r>
              <w:rPr>
                <w:rFonts w:hint="eastAsia" w:ascii="仿宋_GB2312" w:hAnsi="等线"/>
                <w:color w:val="000000"/>
                <w:sz w:val="20"/>
                <w:szCs w:val="20"/>
              </w:rPr>
              <w:t>14.1.05.12</w:t>
            </w:r>
            <w:r>
              <w:rPr>
                <w:rFonts w:hint="eastAsia" w:ascii="仿宋_GB2312" w:hAnsi="等线"/>
                <w:color w:val="000000"/>
                <w:sz w:val="20"/>
                <w:szCs w:val="20"/>
                <w:lang w:val="en-US" w:eastAsia="zh-CN"/>
              </w:rPr>
              <w:t>0</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基础资料类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教育培训类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操作人员独立上岗操作前，未进行安全教育培训，</w:t>
            </w:r>
            <w:r>
              <w:rPr>
                <w:rFonts w:hint="eastAsia" w:ascii="仿宋_GB2312" w:hAnsi="仿宋_GB2312" w:cs="仿宋_GB2312"/>
                <w:color w:val="000000"/>
                <w:kern w:val="0"/>
                <w:sz w:val="20"/>
                <w:szCs w:val="20"/>
                <w:lang w:eastAsia="zh-CN" w:bidi="ar"/>
              </w:rPr>
              <w:t>未</w:t>
            </w:r>
            <w:r>
              <w:rPr>
                <w:rFonts w:hint="eastAsia" w:ascii="仿宋_GB2312" w:hAnsi="仿宋_GB2312" w:cs="仿宋_GB2312"/>
                <w:color w:val="000000"/>
                <w:kern w:val="0"/>
                <w:sz w:val="20"/>
                <w:szCs w:val="20"/>
                <w:lang w:bidi="ar"/>
              </w:rPr>
              <w:t>经考核合格后持安全操作证上岗。操作人员不熟悉工业气体的特性及其危害；操作人员不熟悉产品使用说明书，设备工艺流程，设备上各种阀门、仪表及其作用和操作程序；在发生故障及意外事故时不能独立采取应急安全措施。</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操作人员独立上岗操作前，必须进行安全教育培训，经考核合格后持安全操作证上岗。操作人员应熟悉工业气体的特性及其危害；操作人员应熟悉产品使用说明书，设备工艺流程，设备上各种阀门、仪表及其作用和操作程序；在发生故障及意外事故时必须能独立采取应急安全措施。</w:t>
            </w:r>
          </w:p>
        </w:tc>
        <w:tc>
          <w:tcPr>
            <w:tcW w:w="1369" w:type="pct"/>
            <w:tcBorders>
              <w:tl2br w:val="nil"/>
              <w:tr2bl w:val="nil"/>
            </w:tcBorders>
            <w:vAlign w:val="center"/>
          </w:tcPr>
          <w:p>
            <w:pPr>
              <w:adjustRightInd w:val="0"/>
              <w:snapToGrid w:val="0"/>
              <w:spacing w:after="0" w:line="240" w:lineRule="auto"/>
              <w:jc w:val="left"/>
              <w:rPr>
                <w:rFonts w:hint="eastAsia" w:ascii="仿宋_GB2312" w:hAnsi="仿宋_GB2312" w:cs="仿宋_GB2312"/>
                <w:color w:val="000000"/>
                <w:sz w:val="20"/>
                <w:szCs w:val="20"/>
              </w:rPr>
            </w:pPr>
            <w:r>
              <w:rPr>
                <w:rFonts w:hint="eastAsia" w:ascii="仿宋_GB2312" w:hAnsi="仿宋_GB2312" w:cs="仿宋_GB2312"/>
                <w:color w:val="000000"/>
                <w:sz w:val="20"/>
                <w:szCs w:val="20"/>
              </w:rPr>
              <w:t>《生产经营单位安全培训规定》（国家安全生产监督管理总局令 第3号）</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59" w:type="pct"/>
            <w:tcBorders>
              <w:tl2br w:val="nil"/>
              <w:tr2bl w:val="nil"/>
            </w:tcBorders>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val="en-US" w:eastAsia="zh-CN"/>
              </w:rPr>
            </w:pPr>
            <w:r>
              <w:rPr>
                <w:rFonts w:hint="eastAsia" w:ascii="仿宋_GB2312" w:hAnsi="仿宋_GB2312" w:cs="仿宋_GB2312"/>
                <w:color w:val="000000"/>
                <w:sz w:val="20"/>
                <w:szCs w:val="20"/>
              </w:rPr>
              <w:t>14.4.03.12</w:t>
            </w:r>
            <w:r>
              <w:rPr>
                <w:rFonts w:hint="eastAsia" w:ascii="仿宋_GB2312" w:hAnsi="仿宋_GB2312" w:cs="仿宋_GB2312"/>
                <w:color w:val="000000"/>
                <w:sz w:val="20"/>
                <w:szCs w:val="20"/>
                <w:lang w:val="en-US" w:eastAsia="zh-CN"/>
              </w:rPr>
              <w:t>1</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场所环境类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标志及标识类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气瓶颜色标志</w:t>
            </w:r>
            <w:r>
              <w:rPr>
                <w:rFonts w:hint="eastAsia" w:ascii="仿宋_GB2312" w:hAnsi="仿宋_GB2312" w:cs="仿宋_GB2312"/>
                <w:color w:val="000000"/>
                <w:kern w:val="0"/>
                <w:sz w:val="20"/>
                <w:szCs w:val="20"/>
                <w:lang w:eastAsia="zh-CN" w:bidi="ar"/>
              </w:rPr>
              <w:t>不</w:t>
            </w:r>
            <w:r>
              <w:rPr>
                <w:rFonts w:hint="eastAsia" w:ascii="仿宋_GB2312" w:hAnsi="仿宋_GB2312" w:cs="仿宋_GB2312"/>
                <w:color w:val="000000"/>
                <w:kern w:val="0"/>
                <w:sz w:val="20"/>
                <w:szCs w:val="20"/>
                <w:lang w:bidi="ar"/>
              </w:rPr>
              <w:t>符合GB 7144的规定。安全标签未符合GB 15258的规定。</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气瓶颜色标志应符合GB 7144的规定。安全标志应符合GB 15258的规定。</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eastAsia="仿宋_GB2312" w:cs="仿宋_GB2312"/>
                <w:color w:val="000000"/>
                <w:kern w:val="0"/>
                <w:sz w:val="20"/>
                <w:szCs w:val="20"/>
                <w:lang w:eastAsia="zh-CN" w:bidi="ar"/>
              </w:rPr>
            </w:pPr>
            <w:r>
              <w:rPr>
                <w:rFonts w:hint="eastAsia" w:ascii="仿宋_GB2312" w:hAnsi="仿宋_GB2312" w:cs="仿宋_GB2312"/>
                <w:color w:val="000000"/>
                <w:kern w:val="0"/>
                <w:sz w:val="20"/>
                <w:szCs w:val="20"/>
                <w:lang w:bidi="ar"/>
              </w:rPr>
              <w:t>《气瓶颜色标志》（GB/T 7144-2016）</w:t>
            </w:r>
            <w:r>
              <w:rPr>
                <w:rFonts w:hint="eastAsia" w:ascii="仿宋_GB2312" w:hAnsi="仿宋_GB2312" w:cs="仿宋_GB2312"/>
                <w:color w:val="000000"/>
                <w:kern w:val="0"/>
                <w:sz w:val="20"/>
                <w:szCs w:val="20"/>
                <w:lang w:eastAsia="zh-CN" w:bidi="ar"/>
              </w:rPr>
              <w:t>；</w:t>
            </w:r>
          </w:p>
          <w:p>
            <w:pPr>
              <w:widowControl/>
              <w:adjustRightInd w:val="0"/>
              <w:snapToGrid w:val="0"/>
              <w:spacing w:after="0" w:line="240" w:lineRule="auto"/>
              <w:jc w:val="left"/>
              <w:textAlignment w:val="center"/>
              <w:rPr>
                <w:rFonts w:hint="default" w:ascii="仿宋_GB2312" w:hAnsi="仿宋_GB2312" w:cs="仿宋_GB2312"/>
                <w:color w:val="000000"/>
                <w:sz w:val="20"/>
                <w:szCs w:val="20"/>
                <w:lang w:val="en"/>
              </w:rPr>
            </w:pPr>
            <w:r>
              <w:rPr>
                <w:rFonts w:hint="eastAsia" w:ascii="仿宋_GB2312" w:hAnsi="仿宋_GB2312" w:cs="仿宋_GB2312"/>
                <w:color w:val="000000"/>
                <w:kern w:val="0"/>
                <w:sz w:val="20"/>
                <w:szCs w:val="20"/>
                <w:lang w:bidi="ar"/>
              </w:rPr>
              <w:t>《化学品安全标签编写规定》（GB 15258-2009）</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59" w:type="pct"/>
            <w:tcBorders>
              <w:tl2br w:val="nil"/>
              <w:tr2bl w:val="nil"/>
            </w:tcBorders>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val="en-US" w:eastAsia="zh-CN"/>
              </w:rPr>
            </w:pPr>
            <w:r>
              <w:rPr>
                <w:rFonts w:hint="eastAsia" w:ascii="仿宋_GB2312" w:hAnsi="等线"/>
                <w:color w:val="000000"/>
                <w:sz w:val="20"/>
                <w:szCs w:val="20"/>
              </w:rPr>
              <w:t>14.2.</w:t>
            </w:r>
            <w:r>
              <w:rPr>
                <w:rFonts w:hint="eastAsia" w:ascii="仿宋_GB2312" w:hAnsi="仿宋_GB2312" w:cs="仿宋_GB2312"/>
                <w:color w:val="000000"/>
                <w:sz w:val="20"/>
                <w:szCs w:val="20"/>
              </w:rPr>
              <w:t>12.12</w:t>
            </w:r>
            <w:r>
              <w:rPr>
                <w:rFonts w:hint="eastAsia" w:ascii="仿宋_GB2312" w:hAnsi="仿宋_GB2312" w:cs="仿宋_GB2312"/>
                <w:color w:val="000000"/>
                <w:sz w:val="20"/>
                <w:szCs w:val="20"/>
                <w:lang w:val="en-US" w:eastAsia="zh-CN"/>
              </w:rPr>
              <w:t>2</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气瓶未竖放在通风、阴凉、干燥处。</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气瓶应竖放在通风、阴凉、干燥处，避免受热和日光暴晒。</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 xml:space="preserve">《气瓶搬运、装卸、储存和使用安全规定》（GB /T 34525-2017）第7.2.6条 </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2" w:hRule="atLeast"/>
        </w:trPr>
        <w:tc>
          <w:tcPr>
            <w:tcW w:w="359" w:type="pct"/>
            <w:tcBorders>
              <w:tl2br w:val="nil"/>
              <w:tr2bl w:val="nil"/>
            </w:tcBorders>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val="en-US" w:eastAsia="zh-CN"/>
              </w:rPr>
            </w:pPr>
            <w:r>
              <w:rPr>
                <w:rFonts w:hint="eastAsia" w:ascii="仿宋_GB2312" w:hAnsi="等线"/>
                <w:color w:val="000000"/>
                <w:sz w:val="20"/>
                <w:szCs w:val="20"/>
              </w:rPr>
              <w:t>14.2.</w:t>
            </w:r>
            <w:r>
              <w:rPr>
                <w:rFonts w:hint="eastAsia" w:ascii="仿宋_GB2312" w:hAnsi="仿宋_GB2312" w:cs="仿宋_GB2312"/>
                <w:color w:val="000000"/>
                <w:sz w:val="20"/>
                <w:szCs w:val="20"/>
              </w:rPr>
              <w:t>12.12</w:t>
            </w:r>
            <w:r>
              <w:rPr>
                <w:rFonts w:hint="eastAsia" w:ascii="仿宋_GB2312" w:hAnsi="仿宋_GB2312" w:cs="仿宋_GB2312"/>
                <w:color w:val="000000"/>
                <w:sz w:val="20"/>
                <w:szCs w:val="20"/>
                <w:lang w:val="en-US" w:eastAsia="zh-CN"/>
              </w:rPr>
              <w:t>3</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危险化学品类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使用气瓶未配置气瓶柜或气瓶防倒链、防倒栏栅等设备。未将气瓶设置在避雨通风的安全区域，使用后的残气（或尾气）未通过管路引至室外安全区域排放。气瓶周围未配备相应的安全设施，如有毒气体或可燃气体探测器、烟感、消防水、强排风系统、防爆电器、防盗措施、视频监控等。</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使用气瓶应配置气瓶柜或气瓶防倒链、防倒栏栅等设备。应将气瓶设置在避雨通风的安全区域，使用后的残气（或尾气）应通过管路引至室外安全区域排放。气瓶周围要配备相应的安全设施，如有毒气体或可燃气体探测器、烟感、消防水、强排风系统、防爆电器、防盗措施、视频监控等。</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 xml:space="preserve">《气瓶搬运、装卸、储存和使用安全规定》（GB /T 34525-2017）第8.2.8条 </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359" w:type="pct"/>
            <w:tcBorders>
              <w:tl2br w:val="nil"/>
              <w:tr2bl w:val="nil"/>
            </w:tcBorders>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val="en-US" w:eastAsia="zh-CN"/>
              </w:rPr>
            </w:pPr>
            <w:r>
              <w:rPr>
                <w:rFonts w:hint="eastAsia" w:ascii="仿宋_GB2312" w:hAnsi="仿宋_GB2312" w:cs="仿宋_GB2312"/>
                <w:color w:val="000000"/>
                <w:sz w:val="20"/>
                <w:szCs w:val="20"/>
              </w:rPr>
              <w:t>14.4.02.12</w:t>
            </w:r>
            <w:r>
              <w:rPr>
                <w:rFonts w:hint="eastAsia" w:ascii="仿宋_GB2312" w:hAnsi="仿宋_GB2312" w:cs="仿宋_GB2312"/>
                <w:color w:val="000000"/>
                <w:sz w:val="20"/>
                <w:szCs w:val="20"/>
                <w:lang w:val="en-US" w:eastAsia="zh-CN"/>
              </w:rPr>
              <w:t>4</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场所环境类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建（构）筑物类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医用气体分子筛制氧站、气体储存库未布置为独立单层建筑物，耐火等级低于二级，建筑围护结构上的门窗未向外开启，采用木质、塑钢等可燃材料制作。</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医用气体分子筛制氧站、气体储存库应布置为独立单层建筑物，耐火等级不应低于二级，建筑围护结构上的门窗应向外开启，并不得采用木质、塑钢等可燃材料制作。</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《医用气体工程技术规范》（GB 50751-2012）第4.6.5条第二款</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890" w:hRule="atLeast"/>
        </w:trPr>
        <w:tc>
          <w:tcPr>
            <w:tcW w:w="359" w:type="pct"/>
            <w:tcBorders>
              <w:tl2br w:val="nil"/>
              <w:tr2bl w:val="nil"/>
            </w:tcBorders>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val="en-US" w:eastAsia="zh-CN"/>
              </w:rPr>
            </w:pPr>
            <w:r>
              <w:rPr>
                <w:rFonts w:hint="eastAsia" w:ascii="仿宋_GB2312" w:hAnsi="仿宋_GB2312" w:cs="仿宋_GB2312"/>
                <w:color w:val="000000"/>
                <w:sz w:val="20"/>
                <w:szCs w:val="20"/>
              </w:rPr>
              <w:t>14.4.02.12</w:t>
            </w:r>
            <w:r>
              <w:rPr>
                <w:rFonts w:hint="eastAsia" w:ascii="仿宋_GB2312" w:hAnsi="仿宋_GB2312" w:cs="仿宋_GB2312"/>
                <w:color w:val="000000"/>
                <w:sz w:val="20"/>
                <w:szCs w:val="20"/>
                <w:lang w:val="en-US" w:eastAsia="zh-CN"/>
              </w:rPr>
              <w:t>5</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场所环境类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建（构）筑物类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医用气体汇流排间的设置</w:t>
            </w:r>
            <w:r>
              <w:rPr>
                <w:rFonts w:hint="eastAsia" w:ascii="仿宋_GB2312" w:hAnsi="仿宋_GB2312" w:cs="仿宋_GB2312"/>
                <w:color w:val="000000"/>
                <w:kern w:val="0"/>
                <w:sz w:val="20"/>
                <w:szCs w:val="20"/>
                <w:lang w:eastAsia="zh-CN" w:bidi="ar"/>
              </w:rPr>
              <w:t>未</w:t>
            </w:r>
            <w:r>
              <w:rPr>
                <w:rFonts w:hint="eastAsia" w:ascii="仿宋_GB2312" w:hAnsi="仿宋_GB2312" w:cs="仿宋_GB2312"/>
                <w:color w:val="000000"/>
                <w:kern w:val="0"/>
                <w:sz w:val="20"/>
                <w:szCs w:val="20"/>
                <w:lang w:bidi="ar"/>
              </w:rPr>
              <w:t>参照GB 50751的规定。汇流排间未与空气压缩机、真空汇或分子筛制氧机设置在同一房间内。</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医用气体汇流排间的设置应参照GB 50751的规定。汇流排间不应与空气压缩机、真空汇或分子筛制氧机设置在同一房间内。输送氧气含量超过23.5%的气体汇流排间，当供气量不超过60m3/h时，可设置在耐火等级不低于三级的建筑内，但应靠外墙布置，并应采用耐火极限不低于2.0h的墙和甲级防火门与建筑物的其他部分隔开。</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《医用气体工程技术规范》（GB 50751-2012）第4.6.6条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359" w:type="pct"/>
            <w:tcBorders>
              <w:tl2br w:val="nil"/>
              <w:tr2bl w:val="nil"/>
            </w:tcBorders>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val="en-US" w:eastAsia="zh-CN"/>
              </w:rPr>
            </w:pPr>
            <w:r>
              <w:rPr>
                <w:rFonts w:hint="eastAsia" w:ascii="仿宋_GB2312" w:hAnsi="等线"/>
                <w:color w:val="000000"/>
                <w:sz w:val="20"/>
                <w:szCs w:val="20"/>
              </w:rPr>
              <w:t>14.2.0</w:t>
            </w:r>
            <w:r>
              <w:rPr>
                <w:rFonts w:hint="eastAsia" w:ascii="仿宋_GB2312" w:hAnsi="仿宋_GB2312" w:cs="仿宋_GB2312"/>
                <w:color w:val="000000"/>
                <w:sz w:val="20"/>
                <w:szCs w:val="20"/>
              </w:rPr>
              <w:t>2.12</w:t>
            </w:r>
            <w:r>
              <w:rPr>
                <w:rFonts w:hint="eastAsia" w:ascii="仿宋_GB2312" w:hAnsi="仿宋_GB2312" w:cs="仿宋_GB2312"/>
                <w:color w:val="000000"/>
                <w:sz w:val="20"/>
                <w:szCs w:val="20"/>
                <w:lang w:val="en-US" w:eastAsia="zh-CN"/>
              </w:rPr>
              <w:t>6</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工艺及生产设备设施类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设备未按铭牌上标明的介质专用。</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设备必须按铭牌上标明的介质专用。</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《低温液体贮运设备 使用安全规则》（JB/T 6898-2015）第4.5.6条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59" w:type="pct"/>
            <w:tcBorders>
              <w:tl2br w:val="nil"/>
              <w:tr2bl w:val="nil"/>
            </w:tcBorders>
            <w:vAlign w:val="center"/>
          </w:tcPr>
          <w:p>
            <w:pPr>
              <w:adjustRightInd w:val="0"/>
              <w:snapToGrid w:val="0"/>
              <w:spacing w:after="0" w:line="240" w:lineRule="auto"/>
              <w:jc w:val="center"/>
              <w:rPr>
                <w:rFonts w:hint="default" w:ascii="仿宋_GB2312" w:hAnsi="仿宋_GB2312" w:eastAsia="仿宋_GB2312" w:cs="仿宋_GB2312"/>
                <w:color w:val="000000"/>
                <w:sz w:val="20"/>
                <w:szCs w:val="20"/>
                <w:lang w:val="en-US" w:eastAsia="zh-CN"/>
              </w:rPr>
            </w:pPr>
            <w:r>
              <w:rPr>
                <w:rFonts w:hint="eastAsia" w:ascii="仿宋_GB2312" w:hAnsi="等线"/>
                <w:color w:val="000000"/>
                <w:sz w:val="20"/>
                <w:szCs w:val="20"/>
              </w:rPr>
              <w:t>14.2.0</w:t>
            </w:r>
            <w:r>
              <w:rPr>
                <w:rFonts w:hint="eastAsia" w:ascii="仿宋_GB2312" w:hAnsi="仿宋_GB2312" w:cs="仿宋_GB2312"/>
                <w:color w:val="000000"/>
                <w:sz w:val="20"/>
                <w:szCs w:val="20"/>
              </w:rPr>
              <w:t>2.1</w:t>
            </w:r>
            <w:r>
              <w:rPr>
                <w:rFonts w:hint="eastAsia" w:ascii="仿宋_GB2312" w:hAnsi="仿宋_GB2312" w:cs="仿宋_GB2312"/>
                <w:color w:val="000000"/>
                <w:sz w:val="20"/>
                <w:szCs w:val="20"/>
                <w:lang w:val="en-US" w:eastAsia="zh-CN"/>
              </w:rPr>
              <w:t>27</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工艺及生产设备设施类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设备的使用压力超过容器的工作压力。</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严禁设备的使用压力超过容器的工作压力。</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《低温液体贮运设备 使用安全规则》（JB/T 6898-2015）第4.5.8条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359" w:type="pct"/>
            <w:tcBorders>
              <w:tl2br w:val="nil"/>
              <w:tr2bl w:val="nil"/>
            </w:tcBorders>
            <w:vAlign w:val="center"/>
          </w:tcPr>
          <w:p>
            <w:pPr>
              <w:adjustRightInd w:val="0"/>
              <w:snapToGrid w:val="0"/>
              <w:spacing w:after="0" w:line="240" w:lineRule="auto"/>
              <w:jc w:val="center"/>
              <w:rPr>
                <w:rFonts w:hint="default" w:ascii="仿宋_GB2312" w:hAnsi="仿宋_GB2312" w:eastAsia="仿宋_GB2312" w:cs="仿宋_GB2312"/>
                <w:color w:val="000000"/>
                <w:sz w:val="20"/>
                <w:szCs w:val="20"/>
                <w:lang w:val="en-US" w:eastAsia="zh-CN"/>
              </w:rPr>
            </w:pPr>
            <w:r>
              <w:rPr>
                <w:rFonts w:hint="eastAsia" w:ascii="仿宋_GB2312" w:hAnsi="等线"/>
                <w:color w:val="000000"/>
                <w:sz w:val="20"/>
                <w:szCs w:val="20"/>
              </w:rPr>
              <w:t>14.2.0</w:t>
            </w:r>
            <w:r>
              <w:rPr>
                <w:rFonts w:hint="eastAsia" w:ascii="仿宋_GB2312" w:hAnsi="仿宋_GB2312" w:cs="仿宋_GB2312"/>
                <w:color w:val="000000"/>
                <w:sz w:val="20"/>
                <w:szCs w:val="20"/>
              </w:rPr>
              <w:t>2.1</w:t>
            </w:r>
            <w:r>
              <w:rPr>
                <w:rFonts w:hint="eastAsia" w:ascii="仿宋_GB2312" w:hAnsi="仿宋_GB2312" w:cs="仿宋_GB2312"/>
                <w:color w:val="000000"/>
                <w:sz w:val="20"/>
                <w:szCs w:val="20"/>
                <w:lang w:val="en-US" w:eastAsia="zh-CN"/>
              </w:rPr>
              <w:t>28</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工艺及生产设备设施类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工业管道附属的安全阀等安全附件</w:t>
            </w:r>
            <w:r>
              <w:rPr>
                <w:rFonts w:hint="eastAsia" w:ascii="仿宋_GB2312" w:hAnsi="仿宋_GB2312" w:cs="仿宋_GB2312"/>
                <w:color w:val="000000"/>
                <w:kern w:val="0"/>
                <w:sz w:val="20"/>
                <w:szCs w:val="20"/>
                <w:lang w:eastAsia="zh-CN" w:bidi="ar"/>
              </w:rPr>
              <w:t>不</w:t>
            </w:r>
            <w:r>
              <w:rPr>
                <w:rFonts w:hint="eastAsia" w:ascii="仿宋_GB2312" w:hAnsi="仿宋_GB2312" w:cs="仿宋_GB2312"/>
                <w:color w:val="000000"/>
                <w:kern w:val="0"/>
                <w:sz w:val="20"/>
                <w:szCs w:val="20"/>
                <w:lang w:bidi="ar"/>
              </w:rPr>
              <w:t>符合</w:t>
            </w:r>
            <w:bookmarkStart w:id="36" w:name="OLE_LINK14"/>
            <w:r>
              <w:rPr>
                <w:rFonts w:hint="eastAsia" w:ascii="仿宋_GB2312" w:hAnsi="仿宋_GB2312" w:cs="仿宋_GB2312"/>
                <w:color w:val="000000"/>
                <w:kern w:val="0"/>
                <w:sz w:val="20"/>
                <w:szCs w:val="20"/>
                <w:lang w:bidi="ar"/>
              </w:rPr>
              <w:t>《</w:t>
            </w:r>
            <w:bookmarkStart w:id="37" w:name="OLE_LINK15"/>
            <w:r>
              <w:rPr>
                <w:rFonts w:hint="eastAsia" w:ascii="仿宋_GB2312" w:hAnsi="仿宋_GB2312" w:cs="仿宋_GB2312"/>
                <w:color w:val="000000"/>
                <w:kern w:val="0"/>
                <w:sz w:val="20"/>
                <w:szCs w:val="20"/>
                <w:lang w:bidi="ar"/>
              </w:rPr>
              <w:t>工业管道安全技术规程</w:t>
            </w:r>
            <w:bookmarkEnd w:id="37"/>
            <w:r>
              <w:rPr>
                <w:rFonts w:hint="eastAsia" w:ascii="仿宋_GB2312" w:hAnsi="仿宋_GB2312" w:cs="仿宋_GB2312"/>
                <w:color w:val="000000"/>
                <w:kern w:val="0"/>
                <w:sz w:val="20"/>
                <w:szCs w:val="20"/>
                <w:lang w:bidi="ar"/>
              </w:rPr>
              <w:t>》（TSG 31）</w:t>
            </w:r>
            <w:bookmarkEnd w:id="36"/>
            <w:r>
              <w:rPr>
                <w:rFonts w:hint="eastAsia" w:ascii="仿宋_GB2312" w:hAnsi="仿宋_GB2312" w:cs="仿宋_GB2312"/>
                <w:color w:val="000000"/>
                <w:kern w:val="0"/>
                <w:sz w:val="20"/>
                <w:szCs w:val="20"/>
                <w:lang w:bidi="ar"/>
              </w:rPr>
              <w:t>的规定。安全阀未在检验有效期内，铅封完好。</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工业管道附属的安全阀等安全附件应符合《工业管道安全技术监察规程》（TSG 31 ）的规定。且安全阀应在检验有效期内，铅封完好。</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《工业管道安全技术规程》（TSG 31-2025）第8.1节</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4" w:hRule="atLeast"/>
        </w:trPr>
        <w:tc>
          <w:tcPr>
            <w:tcW w:w="359" w:type="pct"/>
            <w:tcBorders>
              <w:tl2br w:val="nil"/>
              <w:tr2bl w:val="nil"/>
            </w:tcBorders>
            <w:noWrap/>
            <w:vAlign w:val="center"/>
          </w:tcPr>
          <w:p>
            <w:pPr>
              <w:adjustRightInd w:val="0"/>
              <w:snapToGrid w:val="0"/>
              <w:spacing w:after="0" w:line="240" w:lineRule="auto"/>
              <w:jc w:val="center"/>
              <w:rPr>
                <w:rFonts w:hint="default" w:ascii="仿宋_GB2312" w:hAnsi="仿宋_GB2312" w:eastAsia="仿宋_GB2312" w:cs="仿宋_GB2312"/>
                <w:color w:val="000000"/>
                <w:sz w:val="20"/>
                <w:szCs w:val="20"/>
                <w:lang w:val="en-US" w:eastAsia="zh-CN"/>
              </w:rPr>
            </w:pPr>
            <w:r>
              <w:rPr>
                <w:rFonts w:hint="eastAsia" w:ascii="仿宋_GB2312" w:hAnsi="仿宋_GB2312" w:cs="仿宋_GB2312"/>
                <w:color w:val="000000"/>
                <w:sz w:val="20"/>
                <w:szCs w:val="20"/>
              </w:rPr>
              <w:t>14.4.03.1</w:t>
            </w:r>
            <w:r>
              <w:rPr>
                <w:rFonts w:hint="eastAsia" w:ascii="仿宋_GB2312" w:hAnsi="仿宋_GB2312" w:cs="仿宋_GB2312"/>
                <w:color w:val="000000"/>
                <w:sz w:val="20"/>
                <w:szCs w:val="20"/>
                <w:lang w:val="en-US" w:eastAsia="zh-CN"/>
              </w:rPr>
              <w:t>29</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场所环境类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标志及标识类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安装低温固定容器场所无良好的通风条件或设置换气通风装置，未能安全排放液体、气体；安装场所未设有安全出口；安装容器的基础不能坚实牢固，防火耐热。</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eastAsia="仿宋_GB2312" w:cs="仿宋_GB2312"/>
                <w:color w:val="000000"/>
                <w:sz w:val="20"/>
                <w:szCs w:val="20"/>
                <w:lang w:eastAsia="zh-CN"/>
              </w:rPr>
            </w:pPr>
            <w:r>
              <w:rPr>
                <w:rFonts w:hint="eastAsia" w:ascii="仿宋_GB2312" w:hAnsi="仿宋_GB2312" w:cs="仿宋_GB2312"/>
                <w:color w:val="000000"/>
                <w:kern w:val="0"/>
                <w:sz w:val="20"/>
                <w:szCs w:val="20"/>
                <w:lang w:bidi="ar"/>
              </w:rPr>
              <w:t>安装低温固定容器场所必须有良好的通风条件或设置换气通风装置，并能安全排放液体、气体；安装场所必须设有安全出口；安装容器的基础必须坚实牢固，并应防火耐热</w:t>
            </w:r>
            <w:r>
              <w:rPr>
                <w:rFonts w:hint="eastAsia" w:ascii="仿宋_GB2312" w:hAnsi="仿宋_GB2312" w:cs="仿宋_GB2312"/>
                <w:color w:val="000000"/>
                <w:kern w:val="0"/>
                <w:sz w:val="20"/>
                <w:szCs w:val="20"/>
                <w:lang w:eastAsia="zh-CN" w:bidi="ar"/>
              </w:rPr>
              <w:t>。</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《低温液体贮运设备 使用安全规则》（JB/T 6898-2015）第4.2.2条、第4.2.3条、第4.2.4条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val="en-US" w:eastAsia="zh-CN"/>
              </w:rPr>
            </w:pPr>
            <w:r>
              <w:rPr>
                <w:rFonts w:hint="eastAsia" w:ascii="仿宋_GB2312" w:hAnsi="等线"/>
                <w:color w:val="000000"/>
                <w:sz w:val="20"/>
                <w:szCs w:val="20"/>
              </w:rPr>
              <w:t>14.2.0</w:t>
            </w:r>
            <w:r>
              <w:rPr>
                <w:rFonts w:hint="eastAsia" w:ascii="仿宋_GB2312" w:hAnsi="仿宋_GB2312" w:cs="仿宋_GB2312"/>
                <w:color w:val="000000"/>
                <w:sz w:val="20"/>
                <w:szCs w:val="20"/>
              </w:rPr>
              <w:t>2.13</w:t>
            </w:r>
            <w:r>
              <w:rPr>
                <w:rFonts w:hint="eastAsia" w:ascii="仿宋_GB2312" w:hAnsi="仿宋_GB2312" w:cs="仿宋_GB2312"/>
                <w:color w:val="000000"/>
                <w:sz w:val="20"/>
                <w:szCs w:val="20"/>
                <w:lang w:val="en-US" w:eastAsia="zh-CN"/>
              </w:rPr>
              <w:t>0</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工艺及生产设备设施类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液氮、液氩容器未安置在室外。若安装在室内，气体紧急放空口未引出室外安全处，放空口未设在高出操作面3m以上的安全处。</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液氮、液氩容器宜安置在室外。若安装在室内，气体紧急放空口必须引出室外安全处，放空口宜设在高出操作面3m以上的安全处。</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《低温液体贮运设备 使用安全规则》（JB/T 6898-2015）第4.3.3条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val="en-US" w:eastAsia="zh-CN"/>
              </w:rPr>
            </w:pPr>
            <w:r>
              <w:rPr>
                <w:rFonts w:hint="eastAsia" w:ascii="仿宋_GB2312" w:hAnsi="等线"/>
                <w:color w:val="000000"/>
                <w:sz w:val="20"/>
                <w:szCs w:val="20"/>
              </w:rPr>
              <w:t>14.2.0</w:t>
            </w:r>
            <w:r>
              <w:rPr>
                <w:rFonts w:hint="eastAsia" w:ascii="仿宋_GB2312" w:hAnsi="仿宋_GB2312" w:cs="仿宋_GB2312"/>
                <w:color w:val="000000"/>
                <w:sz w:val="20"/>
                <w:szCs w:val="20"/>
              </w:rPr>
              <w:t>2.13</w:t>
            </w:r>
            <w:r>
              <w:rPr>
                <w:rFonts w:hint="eastAsia" w:ascii="仿宋_GB2312" w:hAnsi="仿宋_GB2312" w:cs="仿宋_GB2312"/>
                <w:color w:val="000000"/>
                <w:sz w:val="20"/>
                <w:szCs w:val="20"/>
                <w:lang w:val="en-US" w:eastAsia="zh-CN"/>
              </w:rPr>
              <w:t>1</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工艺及生产设备设施类</w:t>
            </w:r>
          </w:p>
        </w:tc>
        <w:tc>
          <w:tcPr>
            <w:tcW w:w="1012"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特种气体、大宗气体管路、生命安全系统、安装和验收</w:t>
            </w:r>
            <w:r>
              <w:rPr>
                <w:rFonts w:hint="eastAsia" w:ascii="仿宋_GB2312" w:hAnsi="仿宋_GB2312" w:cs="仿宋_GB2312"/>
                <w:color w:val="000000"/>
                <w:kern w:val="0"/>
                <w:sz w:val="20"/>
                <w:szCs w:val="20"/>
                <w:lang w:eastAsia="zh-CN" w:bidi="ar"/>
              </w:rPr>
              <w:t>不</w:t>
            </w:r>
            <w:r>
              <w:rPr>
                <w:rFonts w:hint="eastAsia" w:ascii="仿宋_GB2312" w:hAnsi="仿宋_GB2312" w:cs="仿宋_GB2312"/>
                <w:color w:val="000000"/>
                <w:kern w:val="0"/>
                <w:sz w:val="20"/>
                <w:szCs w:val="20"/>
                <w:lang w:bidi="ar"/>
              </w:rPr>
              <w:t>符合 GB 50646 和 GB 50724 的规定。</w:t>
            </w:r>
          </w:p>
        </w:tc>
        <w:tc>
          <w:tcPr>
            <w:tcW w:w="137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特种气体、大宗气体管路、生命安全系统、安装和验收应符合 GB 50646 和 GB 50724 的规定。</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《安全生产等级评定技术规范 第57部分：电子通信制造企业》（DB11/T 1322.57-2019）第3.3.1.3.1条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5" w:hRule="atLeast"/>
        </w:trPr>
        <w:tc>
          <w:tcPr>
            <w:tcW w:w="5000" w:type="pct"/>
            <w:gridSpan w:val="7"/>
            <w:tcBorders>
              <w:tl2br w:val="nil"/>
              <w:tr2bl w:val="nil"/>
            </w:tcBorders>
            <w:shd w:val="clear" w:color="auto" w:fill="B4C6E7"/>
            <w:vAlign w:val="center"/>
          </w:tcPr>
          <w:p>
            <w:pPr>
              <w:widowControl/>
              <w:adjustRightInd w:val="0"/>
              <w:snapToGrid w:val="0"/>
              <w:spacing w:after="0" w:line="240" w:lineRule="auto"/>
              <w:jc w:val="center"/>
              <w:textAlignment w:val="center"/>
              <w:rPr>
                <w:rFonts w:hint="eastAsia" w:ascii="仿宋_GB2312" w:hAnsi="仿宋_GB2312" w:cs="仿宋_GB2312"/>
                <w:b/>
                <w:color w:val="000000"/>
                <w:sz w:val="20"/>
                <w:szCs w:val="20"/>
              </w:rPr>
            </w:pPr>
            <w:r>
              <w:rPr>
                <w:rFonts w:hint="eastAsia" w:ascii="仿宋_GB2312" w:hAnsi="仿宋_GB2312" w:cs="仿宋_GB2312"/>
                <w:b/>
                <w:color w:val="000000"/>
                <w:kern w:val="0"/>
                <w:sz w:val="20"/>
                <w:szCs w:val="20"/>
                <w:lang w:bidi="ar"/>
              </w:rPr>
              <w:t>氧气</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val="en-US" w:eastAsia="zh-CN"/>
              </w:rPr>
            </w:pPr>
            <w:r>
              <w:rPr>
                <w:rFonts w:hint="eastAsia" w:ascii="仿宋_GB2312" w:hAnsi="仿宋_GB2312" w:cs="仿宋_GB2312"/>
                <w:color w:val="000000"/>
                <w:sz w:val="20"/>
                <w:szCs w:val="20"/>
              </w:rPr>
              <w:t>14.4.02.13</w:t>
            </w:r>
            <w:r>
              <w:rPr>
                <w:rFonts w:hint="eastAsia" w:ascii="仿宋_GB2312" w:hAnsi="仿宋_GB2312" w:cs="仿宋_GB2312"/>
                <w:color w:val="000000"/>
                <w:sz w:val="20"/>
                <w:szCs w:val="20"/>
                <w:lang w:val="en-US" w:eastAsia="zh-CN"/>
              </w:rPr>
              <w:t>2</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场所环境类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建（构）筑物类</w:t>
            </w:r>
          </w:p>
        </w:tc>
        <w:tc>
          <w:tcPr>
            <w:tcW w:w="1012"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制氧站房、灌氧站房、氧气压缩机间未布置成独立建筑物，与不低于其耐火等级的除火灾危险性属甲、乙类的生产车间，以及无明火或散发火花作业的其他生产车间毗连建造</w:t>
            </w:r>
            <w:r>
              <w:rPr>
                <w:rFonts w:hint="eastAsia" w:ascii="仿宋_GB2312" w:hAnsi="仿宋_GB2312" w:cs="仿宋_GB2312"/>
                <w:color w:val="000000"/>
                <w:kern w:val="0"/>
                <w:sz w:val="20"/>
                <w:szCs w:val="20"/>
                <w:lang w:eastAsia="zh-CN" w:bidi="ar"/>
              </w:rPr>
              <w:t>时</w:t>
            </w:r>
            <w:r>
              <w:rPr>
                <w:rFonts w:hint="eastAsia" w:ascii="仿宋_GB2312" w:hAnsi="仿宋_GB2312" w:cs="仿宋_GB2312"/>
                <w:color w:val="000000"/>
                <w:kern w:val="0"/>
                <w:sz w:val="20"/>
                <w:szCs w:val="20"/>
                <w:lang w:bidi="ar"/>
              </w:rPr>
              <w:t>，其毗连的墙不为无门、窗、洞的防火墙，未设不少于一个直通室外的安全出口。</w:t>
            </w:r>
          </w:p>
        </w:tc>
        <w:tc>
          <w:tcPr>
            <w:tcW w:w="1379"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制氧站房、灌氧站房、氧气压缩机间宜布置成独立建筑物，但可与不低于其耐火等级的除火灾危险性属甲、乙类的生产车间，以及无明火或散发火花作业的其他生产车间毗连建造，其毗连的墙应为无门、窗、洞的防火墙，并应设不少于一个直通室外的安全出口。</w:t>
            </w:r>
          </w:p>
        </w:tc>
        <w:tc>
          <w:tcPr>
            <w:tcW w:w="1369"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《氧气站设计规范》（GB 50030-2013）第3.0.10条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val="en-US" w:eastAsia="zh-CN"/>
              </w:rPr>
            </w:pPr>
            <w:r>
              <w:rPr>
                <w:rFonts w:hint="eastAsia" w:ascii="仿宋_GB2312" w:hAnsi="仿宋_GB2312" w:cs="仿宋_GB2312"/>
                <w:color w:val="000000"/>
                <w:sz w:val="20"/>
                <w:szCs w:val="20"/>
              </w:rPr>
              <w:t>14.4.02.13</w:t>
            </w:r>
            <w:r>
              <w:rPr>
                <w:rFonts w:hint="eastAsia" w:ascii="仿宋_GB2312" w:hAnsi="仿宋_GB2312" w:cs="仿宋_GB2312"/>
                <w:color w:val="000000"/>
                <w:sz w:val="20"/>
                <w:szCs w:val="20"/>
                <w:lang w:val="en-US" w:eastAsia="zh-CN"/>
              </w:rPr>
              <w:t>3</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场所环境类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建（构）筑物类</w:t>
            </w:r>
          </w:p>
        </w:tc>
        <w:tc>
          <w:tcPr>
            <w:tcW w:w="1012"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液氧贮罐和输送设备的液体接口下方周围5m范围内有可燃物，铺设沥青路面，在机动输送液氧设备下方的不燃材料地面小于车辆的全长。</w:t>
            </w:r>
          </w:p>
        </w:tc>
        <w:tc>
          <w:tcPr>
            <w:tcW w:w="1379"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液氧贮罐和输送设备的液体接口下方周围5m范围内不应有可燃物，不应铺设沥青路面，在机动输送液氧设备下方的不燃材料地面不应小于车辆的全长。</w:t>
            </w:r>
          </w:p>
        </w:tc>
        <w:tc>
          <w:tcPr>
            <w:tcW w:w="1369"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《氧气站设计规范》（GB 50030-2013）第3.0.14条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val="en-US" w:eastAsia="zh-CN"/>
              </w:rPr>
            </w:pPr>
            <w:r>
              <w:rPr>
                <w:rFonts w:hint="eastAsia" w:ascii="仿宋_GB2312" w:hAnsi="仿宋_GB2312" w:cs="仿宋_GB2312"/>
                <w:color w:val="000000"/>
                <w:sz w:val="20"/>
                <w:szCs w:val="20"/>
              </w:rPr>
              <w:t>14.4.02.13</w:t>
            </w:r>
            <w:r>
              <w:rPr>
                <w:rFonts w:hint="eastAsia" w:ascii="仿宋_GB2312" w:hAnsi="仿宋_GB2312" w:cs="仿宋_GB2312"/>
                <w:color w:val="000000"/>
                <w:sz w:val="20"/>
                <w:szCs w:val="20"/>
                <w:lang w:val="en-US" w:eastAsia="zh-CN"/>
              </w:rPr>
              <w:t>4</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场所环境类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建（构）筑物类</w:t>
            </w:r>
          </w:p>
        </w:tc>
        <w:tc>
          <w:tcPr>
            <w:tcW w:w="1012"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氧气站的乙类生产场所设置在地下室或半地下室。</w:t>
            </w:r>
          </w:p>
        </w:tc>
        <w:tc>
          <w:tcPr>
            <w:tcW w:w="1379"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氧气站的乙类生产场所不得设置在地下室或半地下室。</w:t>
            </w:r>
          </w:p>
        </w:tc>
        <w:tc>
          <w:tcPr>
            <w:tcW w:w="1369"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《氧气站设计规范》（GB 50030-2013）第3.0.15条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val="en-US" w:eastAsia="zh-CN"/>
              </w:rPr>
            </w:pPr>
            <w:r>
              <w:rPr>
                <w:rFonts w:hint="eastAsia" w:ascii="仿宋_GB2312" w:hAnsi="等线"/>
                <w:color w:val="000000"/>
                <w:sz w:val="20"/>
                <w:szCs w:val="20"/>
              </w:rPr>
              <w:t>14.2.0</w:t>
            </w:r>
            <w:r>
              <w:rPr>
                <w:rFonts w:hint="eastAsia" w:ascii="仿宋_GB2312" w:hAnsi="仿宋_GB2312" w:cs="仿宋_GB2312"/>
                <w:color w:val="000000"/>
                <w:sz w:val="20"/>
                <w:szCs w:val="20"/>
              </w:rPr>
              <w:t>2.13</w:t>
            </w:r>
            <w:r>
              <w:rPr>
                <w:rFonts w:hint="eastAsia" w:ascii="仿宋_GB2312" w:hAnsi="仿宋_GB2312" w:cs="仿宋_GB2312"/>
                <w:color w:val="000000"/>
                <w:sz w:val="20"/>
                <w:szCs w:val="20"/>
                <w:lang w:val="en-US" w:eastAsia="zh-CN"/>
              </w:rPr>
              <w:t>5</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工艺及生产设备设施类</w:t>
            </w:r>
          </w:p>
        </w:tc>
        <w:tc>
          <w:tcPr>
            <w:tcW w:w="1012"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与氧气接触的仪表和使用的工具有油脂。</w:t>
            </w:r>
          </w:p>
        </w:tc>
        <w:tc>
          <w:tcPr>
            <w:tcW w:w="1379"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与氧气接触的仪表和使用的工具必须无油脂。</w:t>
            </w:r>
          </w:p>
        </w:tc>
        <w:tc>
          <w:tcPr>
            <w:tcW w:w="1369"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《氧气站设计规范》（GB 50030-2013）第8.0.7条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59" w:type="pct"/>
            <w:tcBorders>
              <w:tl2br w:val="nil"/>
              <w:tr2bl w:val="nil"/>
            </w:tcBorders>
            <w:noWrap/>
            <w:vAlign w:val="center"/>
          </w:tcPr>
          <w:p>
            <w:pPr>
              <w:adjustRightInd w:val="0"/>
              <w:snapToGrid w:val="0"/>
              <w:spacing w:after="0" w:line="240" w:lineRule="auto"/>
              <w:jc w:val="center"/>
              <w:rPr>
                <w:rFonts w:hint="default" w:ascii="仿宋_GB2312" w:hAnsi="仿宋_GB2312" w:eastAsia="仿宋_GB2312" w:cs="仿宋_GB2312"/>
                <w:color w:val="000000"/>
                <w:sz w:val="20"/>
                <w:szCs w:val="20"/>
                <w:lang w:val="en-US" w:eastAsia="zh-CN"/>
              </w:rPr>
            </w:pPr>
            <w:r>
              <w:rPr>
                <w:rFonts w:hint="eastAsia" w:ascii="仿宋_GB2312" w:hAnsi="等线"/>
                <w:color w:val="000000"/>
                <w:sz w:val="20"/>
                <w:szCs w:val="20"/>
              </w:rPr>
              <w:t>14.2.13.1</w:t>
            </w:r>
            <w:r>
              <w:rPr>
                <w:rFonts w:hint="eastAsia" w:ascii="仿宋_GB2312" w:hAnsi="等线"/>
                <w:color w:val="000000"/>
                <w:sz w:val="20"/>
                <w:szCs w:val="20"/>
                <w:lang w:val="en-US" w:eastAsia="zh-CN"/>
              </w:rPr>
              <w:t>36</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用电安全类</w:t>
            </w:r>
          </w:p>
        </w:tc>
        <w:tc>
          <w:tcPr>
            <w:tcW w:w="1012"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Style w:val="71"/>
                <w:rFonts w:hint="default" w:ascii="仿宋_GB2312" w:hAnsi="仿宋_GB2312" w:eastAsia="仿宋_GB2312" w:cs="仿宋_GB2312"/>
                <w:lang w:bidi="ar"/>
              </w:rPr>
              <w:t>积聚液氧、液体空气的各类设备、氧气压缩机、氧气灌充台和氧气管道未设导除静电的接地装置，接地电阻大于10</w:t>
            </w:r>
            <w:r>
              <w:rPr>
                <w:rStyle w:val="72"/>
                <w:rFonts w:hint="eastAsia" w:ascii="仿宋_GB2312" w:hAnsi="仿宋_GB2312" w:cs="仿宋_GB2312"/>
                <w:lang w:bidi="ar"/>
              </w:rPr>
              <w:t>Ω</w:t>
            </w:r>
            <w:r>
              <w:rPr>
                <w:rStyle w:val="71"/>
                <w:rFonts w:hint="default" w:ascii="仿宋_GB2312" w:hAnsi="仿宋_GB2312" w:eastAsia="仿宋_GB2312" w:cs="仿宋_GB2312"/>
                <w:lang w:bidi="ar"/>
              </w:rPr>
              <w:t>。</w:t>
            </w:r>
          </w:p>
        </w:tc>
        <w:tc>
          <w:tcPr>
            <w:tcW w:w="1379"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积聚液氧、液体空气的各类设备、氧气压缩机、氧气灌充台和氧气管道应设导除静电的接地装置，接地电阻不应大于10Ω。</w:t>
            </w:r>
          </w:p>
        </w:tc>
        <w:tc>
          <w:tcPr>
            <w:tcW w:w="1369"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《氧气站设计规范》（GB 50030-2013）第8.0.8条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359" w:type="pct"/>
            <w:tcBorders>
              <w:tl2br w:val="nil"/>
              <w:tr2bl w:val="nil"/>
            </w:tcBorders>
            <w:noWrap/>
            <w:vAlign w:val="center"/>
          </w:tcPr>
          <w:p>
            <w:pPr>
              <w:adjustRightInd w:val="0"/>
              <w:snapToGrid w:val="0"/>
              <w:spacing w:after="0" w:line="240" w:lineRule="auto"/>
              <w:jc w:val="center"/>
              <w:rPr>
                <w:rFonts w:hint="default" w:ascii="仿宋_GB2312" w:hAnsi="仿宋_GB2312" w:cs="仿宋_GB2312"/>
                <w:color w:val="000000"/>
                <w:sz w:val="20"/>
                <w:szCs w:val="20"/>
                <w:lang w:val="en-US"/>
              </w:rPr>
            </w:pPr>
            <w:r>
              <w:rPr>
                <w:rFonts w:hint="eastAsia" w:ascii="仿宋_GB2312" w:hAnsi="等线"/>
                <w:color w:val="000000"/>
                <w:sz w:val="20"/>
                <w:szCs w:val="20"/>
              </w:rPr>
              <w:t>14.2.1</w:t>
            </w:r>
            <w:r>
              <w:rPr>
                <w:rFonts w:hint="eastAsia" w:ascii="仿宋_GB2312" w:hAnsi="等线"/>
                <w:color w:val="000000"/>
                <w:sz w:val="20"/>
                <w:szCs w:val="20"/>
                <w:lang w:val="en-US" w:eastAsia="zh-CN"/>
              </w:rPr>
              <w:t>4</w:t>
            </w:r>
            <w:r>
              <w:rPr>
                <w:rFonts w:hint="eastAsia" w:ascii="仿宋_GB2312" w:hAnsi="等线"/>
                <w:color w:val="000000"/>
                <w:sz w:val="20"/>
                <w:szCs w:val="20"/>
              </w:rPr>
              <w:t>.1</w:t>
            </w:r>
            <w:r>
              <w:rPr>
                <w:rFonts w:hint="eastAsia" w:ascii="仿宋_GB2312" w:hAnsi="等线"/>
                <w:color w:val="000000"/>
                <w:sz w:val="20"/>
                <w:szCs w:val="20"/>
                <w:lang w:val="en-US" w:eastAsia="zh-CN"/>
              </w:rPr>
              <w:t>37</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其它类</w:t>
            </w:r>
          </w:p>
        </w:tc>
        <w:tc>
          <w:tcPr>
            <w:tcW w:w="1012"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制氧站房、灌氧站房、氧气压缩机间、氧气储罐间、液氧储罐间、氢气瓶间、液氧系统和氧气汇流排间等未采用明火或电加热散热器采暖。</w:t>
            </w:r>
          </w:p>
        </w:tc>
        <w:tc>
          <w:tcPr>
            <w:tcW w:w="1379"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制氧站房、灌氧站房、氧气压缩机间、氧气储罐间、液氧储罐间、氢气瓶间、液氧系统和氧气汇流排间等严禁采用明火或电加热散热器采暖。</w:t>
            </w:r>
          </w:p>
        </w:tc>
        <w:tc>
          <w:tcPr>
            <w:tcW w:w="1369"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《氧气站设计规范》（GB 50030-2013）第10.0.1条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5000" w:type="pct"/>
            <w:gridSpan w:val="7"/>
            <w:tcBorders>
              <w:tl2br w:val="nil"/>
              <w:tr2bl w:val="nil"/>
            </w:tcBorders>
            <w:shd w:val="clear" w:color="auto" w:fill="B4C6E7"/>
            <w:vAlign w:val="center"/>
          </w:tcPr>
          <w:p>
            <w:pPr>
              <w:widowControl/>
              <w:adjustRightInd w:val="0"/>
              <w:snapToGrid w:val="0"/>
              <w:spacing w:after="0" w:line="240" w:lineRule="auto"/>
              <w:jc w:val="center"/>
              <w:textAlignment w:val="center"/>
              <w:rPr>
                <w:rFonts w:hint="eastAsia" w:ascii="仿宋_GB2312" w:hAnsi="仿宋_GB2312" w:cs="仿宋_GB2312"/>
                <w:b/>
                <w:color w:val="000000"/>
                <w:sz w:val="20"/>
                <w:szCs w:val="20"/>
              </w:rPr>
            </w:pPr>
            <w:r>
              <w:rPr>
                <w:rFonts w:hint="eastAsia" w:ascii="仿宋_GB2312" w:hAnsi="仿宋_GB2312" w:cs="仿宋_GB2312"/>
                <w:b/>
                <w:color w:val="000000"/>
                <w:kern w:val="0"/>
                <w:sz w:val="20"/>
                <w:szCs w:val="20"/>
                <w:lang w:bidi="ar"/>
              </w:rPr>
              <w:t>氢气</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59" w:type="pct"/>
            <w:tcBorders>
              <w:tl2br w:val="nil"/>
              <w:tr2bl w:val="nil"/>
            </w:tcBorders>
            <w:noWrap/>
            <w:vAlign w:val="center"/>
          </w:tcPr>
          <w:p>
            <w:pPr>
              <w:adjustRightInd w:val="0"/>
              <w:snapToGrid w:val="0"/>
              <w:spacing w:after="0" w:line="240" w:lineRule="auto"/>
              <w:jc w:val="center"/>
              <w:rPr>
                <w:rFonts w:hint="default" w:ascii="仿宋_GB2312" w:hAnsi="仿宋_GB2312" w:eastAsia="仿宋_GB2312" w:cs="仿宋_GB2312"/>
                <w:color w:val="000000"/>
                <w:sz w:val="20"/>
                <w:szCs w:val="20"/>
                <w:lang w:val="en-US" w:eastAsia="zh-CN"/>
              </w:rPr>
            </w:pPr>
            <w:r>
              <w:rPr>
                <w:rFonts w:hint="eastAsia" w:ascii="仿宋_GB2312" w:hAnsi="仿宋_GB2312" w:cs="仿宋_GB2312"/>
                <w:color w:val="000000"/>
                <w:sz w:val="20"/>
                <w:szCs w:val="20"/>
              </w:rPr>
              <w:t>14.4.02.1</w:t>
            </w:r>
            <w:r>
              <w:rPr>
                <w:rFonts w:hint="eastAsia" w:ascii="仿宋_GB2312" w:hAnsi="仿宋_GB2312" w:cs="仿宋_GB2312"/>
                <w:color w:val="000000"/>
                <w:sz w:val="20"/>
                <w:szCs w:val="20"/>
                <w:lang w:val="en-US" w:eastAsia="zh-CN"/>
              </w:rPr>
              <w:t>38</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场所环境类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建（构）筑物类</w:t>
            </w:r>
          </w:p>
        </w:tc>
        <w:tc>
          <w:tcPr>
            <w:tcW w:w="1012"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氢气站、供氢站内有爆炸危险房间或区域未按规范要求划分爆炸危险等级，</w:t>
            </w:r>
            <w:r>
              <w:rPr>
                <w:rFonts w:hint="eastAsia" w:ascii="仿宋_GB2312" w:hAnsi="仿宋_GB2312" w:cs="仿宋_GB2312"/>
                <w:color w:val="000000"/>
                <w:kern w:val="0"/>
                <w:sz w:val="20"/>
                <w:szCs w:val="20"/>
                <w:lang w:eastAsia="zh-CN" w:bidi="ar"/>
              </w:rPr>
              <w:t>不</w:t>
            </w:r>
            <w:r>
              <w:rPr>
                <w:rFonts w:hint="eastAsia" w:ascii="仿宋_GB2312" w:hAnsi="仿宋_GB2312" w:cs="仿宋_GB2312"/>
                <w:color w:val="000000"/>
                <w:kern w:val="0"/>
                <w:sz w:val="20"/>
                <w:szCs w:val="20"/>
                <w:lang w:bidi="ar"/>
              </w:rPr>
              <w:t>符合GB 50177规范规定。</w:t>
            </w:r>
          </w:p>
        </w:tc>
        <w:tc>
          <w:tcPr>
            <w:tcW w:w="1379"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氢气站、供氢站内有爆炸危险房间或区域未按规范要求划分爆炸危险等级，应符合GB 50177规范规定。</w:t>
            </w:r>
          </w:p>
        </w:tc>
        <w:tc>
          <w:tcPr>
            <w:tcW w:w="1369"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《氢气站设计规范》（GB 50177-2005）第 1.0.3条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59" w:type="pct"/>
            <w:tcBorders>
              <w:tl2br w:val="nil"/>
              <w:tr2bl w:val="nil"/>
            </w:tcBorders>
            <w:noWrap/>
            <w:vAlign w:val="center"/>
          </w:tcPr>
          <w:p>
            <w:pPr>
              <w:adjustRightInd w:val="0"/>
              <w:snapToGrid w:val="0"/>
              <w:spacing w:after="0" w:line="240" w:lineRule="auto"/>
              <w:jc w:val="center"/>
              <w:rPr>
                <w:rFonts w:hint="default" w:ascii="仿宋_GB2312" w:hAnsi="仿宋_GB2312" w:eastAsia="仿宋_GB2312" w:cs="仿宋_GB2312"/>
                <w:color w:val="000000"/>
                <w:sz w:val="20"/>
                <w:szCs w:val="20"/>
                <w:lang w:val="en-US" w:eastAsia="zh-CN"/>
              </w:rPr>
            </w:pPr>
            <w:r>
              <w:rPr>
                <w:rFonts w:hint="eastAsia" w:ascii="仿宋_GB2312" w:hAnsi="仿宋_GB2312" w:cs="仿宋_GB2312"/>
                <w:color w:val="000000"/>
                <w:sz w:val="20"/>
                <w:szCs w:val="20"/>
              </w:rPr>
              <w:t>14.4.01.1</w:t>
            </w:r>
            <w:r>
              <w:rPr>
                <w:rFonts w:hint="eastAsia" w:ascii="仿宋_GB2312" w:hAnsi="仿宋_GB2312" w:cs="仿宋_GB2312"/>
                <w:color w:val="000000"/>
                <w:sz w:val="20"/>
                <w:szCs w:val="20"/>
                <w:lang w:val="en-US" w:eastAsia="zh-CN"/>
              </w:rPr>
              <w:t>39</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场所环境类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平面布置类</w:t>
            </w:r>
          </w:p>
        </w:tc>
        <w:tc>
          <w:tcPr>
            <w:tcW w:w="1012"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氢气灌(充)装站.供氢站.实瓶间、空瓶间周边10 m内有明火。</w:t>
            </w:r>
          </w:p>
        </w:tc>
        <w:tc>
          <w:tcPr>
            <w:tcW w:w="1379"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氢气灌(充)装站 .供氢站.实瓶间、空瓶间周边至少10 m内不得有明火。</w:t>
            </w:r>
          </w:p>
        </w:tc>
        <w:tc>
          <w:tcPr>
            <w:tcW w:w="1369"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《氢气使用安全技术规程》（GB 4962-2008）第4.1.8条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val="en-US" w:eastAsia="zh-CN"/>
              </w:rPr>
            </w:pPr>
            <w:r>
              <w:rPr>
                <w:rFonts w:hint="eastAsia" w:ascii="仿宋_GB2312" w:hAnsi="仿宋_GB2312" w:cs="仿宋_GB2312"/>
                <w:color w:val="000000"/>
                <w:sz w:val="20"/>
                <w:szCs w:val="20"/>
              </w:rPr>
              <w:t>14.2.09.14</w:t>
            </w:r>
            <w:r>
              <w:rPr>
                <w:rFonts w:hint="eastAsia" w:ascii="仿宋_GB2312" w:hAnsi="仿宋_GB2312" w:cs="仿宋_GB2312"/>
                <w:color w:val="000000"/>
                <w:sz w:val="20"/>
                <w:szCs w:val="20"/>
                <w:lang w:val="en-US" w:eastAsia="zh-CN"/>
              </w:rPr>
              <w:t>0</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监控系统类</w:t>
            </w:r>
          </w:p>
        </w:tc>
        <w:tc>
          <w:tcPr>
            <w:tcW w:w="1012"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水电解制氢系统当回收电解氧气时，应设置氧中氢自动分析仪和手工分析装置，未设有氧中氢超浓度报警装置。</w:t>
            </w:r>
          </w:p>
        </w:tc>
        <w:tc>
          <w:tcPr>
            <w:tcW w:w="1379"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水电解制氢系统当回收电解氧气时，应设置氧中氢自动分析仪和手工分析装置，设有氧中氢超浓度报警装置。</w:t>
            </w:r>
          </w:p>
        </w:tc>
        <w:tc>
          <w:tcPr>
            <w:tcW w:w="1369"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《氢气站设计规范》（GB 50177-2005）第4.0.3条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val="en-US" w:eastAsia="zh-CN"/>
              </w:rPr>
            </w:pPr>
            <w:r>
              <w:rPr>
                <w:rFonts w:hint="eastAsia" w:ascii="仿宋_GB2312" w:hAnsi="等线"/>
                <w:color w:val="000000"/>
                <w:sz w:val="20"/>
                <w:szCs w:val="20"/>
              </w:rPr>
              <w:t>14.2.0</w:t>
            </w:r>
            <w:r>
              <w:rPr>
                <w:rFonts w:hint="eastAsia" w:ascii="仿宋_GB2312" w:hAnsi="仿宋_GB2312" w:cs="仿宋_GB2312"/>
                <w:color w:val="000000"/>
                <w:sz w:val="20"/>
                <w:szCs w:val="20"/>
              </w:rPr>
              <w:t>2.14</w:t>
            </w:r>
            <w:r>
              <w:rPr>
                <w:rFonts w:hint="eastAsia" w:ascii="仿宋_GB2312" w:hAnsi="仿宋_GB2312" w:cs="仿宋_GB2312"/>
                <w:color w:val="000000"/>
                <w:sz w:val="20"/>
                <w:szCs w:val="20"/>
                <w:lang w:val="en-US" w:eastAsia="zh-CN"/>
              </w:rPr>
              <w:t>1</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工艺及生产设备设施类</w:t>
            </w:r>
          </w:p>
        </w:tc>
        <w:tc>
          <w:tcPr>
            <w:tcW w:w="1012"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氢气压缩机安全保护装置的设置，</w:t>
            </w:r>
            <w:r>
              <w:rPr>
                <w:rFonts w:hint="eastAsia" w:ascii="仿宋_GB2312" w:hAnsi="仿宋_GB2312" w:cs="仿宋_GB2312"/>
                <w:color w:val="000000"/>
                <w:kern w:val="0"/>
                <w:sz w:val="20"/>
                <w:szCs w:val="20"/>
                <w:lang w:eastAsia="zh-CN" w:bidi="ar"/>
              </w:rPr>
              <w:t>不</w:t>
            </w:r>
            <w:r>
              <w:rPr>
                <w:rFonts w:hint="eastAsia" w:ascii="仿宋_GB2312" w:hAnsi="仿宋_GB2312" w:cs="仿宋_GB2312"/>
                <w:color w:val="000000"/>
                <w:kern w:val="0"/>
                <w:sz w:val="20"/>
                <w:szCs w:val="20"/>
                <w:lang w:bidi="ar"/>
              </w:rPr>
              <w:t>符合下列规定：（1）压缩机出口与第1个切断阀之间应设安全阀；（2）压缩机进、出口应设高低压报警和超限停机装置；（3）润滑油系统应设油压过低或油温过高的报警装置；（4）压缩机的冷却水系统应设温度或压力报和停机装置；（5）压缩机进、出口管路应设有置换吹扫口。</w:t>
            </w:r>
          </w:p>
        </w:tc>
        <w:tc>
          <w:tcPr>
            <w:tcW w:w="1379"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氢气压缩机安全保护装置的设置，应符合下列规定：（1）压缩机出口与第 1个切断阀之间应设安全阀；（2）压缩机进、出口应设高低压报警和超限停机装置；（3）润滑油系统应设油压过低或油温过高的报警装置；（4）压缩机的冷却水系统应设温度或压力报和停机装置；（5）压缩机进、出口管路应设有置换吹扫口。</w:t>
            </w:r>
          </w:p>
        </w:tc>
        <w:tc>
          <w:tcPr>
            <w:tcW w:w="1369"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《氢气站设计规范》（GB 50177-2005）第4.0.8条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val="en-US" w:eastAsia="zh-CN"/>
              </w:rPr>
            </w:pPr>
            <w:r>
              <w:rPr>
                <w:rFonts w:hint="eastAsia" w:ascii="仿宋_GB2312" w:hAnsi="等线"/>
                <w:color w:val="000000"/>
                <w:sz w:val="20"/>
                <w:szCs w:val="20"/>
              </w:rPr>
              <w:t>14.2.0</w:t>
            </w:r>
            <w:r>
              <w:rPr>
                <w:rFonts w:hint="eastAsia" w:ascii="仿宋_GB2312" w:hAnsi="仿宋_GB2312" w:cs="仿宋_GB2312"/>
                <w:color w:val="000000"/>
                <w:sz w:val="20"/>
                <w:szCs w:val="20"/>
              </w:rPr>
              <w:t>2.14</w:t>
            </w:r>
            <w:r>
              <w:rPr>
                <w:rFonts w:hint="eastAsia" w:ascii="仿宋_GB2312" w:hAnsi="仿宋_GB2312" w:cs="仿宋_GB2312"/>
                <w:color w:val="000000"/>
                <w:sz w:val="20"/>
                <w:szCs w:val="20"/>
                <w:lang w:val="en-US" w:eastAsia="zh-CN"/>
              </w:rPr>
              <w:t>2</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工艺及生产设备设施类</w:t>
            </w:r>
          </w:p>
        </w:tc>
        <w:tc>
          <w:tcPr>
            <w:tcW w:w="1012"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各类制氢系统中，设备及其管道内的冷凝水，未经各自的专用疏水装置或排水水封排至室外。水封上的气体放空管，未分别接至室外安全处。</w:t>
            </w:r>
          </w:p>
        </w:tc>
        <w:tc>
          <w:tcPr>
            <w:tcW w:w="1379"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各类制氢系统中，设备及其管道内的冷凝水，应经各自的专用疏水装置或排水水封排至室外。水封上的气体放空管，应分别接至室外安全处。</w:t>
            </w:r>
          </w:p>
        </w:tc>
        <w:tc>
          <w:tcPr>
            <w:tcW w:w="1369"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《氢气站设计规范》（GB 50177-2005）第4.0.11条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val="en-US" w:eastAsia="zh-CN"/>
              </w:rPr>
            </w:pPr>
            <w:r>
              <w:rPr>
                <w:rFonts w:hint="eastAsia" w:ascii="仿宋_GB2312" w:hAnsi="等线"/>
                <w:color w:val="000000"/>
                <w:sz w:val="20"/>
                <w:szCs w:val="20"/>
              </w:rPr>
              <w:t>14.2.0</w:t>
            </w:r>
            <w:r>
              <w:rPr>
                <w:rFonts w:hint="eastAsia" w:ascii="仿宋_GB2312" w:hAnsi="仿宋_GB2312" w:cs="仿宋_GB2312"/>
                <w:color w:val="000000"/>
                <w:sz w:val="20"/>
                <w:szCs w:val="20"/>
              </w:rPr>
              <w:t>2.14</w:t>
            </w:r>
            <w:r>
              <w:rPr>
                <w:rFonts w:hint="eastAsia" w:ascii="仿宋_GB2312" w:hAnsi="仿宋_GB2312" w:cs="仿宋_GB2312"/>
                <w:color w:val="000000"/>
                <w:sz w:val="20"/>
                <w:szCs w:val="20"/>
                <w:lang w:val="en-US" w:eastAsia="zh-CN"/>
              </w:rPr>
              <w:t>3</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工艺及生产设备设施类</w:t>
            </w:r>
          </w:p>
        </w:tc>
        <w:tc>
          <w:tcPr>
            <w:tcW w:w="1012"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制氢系统、供氢系统，未设有含氧量小于0.5%的氮气置换吹扫设施。</w:t>
            </w:r>
          </w:p>
        </w:tc>
        <w:tc>
          <w:tcPr>
            <w:tcW w:w="1379"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制氢系统、供氢系统，应设有含氧量小于0.5%的氮气置换吹扫设施。</w:t>
            </w:r>
          </w:p>
        </w:tc>
        <w:tc>
          <w:tcPr>
            <w:tcW w:w="1369"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《氢气站设计规范》（GB 50177-2005）第4.0.15条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val="en-US" w:eastAsia="zh-CN"/>
              </w:rPr>
            </w:pPr>
            <w:r>
              <w:rPr>
                <w:rFonts w:hint="eastAsia" w:ascii="仿宋_GB2312" w:hAnsi="仿宋_GB2312" w:cs="仿宋_GB2312"/>
                <w:color w:val="000000"/>
                <w:sz w:val="20"/>
                <w:szCs w:val="20"/>
              </w:rPr>
              <w:t>14.4.02.14</w:t>
            </w:r>
            <w:r>
              <w:rPr>
                <w:rFonts w:hint="eastAsia" w:ascii="仿宋_GB2312" w:hAnsi="仿宋_GB2312" w:cs="仿宋_GB2312"/>
                <w:color w:val="000000"/>
                <w:sz w:val="20"/>
                <w:szCs w:val="20"/>
                <w:lang w:val="en-US" w:eastAsia="zh-CN"/>
              </w:rPr>
              <w:t>4</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场所环境类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建（构）筑物类</w:t>
            </w:r>
          </w:p>
        </w:tc>
        <w:tc>
          <w:tcPr>
            <w:tcW w:w="1012"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氢气站内未将有爆炸危险的房间集中布置。有爆炸危险房间与无爆炸危险房间直接相通。必须相通时，未以走廊相连或设置双门斗。</w:t>
            </w:r>
          </w:p>
        </w:tc>
        <w:tc>
          <w:tcPr>
            <w:tcW w:w="1379"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氢气站内未将有爆炸危险的房间集中布置。有爆炸危险房间不应与无爆炸危险房间直接相通。必须相通时，应以走廊相连或设置双门斗。</w:t>
            </w:r>
          </w:p>
        </w:tc>
        <w:tc>
          <w:tcPr>
            <w:tcW w:w="1369"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《氢气站设计规范》（GB 50177-2005）第6.0.5条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val="en-US" w:eastAsia="zh-CN"/>
              </w:rPr>
            </w:pPr>
            <w:r>
              <w:rPr>
                <w:rFonts w:hint="eastAsia" w:ascii="仿宋_GB2312" w:hAnsi="仿宋_GB2312" w:cs="仿宋_GB2312"/>
                <w:color w:val="000000"/>
                <w:sz w:val="20"/>
                <w:szCs w:val="20"/>
              </w:rPr>
              <w:t>14.4.02.14</w:t>
            </w:r>
            <w:r>
              <w:rPr>
                <w:rFonts w:hint="eastAsia" w:ascii="仿宋_GB2312" w:hAnsi="仿宋_GB2312" w:cs="仿宋_GB2312"/>
                <w:color w:val="000000"/>
                <w:sz w:val="20"/>
                <w:szCs w:val="20"/>
                <w:lang w:val="en-US" w:eastAsia="zh-CN"/>
              </w:rPr>
              <w:t>5</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场所环境类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建（构）筑物类</w:t>
            </w:r>
          </w:p>
        </w:tc>
        <w:tc>
          <w:tcPr>
            <w:tcW w:w="1012"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氢气站、供氢站内有爆炸危险房间未按现行国家标准《建筑设计防火规范（2018年版）》GB 50016的规定，设置泄压设施。</w:t>
            </w:r>
          </w:p>
        </w:tc>
        <w:tc>
          <w:tcPr>
            <w:tcW w:w="1379"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氢气站、供氢站内有爆炸危险房间应按现行国家标准《建筑设计防火规范（2018年版）》GB 50016的规定，设置泄压设施。</w:t>
            </w:r>
          </w:p>
        </w:tc>
        <w:tc>
          <w:tcPr>
            <w:tcW w:w="1369"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《氢气站设计规范》（GB 50177-2005）第7.0.3条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50" w:hRule="atLeast"/>
        </w:trPr>
        <w:tc>
          <w:tcPr>
            <w:tcW w:w="359" w:type="pct"/>
            <w:tcBorders>
              <w:tl2br w:val="nil"/>
              <w:tr2bl w:val="nil"/>
            </w:tcBorders>
            <w:noWrap/>
            <w:vAlign w:val="center"/>
          </w:tcPr>
          <w:p>
            <w:pPr>
              <w:adjustRightInd w:val="0"/>
              <w:snapToGrid w:val="0"/>
              <w:spacing w:after="0" w:line="240" w:lineRule="auto"/>
              <w:jc w:val="center"/>
              <w:rPr>
                <w:rFonts w:hint="default" w:ascii="仿宋_GB2312" w:hAnsi="仿宋_GB2312" w:eastAsia="仿宋_GB2312" w:cs="仿宋_GB2312"/>
                <w:color w:val="000000"/>
                <w:sz w:val="20"/>
                <w:szCs w:val="20"/>
                <w:lang w:val="en-US" w:eastAsia="zh-CN"/>
              </w:rPr>
            </w:pPr>
            <w:r>
              <w:rPr>
                <w:rFonts w:hint="eastAsia" w:ascii="仿宋_GB2312" w:hAnsi="仿宋_GB2312" w:cs="仿宋_GB2312"/>
                <w:color w:val="000000"/>
                <w:sz w:val="20"/>
                <w:szCs w:val="20"/>
              </w:rPr>
              <w:t>14.4.02.1</w:t>
            </w:r>
            <w:r>
              <w:rPr>
                <w:rFonts w:hint="eastAsia" w:ascii="仿宋_GB2312" w:hAnsi="仿宋_GB2312" w:cs="仿宋_GB2312"/>
                <w:color w:val="000000"/>
                <w:sz w:val="20"/>
                <w:szCs w:val="20"/>
                <w:lang w:val="en-US" w:eastAsia="zh-CN"/>
              </w:rPr>
              <w:t>46</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场所环境类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建（构）筑物类</w:t>
            </w:r>
          </w:p>
        </w:tc>
        <w:tc>
          <w:tcPr>
            <w:tcW w:w="1012"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kern w:val="0"/>
                <w:sz w:val="20"/>
                <w:szCs w:val="20"/>
                <w:lang w:bidi="ar"/>
              </w:rPr>
            </w:pPr>
            <w:r>
              <w:rPr>
                <w:rFonts w:hint="eastAsia" w:ascii="仿宋_GB2312" w:hAnsi="仿宋_GB2312" w:cs="仿宋_GB2312"/>
                <w:color w:val="000000"/>
                <w:kern w:val="0"/>
                <w:sz w:val="20"/>
                <w:szCs w:val="20"/>
                <w:lang w:bidi="ar"/>
              </w:rPr>
              <w:t>有爆炸危险房间与无爆炸危险房间之间，未采用耐火极限不低于3.0h的不燃烧体防爆防护墙隔开。当设置双门斗相通时，门的耐火极限低于1.2 h。</w:t>
            </w:r>
          </w:p>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有爆炸危险房间与无爆炸危险房间之间，当必须穿过管线时，未采用不燃烧体材料填塞空隙。</w:t>
            </w:r>
          </w:p>
        </w:tc>
        <w:tc>
          <w:tcPr>
            <w:tcW w:w="1379"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kern w:val="0"/>
                <w:sz w:val="20"/>
                <w:szCs w:val="20"/>
                <w:lang w:bidi="ar"/>
              </w:rPr>
            </w:pPr>
            <w:r>
              <w:rPr>
                <w:rFonts w:hint="eastAsia" w:ascii="仿宋_GB2312" w:hAnsi="仿宋_GB2312" w:cs="仿宋_GB2312"/>
                <w:color w:val="000000"/>
                <w:kern w:val="0"/>
                <w:sz w:val="20"/>
                <w:szCs w:val="20"/>
                <w:lang w:bidi="ar"/>
              </w:rPr>
              <w:t>有爆炸危险房间与无爆炸危险房间之间，应采用耐火极限不低于3.0h的不燃烧体防爆防护墙隔开。当设置双门斗相通时，门的耐火极限不应低于1.2 h。</w:t>
            </w:r>
          </w:p>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有爆炸危险房间与无爆炸危险房间之间，当必须穿过管线时，应采用不燃烧体材料填塞空隙。</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《氢气站设计规范》（GB 50177-2005）第7.0.6条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359" w:type="pct"/>
            <w:tcBorders>
              <w:tl2br w:val="nil"/>
              <w:tr2bl w:val="nil"/>
            </w:tcBorders>
            <w:noWrap/>
            <w:vAlign w:val="center"/>
          </w:tcPr>
          <w:p>
            <w:pPr>
              <w:adjustRightInd w:val="0"/>
              <w:snapToGrid w:val="0"/>
              <w:spacing w:after="0" w:line="240" w:lineRule="auto"/>
              <w:jc w:val="center"/>
              <w:rPr>
                <w:rFonts w:hint="default" w:ascii="仿宋_GB2312" w:hAnsi="仿宋_GB2312" w:eastAsia="仿宋_GB2312" w:cs="仿宋_GB2312"/>
                <w:color w:val="000000"/>
                <w:sz w:val="20"/>
                <w:szCs w:val="20"/>
                <w:lang w:val="en-US" w:eastAsia="zh-CN"/>
              </w:rPr>
            </w:pPr>
            <w:r>
              <w:rPr>
                <w:rFonts w:hint="eastAsia" w:ascii="仿宋_GB2312" w:hAnsi="等线"/>
                <w:color w:val="000000"/>
                <w:sz w:val="20"/>
                <w:szCs w:val="20"/>
              </w:rPr>
              <w:t>14.2.13.1</w:t>
            </w:r>
            <w:r>
              <w:rPr>
                <w:rFonts w:hint="eastAsia" w:ascii="仿宋_GB2312" w:hAnsi="等线"/>
                <w:color w:val="000000"/>
                <w:sz w:val="20"/>
                <w:szCs w:val="20"/>
                <w:lang w:val="en-US" w:eastAsia="zh-CN"/>
              </w:rPr>
              <w:t>47</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用电安全类</w:t>
            </w:r>
          </w:p>
        </w:tc>
        <w:tc>
          <w:tcPr>
            <w:tcW w:w="1012"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Style w:val="71"/>
                <w:rFonts w:hint="default" w:ascii="仿宋_GB2312" w:hAnsi="仿宋_GB2312" w:eastAsia="仿宋_GB2312" w:cs="仿宋_GB2312"/>
                <w:lang w:bidi="ar"/>
              </w:rPr>
              <w:t>氢气罐等有爆炸危险的露天钢质封闭容器，当其壁厚大于4mm时可不装设接闪器，未设置可靠接地，接地点小于2处，两接地点间距大于30m，冲击接地电阻大于10</w:t>
            </w:r>
            <w:r>
              <w:rPr>
                <w:rStyle w:val="72"/>
                <w:rFonts w:hint="eastAsia" w:ascii="仿宋_GB2312" w:hAnsi="仿宋_GB2312" w:cs="仿宋_GB2312"/>
                <w:lang w:bidi="ar"/>
              </w:rPr>
              <w:t>Ω</w:t>
            </w:r>
            <w:r>
              <w:rPr>
                <w:rStyle w:val="71"/>
                <w:rFonts w:hint="default" w:ascii="仿宋_GB2312" w:hAnsi="仿宋_GB2312" w:eastAsia="仿宋_GB2312" w:cs="仿宋_GB2312"/>
                <w:lang w:bidi="ar"/>
              </w:rPr>
              <w:t>。氢气放散管的保护</w:t>
            </w:r>
            <w:r>
              <w:rPr>
                <w:rStyle w:val="71"/>
                <w:rFonts w:hint="default" w:ascii="仿宋_GB2312" w:hAnsi="仿宋_GB2312" w:eastAsia="仿宋_GB2312" w:cs="仿宋_GB2312"/>
                <w:lang w:eastAsia="zh-CN" w:bidi="ar"/>
              </w:rPr>
              <w:t>不</w:t>
            </w:r>
            <w:r>
              <w:rPr>
                <w:rStyle w:val="71"/>
                <w:rFonts w:hint="default" w:ascii="仿宋_GB2312" w:hAnsi="仿宋_GB2312" w:eastAsia="仿宋_GB2312" w:cs="仿宋_GB2312"/>
                <w:lang w:bidi="ar"/>
              </w:rPr>
              <w:t>符合现行国家标准《建筑物防雷设计规范》GB 50057的要求。</w:t>
            </w:r>
          </w:p>
        </w:tc>
        <w:tc>
          <w:tcPr>
            <w:tcW w:w="1379"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氢气罐等有爆炸危险的露天钢质封闭容器，当其壁厚大于4mm时可不装设接闪器，但应设置可靠接地，接地点不应小于2处，两接地点间距不宜大于30m，冲击接地电阻不应大于10Ω。氢气放散管的保护应符合现行国家标准《建筑物防雷设计规范》GB 50057的要求。</w:t>
            </w:r>
          </w:p>
        </w:tc>
        <w:tc>
          <w:tcPr>
            <w:tcW w:w="1369"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《氢气站设计规范》（GB 50177-2005）第9.0.7条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33" w:hRule="atLeast"/>
        </w:trPr>
        <w:tc>
          <w:tcPr>
            <w:tcW w:w="359" w:type="pct"/>
            <w:tcBorders>
              <w:tl2br w:val="nil"/>
              <w:tr2bl w:val="nil"/>
            </w:tcBorders>
            <w:noWrap/>
            <w:vAlign w:val="center"/>
          </w:tcPr>
          <w:p>
            <w:pPr>
              <w:adjustRightInd w:val="0"/>
              <w:snapToGrid w:val="0"/>
              <w:spacing w:after="0" w:line="240" w:lineRule="auto"/>
              <w:jc w:val="center"/>
              <w:rPr>
                <w:rFonts w:hint="default" w:ascii="仿宋_GB2312" w:hAnsi="仿宋_GB2312" w:eastAsia="仿宋_GB2312" w:cs="仿宋_GB2312"/>
                <w:color w:val="000000"/>
                <w:sz w:val="20"/>
                <w:szCs w:val="20"/>
                <w:lang w:val="en-US" w:eastAsia="zh-CN"/>
              </w:rPr>
            </w:pPr>
            <w:r>
              <w:rPr>
                <w:rFonts w:hint="eastAsia" w:ascii="仿宋_GB2312" w:hAnsi="等线"/>
                <w:color w:val="000000"/>
                <w:sz w:val="20"/>
                <w:szCs w:val="20"/>
              </w:rPr>
              <w:t>14.2.0</w:t>
            </w:r>
            <w:r>
              <w:rPr>
                <w:rFonts w:hint="eastAsia" w:ascii="仿宋_GB2312" w:hAnsi="仿宋_GB2312" w:cs="仿宋_GB2312"/>
                <w:color w:val="000000"/>
                <w:sz w:val="20"/>
                <w:szCs w:val="20"/>
              </w:rPr>
              <w:t>2.1</w:t>
            </w:r>
            <w:r>
              <w:rPr>
                <w:rFonts w:hint="eastAsia" w:ascii="仿宋_GB2312" w:hAnsi="仿宋_GB2312" w:cs="仿宋_GB2312"/>
                <w:color w:val="000000"/>
                <w:sz w:val="20"/>
                <w:szCs w:val="20"/>
                <w:lang w:val="en-US" w:eastAsia="zh-CN"/>
              </w:rPr>
              <w:t>48</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工艺及生产设备设施类</w:t>
            </w:r>
          </w:p>
        </w:tc>
        <w:tc>
          <w:tcPr>
            <w:tcW w:w="1012"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氢气放空管，未设阻火器。阻火器未设在管口处。放空管的设置，未符合下列规定：（1）应引至室外，放空管管口应高出屋脊1m；（2）应有防雨雪侵入和杂物堵塞的措施；（3）压力大于0.1MPa时，阻火器后的管材，应采用不锈钢管。</w:t>
            </w:r>
          </w:p>
        </w:tc>
        <w:tc>
          <w:tcPr>
            <w:tcW w:w="1379"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氢气放空管，应设阻火器。阻火器应设在管口处。放空管的设置，应符合下列规定：（1）应引至室外，放空管管口应高出屋脊1m；（2）应有防雨雪侵入和杂物堵塞的措施；（3）压力大于0.1MPa时，阻火器后的管材，应采用不锈钢管。</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《氢气站设计规范》（GB 50177-2005）第12.0.9条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359" w:type="pct"/>
            <w:tcBorders>
              <w:tl2br w:val="nil"/>
              <w:tr2bl w:val="nil"/>
            </w:tcBorders>
            <w:noWrap/>
            <w:vAlign w:val="center"/>
          </w:tcPr>
          <w:p>
            <w:pPr>
              <w:adjustRightInd w:val="0"/>
              <w:snapToGrid w:val="0"/>
              <w:spacing w:after="0" w:line="240" w:lineRule="auto"/>
              <w:jc w:val="center"/>
              <w:rPr>
                <w:rFonts w:hint="default" w:ascii="仿宋_GB2312" w:hAnsi="仿宋_GB2312" w:eastAsia="仿宋_GB2312" w:cs="仿宋_GB2312"/>
                <w:color w:val="000000"/>
                <w:sz w:val="20"/>
                <w:szCs w:val="20"/>
                <w:lang w:val="en-US" w:eastAsia="zh-CN"/>
              </w:rPr>
            </w:pPr>
            <w:r>
              <w:rPr>
                <w:rFonts w:hint="eastAsia" w:ascii="仿宋_GB2312" w:hAnsi="等线"/>
                <w:color w:val="000000"/>
                <w:sz w:val="20"/>
                <w:szCs w:val="20"/>
              </w:rPr>
              <w:t>14.2.0</w:t>
            </w:r>
            <w:r>
              <w:rPr>
                <w:rFonts w:hint="eastAsia" w:ascii="仿宋_GB2312" w:hAnsi="仿宋_GB2312" w:cs="仿宋_GB2312"/>
                <w:color w:val="000000"/>
                <w:sz w:val="20"/>
                <w:szCs w:val="20"/>
              </w:rPr>
              <w:t>2.1</w:t>
            </w:r>
            <w:r>
              <w:rPr>
                <w:rFonts w:hint="eastAsia" w:ascii="仿宋_GB2312" w:hAnsi="仿宋_GB2312" w:cs="仿宋_GB2312"/>
                <w:color w:val="000000"/>
                <w:sz w:val="20"/>
                <w:szCs w:val="20"/>
                <w:lang w:val="en-US" w:eastAsia="zh-CN"/>
              </w:rPr>
              <w:t>49</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工艺及生产设备设施类</w:t>
            </w:r>
          </w:p>
        </w:tc>
        <w:tc>
          <w:tcPr>
            <w:tcW w:w="1012"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氢气站、供氢站和车间内氢气管道敷设时，</w:t>
            </w:r>
            <w:r>
              <w:rPr>
                <w:rFonts w:hint="eastAsia" w:ascii="仿宋_GB2312" w:hAnsi="仿宋_GB2312" w:cs="仿宋_GB2312"/>
                <w:color w:val="000000"/>
                <w:kern w:val="0"/>
                <w:sz w:val="20"/>
                <w:szCs w:val="20"/>
                <w:lang w:eastAsia="zh-CN" w:bidi="ar"/>
              </w:rPr>
              <w:t>不</w:t>
            </w:r>
            <w:r>
              <w:rPr>
                <w:rFonts w:hint="eastAsia" w:ascii="仿宋_GB2312" w:hAnsi="仿宋_GB2312" w:cs="仿宋_GB2312"/>
                <w:color w:val="000000"/>
                <w:kern w:val="0"/>
                <w:sz w:val="20"/>
                <w:szCs w:val="20"/>
                <w:lang w:bidi="ar"/>
              </w:rPr>
              <w:t>符合下列规定：（1）严禁穿过生活间、办公室，并不得穿过不使用氢气的房间；（2）接至用氢设备的支管，应设切断阀，有明火的用氢设备还应设阻火器。</w:t>
            </w:r>
          </w:p>
        </w:tc>
        <w:tc>
          <w:tcPr>
            <w:tcW w:w="1379"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氢气站、供氢站和车间内氢气管道敷设时，应符合下列规定：（1）严禁穿过生活间、办公室，并不得穿过不使用氢气的房间；（2）接至用氢设备的支管，应设切断阀，有明火的用氢设备还应设阻火器。</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《氢气站设计规范》（GB 50177-2005）第12.0.10条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54"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val="en-US" w:eastAsia="zh-CN"/>
              </w:rPr>
            </w:pPr>
            <w:r>
              <w:rPr>
                <w:rFonts w:hint="eastAsia" w:ascii="仿宋_GB2312" w:hAnsi="等线"/>
                <w:color w:val="000000"/>
                <w:sz w:val="20"/>
                <w:szCs w:val="20"/>
              </w:rPr>
              <w:t>14.2.0</w:t>
            </w:r>
            <w:r>
              <w:rPr>
                <w:rFonts w:hint="eastAsia" w:ascii="仿宋_GB2312" w:hAnsi="仿宋_GB2312" w:cs="仿宋_GB2312"/>
                <w:color w:val="000000"/>
                <w:sz w:val="20"/>
                <w:szCs w:val="20"/>
              </w:rPr>
              <w:t>2.15</w:t>
            </w:r>
            <w:r>
              <w:rPr>
                <w:rFonts w:hint="eastAsia" w:ascii="仿宋_GB2312" w:hAnsi="仿宋_GB2312" w:cs="仿宋_GB2312"/>
                <w:color w:val="000000"/>
                <w:sz w:val="20"/>
                <w:szCs w:val="20"/>
                <w:lang w:val="en-US" w:eastAsia="zh-CN"/>
              </w:rPr>
              <w:t>0</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工艺及生产设备设施类</w:t>
            </w:r>
          </w:p>
        </w:tc>
        <w:tc>
          <w:tcPr>
            <w:tcW w:w="1012"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厂区内氢气管道直接埋地敷设时，</w:t>
            </w:r>
            <w:r>
              <w:rPr>
                <w:rFonts w:hint="eastAsia" w:ascii="仿宋_GB2312" w:hAnsi="仿宋_GB2312" w:cs="仿宋_GB2312"/>
                <w:color w:val="000000"/>
                <w:kern w:val="0"/>
                <w:sz w:val="20"/>
                <w:szCs w:val="20"/>
                <w:lang w:eastAsia="zh-CN" w:bidi="ar"/>
              </w:rPr>
              <w:t>不</w:t>
            </w:r>
            <w:r>
              <w:rPr>
                <w:rFonts w:hint="eastAsia" w:ascii="仿宋_GB2312" w:hAnsi="仿宋_GB2312" w:cs="仿宋_GB2312"/>
                <w:color w:val="000000"/>
                <w:kern w:val="0"/>
                <w:sz w:val="20"/>
                <w:szCs w:val="20"/>
                <w:lang w:bidi="ar"/>
              </w:rPr>
              <w:t>符合下列规定：（1）不得敷设在露天堆场下面或穿过热力沟。当必须穿过热力沟时，应设套管。套管和套管内的管段不应有焊缝；（2）敷设在铁路或不便开挖的道路下面时，应加设套管。套管的两端伸出铁路路基、道路路肩或延伸至排水沟沟边均为1m。套管内的管段不应有焊缝；套管的端部应设检漏管。</w:t>
            </w:r>
          </w:p>
        </w:tc>
        <w:tc>
          <w:tcPr>
            <w:tcW w:w="1379"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厂区内氢气管道直接埋地敷设时，应符合下列规定：（1）不得敷设在露天堆场下面或穿过热力沟。当必须穿过热力沟时，应设套管。套管和套管内的管段不应有焊缝；（2）敷设在铁路或不便开挖的道路下面时，应加设套管。套管的两端伸出铁路路基、道路路肩或延伸至排水沟沟边均为1m。套管内的管段不应有焊缝；套管的端部应设检漏管。</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《氢气站设计规范》（GB 50177-2005）第12.0.12条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359" w:type="pct"/>
            <w:tcBorders>
              <w:tl2br w:val="nil"/>
              <w:tr2bl w:val="nil"/>
            </w:tcBorders>
            <w:noWrap/>
            <w:vAlign w:val="center"/>
          </w:tcPr>
          <w:p>
            <w:pPr>
              <w:adjustRightInd w:val="0"/>
              <w:snapToGrid w:val="0"/>
              <w:spacing w:after="0" w:line="240" w:lineRule="auto"/>
              <w:jc w:val="center"/>
              <w:rPr>
                <w:rFonts w:hint="eastAsia" w:ascii="仿宋_GB2312" w:hAnsi="仿宋_GB2312" w:eastAsia="仿宋_GB2312" w:cs="仿宋_GB2312"/>
                <w:color w:val="000000"/>
                <w:sz w:val="20"/>
                <w:szCs w:val="20"/>
                <w:lang w:val="en-US" w:eastAsia="zh-CN"/>
              </w:rPr>
            </w:pPr>
            <w:r>
              <w:rPr>
                <w:rFonts w:hint="eastAsia" w:ascii="仿宋_GB2312" w:hAnsi="等线"/>
                <w:color w:val="000000"/>
                <w:sz w:val="20"/>
                <w:szCs w:val="20"/>
              </w:rPr>
              <w:t>14.2.0</w:t>
            </w:r>
            <w:r>
              <w:rPr>
                <w:rFonts w:hint="eastAsia" w:ascii="仿宋_GB2312" w:hAnsi="仿宋_GB2312" w:cs="仿宋_GB2312"/>
                <w:color w:val="000000"/>
                <w:sz w:val="20"/>
                <w:szCs w:val="20"/>
              </w:rPr>
              <w:t>2.15</w:t>
            </w:r>
            <w:r>
              <w:rPr>
                <w:rFonts w:hint="eastAsia" w:ascii="仿宋_GB2312" w:hAnsi="仿宋_GB2312" w:cs="仿宋_GB2312"/>
                <w:color w:val="000000"/>
                <w:sz w:val="20"/>
                <w:szCs w:val="20"/>
                <w:lang w:val="en-US" w:eastAsia="zh-CN"/>
              </w:rPr>
              <w:t>1</w:t>
            </w:r>
          </w:p>
        </w:tc>
        <w:tc>
          <w:tcPr>
            <w:tcW w:w="355"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设备设施及物料类</w:t>
            </w:r>
          </w:p>
        </w:tc>
        <w:tc>
          <w:tcPr>
            <w:tcW w:w="389" w:type="pct"/>
            <w:tcBorders>
              <w:tl2br w:val="nil"/>
              <w:tr2bl w:val="nil"/>
            </w:tcBorders>
            <w:vAlign w:val="center"/>
          </w:tcPr>
          <w:p>
            <w:pPr>
              <w:widowControl/>
              <w:adjustRightInd w:val="0"/>
              <w:snapToGrid w:val="0"/>
              <w:spacing w:after="0" w:line="240" w:lineRule="auto"/>
              <w:jc w:val="center"/>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工艺及生产设备设施类</w:t>
            </w:r>
          </w:p>
        </w:tc>
        <w:tc>
          <w:tcPr>
            <w:tcW w:w="1012"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厂区内氢气管道明沟敷设时，</w:t>
            </w:r>
            <w:r>
              <w:rPr>
                <w:rFonts w:hint="eastAsia" w:ascii="仿宋_GB2312" w:hAnsi="仿宋_GB2312" w:cs="仿宋_GB2312"/>
                <w:color w:val="000000"/>
                <w:kern w:val="0"/>
                <w:sz w:val="20"/>
                <w:szCs w:val="20"/>
                <w:lang w:eastAsia="zh-CN" w:bidi="ar"/>
              </w:rPr>
              <w:t>不</w:t>
            </w:r>
            <w:r>
              <w:rPr>
                <w:rFonts w:hint="eastAsia" w:ascii="仿宋_GB2312" w:hAnsi="仿宋_GB2312" w:cs="仿宋_GB2312"/>
                <w:color w:val="000000"/>
                <w:kern w:val="0"/>
                <w:sz w:val="20"/>
                <w:szCs w:val="20"/>
                <w:lang w:bidi="ar"/>
              </w:rPr>
              <w:t>符合下列规定：（1）管道支架应采用不燃烧体；（2）在寒冷地区，湿氢管道应采取防冻措施；（3）不应与其他管道共沟敷设。</w:t>
            </w:r>
          </w:p>
        </w:tc>
        <w:tc>
          <w:tcPr>
            <w:tcW w:w="1379" w:type="pct"/>
            <w:tcBorders>
              <w:tl2br w:val="nil"/>
              <w:tr2bl w:val="nil"/>
            </w:tcBorders>
            <w:vAlign w:val="center"/>
          </w:tcPr>
          <w:p>
            <w:pPr>
              <w:widowControl/>
              <w:adjustRightInd w:val="0"/>
              <w:snapToGrid w:val="0"/>
              <w:spacing w:after="0" w:line="240" w:lineRule="auto"/>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厂区内氢气管道明沟敷设时，应符合下列规定：（1）管道支架应采用不燃烧体；（2）在寒冷地区，湿氢管道应采取防冻措施；（3）不应与其他管道共沟敷设。</w:t>
            </w:r>
          </w:p>
        </w:tc>
        <w:tc>
          <w:tcPr>
            <w:tcW w:w="1369" w:type="pct"/>
            <w:tcBorders>
              <w:tl2br w:val="nil"/>
              <w:tr2bl w:val="nil"/>
            </w:tcBorders>
            <w:vAlign w:val="center"/>
          </w:tcPr>
          <w:p>
            <w:pPr>
              <w:widowControl/>
              <w:adjustRightInd w:val="0"/>
              <w:snapToGrid w:val="0"/>
              <w:spacing w:after="0" w:line="240" w:lineRule="auto"/>
              <w:jc w:val="left"/>
              <w:textAlignment w:val="center"/>
              <w:rPr>
                <w:rFonts w:hint="eastAsia" w:ascii="仿宋_GB2312" w:hAnsi="仿宋_GB2312" w:cs="仿宋_GB2312"/>
                <w:color w:val="000000"/>
                <w:sz w:val="20"/>
                <w:szCs w:val="20"/>
              </w:rPr>
            </w:pPr>
            <w:r>
              <w:rPr>
                <w:rFonts w:hint="eastAsia" w:ascii="仿宋_GB2312" w:hAnsi="仿宋_GB2312" w:cs="仿宋_GB2312"/>
                <w:color w:val="000000"/>
                <w:kern w:val="0"/>
                <w:sz w:val="20"/>
                <w:szCs w:val="20"/>
                <w:lang w:bidi="ar"/>
              </w:rPr>
              <w:t>《氢气站设计规范》（GB 50177-2005）第12.0.13条</w:t>
            </w:r>
          </w:p>
        </w:tc>
        <w:tc>
          <w:tcPr>
            <w:tcW w:w="134" w:type="pct"/>
            <w:tcBorders>
              <w:tl2br w:val="nil"/>
              <w:tr2bl w:val="nil"/>
            </w:tcBorders>
            <w:noWrap/>
            <w:vAlign w:val="center"/>
          </w:tcPr>
          <w:p>
            <w:pPr>
              <w:adjustRightInd w:val="0"/>
              <w:snapToGrid w:val="0"/>
              <w:spacing w:after="0" w:line="240" w:lineRule="auto"/>
              <w:jc w:val="left"/>
              <w:rPr>
                <w:rFonts w:hint="eastAsia" w:ascii="仿宋_GB2312" w:hAnsi="仿宋_GB2312" w:cs="仿宋_GB2312"/>
                <w:color w:val="00000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58" w:hRule="atLeast"/>
        </w:trPr>
        <w:tc>
          <w:tcPr>
            <w:tcW w:w="5000" w:type="pct"/>
            <w:gridSpan w:val="7"/>
            <w:tcBorders>
              <w:tl2br w:val="nil"/>
              <w:tr2bl w:val="nil"/>
            </w:tcBorders>
            <w:noWrap/>
            <w:vAlign w:val="center"/>
          </w:tcPr>
          <w:p>
            <w:pPr>
              <w:widowControl/>
              <w:adjustRightInd w:val="0"/>
              <w:snapToGrid w:val="0"/>
              <w:spacing w:after="0" w:line="240" w:lineRule="auto"/>
              <w:textAlignment w:val="center"/>
              <w:rPr>
                <w:rFonts w:hint="eastAsia" w:ascii="仿宋_GB2312" w:hAnsi="仿宋_GB2312" w:eastAsia="仿宋_GB2312" w:cs="仿宋_GB2312"/>
                <w:color w:val="000000"/>
                <w:kern w:val="0"/>
                <w:sz w:val="20"/>
                <w:szCs w:val="20"/>
                <w:lang w:eastAsia="zh-CN" w:bidi="ar"/>
              </w:rPr>
            </w:pPr>
            <w:r>
              <w:rPr>
                <w:rFonts w:hint="eastAsia" w:ascii="仿宋_GB2312" w:hAnsi="仿宋_GB2312" w:cs="仿宋_GB2312"/>
                <w:color w:val="000000"/>
                <w:kern w:val="0"/>
                <w:sz w:val="20"/>
                <w:szCs w:val="20"/>
                <w:lang w:bidi="ar"/>
              </w:rPr>
              <w:t>★1：该条款属于《教育系统重大事故隐患判定指南》的内容</w:t>
            </w:r>
            <w:r>
              <w:rPr>
                <w:rFonts w:hint="eastAsia" w:ascii="仿宋_GB2312" w:hAnsi="仿宋_GB2312" w:cs="仿宋_GB2312"/>
                <w:color w:val="000000"/>
                <w:kern w:val="0"/>
                <w:sz w:val="20"/>
                <w:szCs w:val="20"/>
                <w:lang w:eastAsia="zh-CN" w:bidi="ar"/>
              </w:rPr>
              <w:t>；</w:t>
            </w:r>
          </w:p>
          <w:p>
            <w:pPr>
              <w:widowControl/>
              <w:adjustRightInd w:val="0"/>
              <w:snapToGrid w:val="0"/>
              <w:spacing w:after="0" w:line="240" w:lineRule="auto"/>
              <w:textAlignment w:val="center"/>
              <w:rPr>
                <w:rFonts w:hint="eastAsia" w:ascii="仿宋_GB2312" w:hAnsi="仿宋_GB2312" w:eastAsia="仿宋_GB2312" w:cs="仿宋_GB2312"/>
                <w:color w:val="000000"/>
                <w:kern w:val="0"/>
                <w:sz w:val="20"/>
                <w:szCs w:val="20"/>
                <w:lang w:eastAsia="zh-CN" w:bidi="ar"/>
              </w:rPr>
            </w:pPr>
            <w:r>
              <w:rPr>
                <w:rFonts w:hint="eastAsia" w:ascii="仿宋_GB2312" w:hAnsi="仿宋_GB2312" w:cs="仿宋_GB2312"/>
                <w:color w:val="000000"/>
                <w:kern w:val="0"/>
                <w:sz w:val="20"/>
                <w:szCs w:val="20"/>
                <w:lang w:bidi="ar"/>
              </w:rPr>
              <w:t>★2：该条款属于《化学品仓库建设工程和场所防雷安全重大隐患判定要素》</w:t>
            </w:r>
            <w:r>
              <w:rPr>
                <w:rFonts w:hint="eastAsia" w:ascii="仿宋_GB2312" w:hAnsi="仿宋_GB2312" w:cs="仿宋_GB2312"/>
                <w:color w:val="000000"/>
                <w:kern w:val="0"/>
                <w:sz w:val="20"/>
                <w:szCs w:val="20"/>
                <w:lang w:eastAsia="zh-CN" w:bidi="ar"/>
              </w:rPr>
              <w:t>、</w:t>
            </w:r>
            <w:r>
              <w:rPr>
                <w:rFonts w:hint="eastAsia" w:ascii="仿宋_GB2312" w:hAnsi="仿宋_GB2312" w:cs="仿宋_GB2312"/>
                <w:color w:val="000000"/>
                <w:kern w:val="0"/>
                <w:sz w:val="20"/>
                <w:szCs w:val="20"/>
                <w:lang w:bidi="ar"/>
              </w:rPr>
              <w:t>《防雷安全领域重大事故隐患判定标准》的内容</w:t>
            </w:r>
            <w:r>
              <w:rPr>
                <w:rFonts w:hint="eastAsia" w:ascii="仿宋_GB2312" w:hAnsi="仿宋_GB2312" w:cs="仿宋_GB2312"/>
                <w:color w:val="000000"/>
                <w:kern w:val="0"/>
                <w:sz w:val="20"/>
                <w:szCs w:val="20"/>
                <w:lang w:eastAsia="zh-CN" w:bidi="ar"/>
              </w:rPr>
              <w:t>；</w:t>
            </w:r>
          </w:p>
          <w:p>
            <w:pPr>
              <w:widowControl/>
              <w:adjustRightInd w:val="0"/>
              <w:snapToGrid w:val="0"/>
              <w:spacing w:after="0" w:line="240" w:lineRule="auto"/>
              <w:textAlignment w:val="center"/>
              <w:rPr>
                <w:rFonts w:hint="eastAsia" w:ascii="仿宋_GB2312" w:hAnsi="仿宋_GB2312" w:eastAsia="仿宋_GB2312" w:cs="仿宋_GB2312"/>
                <w:color w:val="000000"/>
                <w:kern w:val="0"/>
                <w:sz w:val="20"/>
                <w:szCs w:val="20"/>
                <w:lang w:eastAsia="zh-CN" w:bidi="ar"/>
              </w:rPr>
            </w:pPr>
            <w:r>
              <w:rPr>
                <w:rFonts w:hint="eastAsia" w:ascii="仿宋_GB2312" w:hAnsi="仿宋_GB2312" w:cs="仿宋_GB2312"/>
                <w:color w:val="000000"/>
                <w:kern w:val="0"/>
                <w:sz w:val="20"/>
                <w:szCs w:val="20"/>
                <w:lang w:bidi="ar"/>
              </w:rPr>
              <w:t>★3：该条款属于《医疗机构重大事故隐患判定清单（试行）》的内容</w:t>
            </w:r>
            <w:r>
              <w:rPr>
                <w:rFonts w:hint="eastAsia" w:ascii="仿宋_GB2312" w:hAnsi="仿宋_GB2312" w:cs="仿宋_GB2312"/>
                <w:color w:val="000000"/>
                <w:kern w:val="0"/>
                <w:sz w:val="20"/>
                <w:szCs w:val="20"/>
                <w:lang w:eastAsia="zh-CN" w:bidi="ar"/>
              </w:rPr>
              <w:t>；</w:t>
            </w:r>
          </w:p>
          <w:p>
            <w:pPr>
              <w:widowControl/>
              <w:adjustRightInd w:val="0"/>
              <w:snapToGrid w:val="0"/>
              <w:spacing w:after="0" w:line="240" w:lineRule="auto"/>
              <w:textAlignment w:val="center"/>
              <w:rPr>
                <w:rFonts w:hint="eastAsia"/>
              </w:rPr>
            </w:pPr>
            <w:r>
              <w:rPr>
                <w:rFonts w:hint="eastAsia" w:ascii="仿宋_GB2312" w:hAnsi="仿宋_GB2312" w:cs="仿宋_GB2312"/>
                <w:color w:val="000000"/>
                <w:kern w:val="0"/>
                <w:sz w:val="20"/>
                <w:szCs w:val="20"/>
                <w:lang w:bidi="ar"/>
              </w:rPr>
              <w:t>★</w:t>
            </w:r>
            <w:r>
              <w:rPr>
                <w:rFonts w:hint="eastAsia" w:ascii="仿宋_GB2312" w:hAnsi="仿宋_GB2312" w:cs="仿宋_GB2312"/>
                <w:color w:val="000000"/>
                <w:kern w:val="0"/>
                <w:sz w:val="20"/>
                <w:szCs w:val="20"/>
                <w:lang w:val="en-US" w:eastAsia="zh-CN" w:bidi="ar"/>
              </w:rPr>
              <w:t>4</w:t>
            </w:r>
            <w:r>
              <w:rPr>
                <w:rFonts w:hint="eastAsia" w:ascii="仿宋_GB2312" w:hAnsi="仿宋_GB2312" w:cs="仿宋_GB2312"/>
                <w:color w:val="000000"/>
                <w:kern w:val="0"/>
                <w:sz w:val="20"/>
                <w:szCs w:val="20"/>
                <w:lang w:bidi="ar"/>
              </w:rPr>
              <w:t>：该条款属于</w:t>
            </w:r>
            <w:r>
              <w:rPr>
                <w:rFonts w:hint="eastAsia" w:ascii="仿宋_GB2312" w:hAnsi="仿宋_GB2312" w:cs="仿宋_GB2312"/>
                <w:color w:val="000000"/>
                <w:kern w:val="0"/>
                <w:sz w:val="20"/>
                <w:szCs w:val="20"/>
                <w:lang w:eastAsia="zh-CN" w:bidi="ar"/>
              </w:rPr>
              <w:t>《水利工程建设项目生产安全重大事故隐患清单指南》</w:t>
            </w:r>
            <w:r>
              <w:rPr>
                <w:rFonts w:hint="eastAsia" w:ascii="仿宋_GB2312" w:hAnsi="仿宋_GB2312" w:cs="仿宋_GB2312"/>
                <w:color w:val="000000"/>
                <w:kern w:val="0"/>
                <w:sz w:val="20"/>
                <w:szCs w:val="20"/>
                <w:lang w:bidi="ar"/>
              </w:rPr>
              <w:t>的内容。</w:t>
            </w:r>
          </w:p>
        </w:tc>
      </w:tr>
    </w:tbl>
    <w:p>
      <w:pPr>
        <w:pStyle w:val="2"/>
        <w:adjustRightInd w:val="0"/>
        <w:snapToGrid w:val="0"/>
        <w:spacing w:before="156" w:beforeLines="50" w:after="156" w:afterLines="50" w:line="800" w:lineRule="exact"/>
        <w:ind w:firstLine="0" w:firstLineChars="0"/>
        <w:jc w:val="center"/>
        <w:rPr>
          <w:rFonts w:hint="eastAsia" w:ascii="方正小标宋简体" w:hAnsi="方正小标宋简体" w:eastAsia="方正小标宋简体" w:cs="方正小标宋简体"/>
          <w:kern w:val="2"/>
          <w:sz w:val="44"/>
          <w:szCs w:val="44"/>
        </w:rPr>
        <w:sectPr>
          <w:footerReference r:id="rId9" w:type="default"/>
          <w:pgSz w:w="16838" w:h="11906" w:orient="landscape"/>
          <w:pgMar w:top="1800" w:right="1440" w:bottom="1800" w:left="1440" w:header="851" w:footer="992" w:gutter="0"/>
          <w:pgNumType w:fmt="decimal"/>
          <w:cols w:space="425" w:num="1"/>
          <w:docGrid w:type="lines" w:linePitch="312" w:charSpace="0"/>
        </w:sectPr>
      </w:pPr>
    </w:p>
    <w:p>
      <w:pPr>
        <w:pStyle w:val="2"/>
        <w:adjustRightInd w:val="0"/>
        <w:snapToGrid w:val="0"/>
        <w:spacing w:before="156" w:beforeLines="50" w:after="156" w:afterLines="50" w:line="800" w:lineRule="exact"/>
        <w:ind w:firstLine="0" w:firstLineChars="0"/>
        <w:jc w:val="center"/>
        <w:rPr>
          <w:rFonts w:hint="eastAsia" w:ascii="方正小标宋简体" w:hAnsi="方正小标宋简体" w:eastAsia="方正小标宋简体" w:cs="方正小标宋简体"/>
          <w:kern w:val="2"/>
          <w:sz w:val="44"/>
          <w:szCs w:val="44"/>
          <w:lang w:bidi="ar"/>
        </w:rPr>
      </w:pPr>
      <w:bookmarkStart w:id="38" w:name="_Toc1769198594_WPSOffice_Level1"/>
      <w:r>
        <w:rPr>
          <w:rFonts w:hint="eastAsia" w:ascii="方正小标宋简体" w:hAnsi="方正小标宋简体" w:eastAsia="方正小标宋简体" w:cs="方正小标宋简体"/>
          <w:kern w:val="2"/>
          <w:sz w:val="44"/>
          <w:szCs w:val="44"/>
          <w:lang w:bidi="ar"/>
        </w:rPr>
        <w:t>北京市实验室危险化学品隐患</w:t>
      </w:r>
      <w:r>
        <w:rPr>
          <w:rFonts w:hint="eastAsia" w:ascii="方正小标宋简体" w:hAnsi="方正小标宋简体" w:eastAsia="方正小标宋简体" w:cs="方正小标宋简体"/>
          <w:kern w:val="2"/>
          <w:sz w:val="44"/>
          <w:szCs w:val="44"/>
          <w:lang w:eastAsia="zh-CN" w:bidi="ar"/>
        </w:rPr>
        <w:t>自</w:t>
      </w:r>
      <w:r>
        <w:rPr>
          <w:rFonts w:hint="eastAsia" w:ascii="方正小标宋简体" w:hAnsi="方正小标宋简体" w:eastAsia="方正小标宋简体" w:cs="方正小标宋简体"/>
          <w:kern w:val="2"/>
          <w:sz w:val="44"/>
          <w:szCs w:val="44"/>
          <w:lang w:bidi="ar"/>
        </w:rPr>
        <w:t>查清单</w:t>
      </w:r>
      <w:bookmarkEnd w:id="38"/>
    </w:p>
    <w:tbl>
      <w:tblPr>
        <w:tblStyle w:val="12"/>
        <w:tblW w:w="141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064"/>
        <w:gridCol w:w="1089"/>
        <w:gridCol w:w="2861"/>
        <w:gridCol w:w="3889"/>
        <w:gridCol w:w="3868"/>
        <w:gridCol w:w="3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6" w:hRule="atLeast"/>
          <w:tblHeader/>
          <w:jc w:val="center"/>
        </w:trPr>
        <w:tc>
          <w:tcPr>
            <w:tcW w:w="971" w:type="dxa"/>
            <w:vMerge w:val="restart"/>
            <w:tcBorders>
              <w:tl2br w:val="nil"/>
              <w:tr2bl w:val="nil"/>
            </w:tcBorders>
            <w:shd w:val="clear" w:color="auto" w:fill="95B3D7" w:themeFill="accent1" w:themeFillTint="99"/>
            <w:vAlign w:val="center"/>
          </w:tcPr>
          <w:p>
            <w:pPr>
              <w:widowControl/>
              <w:suppressAutoHyphens/>
              <w:adjustRightInd w:val="0"/>
              <w:snapToGrid w:val="0"/>
              <w:spacing w:after="0" w:line="240" w:lineRule="auto"/>
              <w:jc w:val="center"/>
              <w:rPr>
                <w:rFonts w:hint="eastAsia" w:ascii="仿宋_GB2312" w:hAnsi="仿宋_GB2312" w:cs="仿宋_GB2312"/>
                <w:b/>
                <w:color w:val="000000"/>
                <w:kern w:val="0"/>
                <w:sz w:val="20"/>
                <w:szCs w:val="20"/>
                <w:lang w:bidi="ar"/>
              </w:rPr>
            </w:pPr>
            <w:r>
              <w:rPr>
                <w:rFonts w:hint="eastAsia" w:ascii="仿宋_GB2312" w:hAnsi="仿宋_GB2312" w:cs="仿宋_GB2312"/>
                <w:b/>
                <w:color w:val="000000"/>
                <w:kern w:val="0"/>
                <w:sz w:val="20"/>
                <w:szCs w:val="20"/>
                <w:lang w:bidi="ar"/>
              </w:rPr>
              <w:t>编号</w:t>
            </w:r>
          </w:p>
        </w:tc>
        <w:tc>
          <w:tcPr>
            <w:tcW w:w="2153" w:type="dxa"/>
            <w:gridSpan w:val="2"/>
            <w:tcBorders>
              <w:tl2br w:val="nil"/>
              <w:tr2bl w:val="nil"/>
            </w:tcBorders>
            <w:shd w:val="clear" w:color="auto" w:fill="95B3D7" w:themeFill="accent1" w:themeFillTint="99"/>
            <w:vAlign w:val="center"/>
          </w:tcPr>
          <w:p>
            <w:pPr>
              <w:widowControl/>
              <w:suppressAutoHyphens/>
              <w:adjustRightInd w:val="0"/>
              <w:snapToGrid w:val="0"/>
              <w:spacing w:after="0" w:line="240" w:lineRule="auto"/>
              <w:jc w:val="center"/>
              <w:rPr>
                <w:rFonts w:hint="eastAsia" w:ascii="仿宋_GB2312" w:hAnsi="仿宋_GB2312" w:cs="仿宋_GB2312"/>
                <w:b/>
                <w:color w:val="000000"/>
                <w:kern w:val="0"/>
                <w:sz w:val="20"/>
                <w:szCs w:val="20"/>
                <w:lang w:bidi="ar"/>
              </w:rPr>
            </w:pPr>
            <w:r>
              <w:rPr>
                <w:rFonts w:hint="eastAsia" w:ascii="仿宋_GB2312" w:hAnsi="仿宋_GB2312" w:cs="仿宋_GB2312"/>
                <w:b/>
                <w:color w:val="000000"/>
                <w:kern w:val="0"/>
                <w:sz w:val="20"/>
                <w:szCs w:val="20"/>
                <w:lang w:bidi="ar"/>
              </w:rPr>
              <w:t>隐患分类</w:t>
            </w:r>
          </w:p>
        </w:tc>
        <w:tc>
          <w:tcPr>
            <w:tcW w:w="2861" w:type="dxa"/>
            <w:vMerge w:val="restart"/>
            <w:tcBorders>
              <w:tl2br w:val="nil"/>
              <w:tr2bl w:val="nil"/>
            </w:tcBorders>
            <w:shd w:val="clear" w:color="auto" w:fill="95B3D7" w:themeFill="accent1" w:themeFillTint="99"/>
            <w:vAlign w:val="center"/>
          </w:tcPr>
          <w:p>
            <w:pPr>
              <w:widowControl/>
              <w:suppressAutoHyphens/>
              <w:adjustRightInd w:val="0"/>
              <w:snapToGrid w:val="0"/>
              <w:spacing w:after="0" w:line="240" w:lineRule="auto"/>
              <w:jc w:val="center"/>
              <w:rPr>
                <w:rFonts w:hint="eastAsia" w:ascii="仿宋_GB2312" w:hAnsi="仿宋_GB2312" w:cs="仿宋_GB2312"/>
                <w:b/>
                <w:color w:val="000000"/>
                <w:kern w:val="0"/>
                <w:sz w:val="20"/>
                <w:szCs w:val="20"/>
                <w:lang w:bidi="ar"/>
              </w:rPr>
            </w:pPr>
            <w:r>
              <w:rPr>
                <w:rFonts w:hint="eastAsia" w:ascii="仿宋_GB2312" w:hAnsi="仿宋_GB2312" w:cs="仿宋_GB2312"/>
                <w:b/>
                <w:color w:val="000000"/>
                <w:kern w:val="0"/>
                <w:sz w:val="20"/>
                <w:szCs w:val="20"/>
                <w:lang w:bidi="ar"/>
              </w:rPr>
              <w:t>自查内容</w:t>
            </w:r>
          </w:p>
        </w:tc>
        <w:tc>
          <w:tcPr>
            <w:tcW w:w="3889" w:type="dxa"/>
            <w:vMerge w:val="restart"/>
            <w:tcBorders>
              <w:tl2br w:val="nil"/>
              <w:tr2bl w:val="nil"/>
            </w:tcBorders>
            <w:shd w:val="clear" w:color="auto" w:fill="95B3D7" w:themeFill="accent1" w:themeFillTint="99"/>
            <w:vAlign w:val="center"/>
          </w:tcPr>
          <w:p>
            <w:pPr>
              <w:widowControl/>
              <w:suppressAutoHyphens/>
              <w:adjustRightInd w:val="0"/>
              <w:snapToGrid w:val="0"/>
              <w:spacing w:after="0" w:line="240" w:lineRule="auto"/>
              <w:jc w:val="center"/>
              <w:rPr>
                <w:rFonts w:hint="eastAsia" w:ascii="仿宋_GB2312" w:hAnsi="仿宋_GB2312" w:cs="仿宋_GB2312"/>
                <w:b/>
                <w:color w:val="000000"/>
                <w:kern w:val="0"/>
                <w:sz w:val="20"/>
                <w:szCs w:val="20"/>
                <w:lang w:bidi="ar"/>
              </w:rPr>
            </w:pPr>
            <w:r>
              <w:rPr>
                <w:rFonts w:hint="eastAsia" w:ascii="仿宋_GB2312" w:hAnsi="仿宋_GB2312" w:cs="仿宋_GB2312"/>
                <w:b/>
                <w:color w:val="000000"/>
                <w:kern w:val="0"/>
                <w:sz w:val="20"/>
                <w:szCs w:val="20"/>
                <w:lang w:bidi="ar"/>
              </w:rPr>
              <w:t>自查标准</w:t>
            </w:r>
          </w:p>
        </w:tc>
        <w:tc>
          <w:tcPr>
            <w:tcW w:w="3868" w:type="dxa"/>
            <w:vMerge w:val="restart"/>
            <w:tcBorders>
              <w:tl2br w:val="nil"/>
              <w:tr2bl w:val="nil"/>
            </w:tcBorders>
            <w:shd w:val="clear" w:color="auto" w:fill="95B3D7" w:themeFill="accent1" w:themeFillTint="99"/>
            <w:vAlign w:val="center"/>
          </w:tcPr>
          <w:p>
            <w:pPr>
              <w:widowControl/>
              <w:suppressAutoHyphens/>
              <w:adjustRightInd w:val="0"/>
              <w:snapToGrid w:val="0"/>
              <w:spacing w:after="0" w:line="240" w:lineRule="auto"/>
              <w:jc w:val="center"/>
              <w:rPr>
                <w:rFonts w:hint="eastAsia" w:ascii="仿宋_GB2312" w:hAnsi="仿宋_GB2312" w:cs="仿宋_GB2312"/>
                <w:b/>
                <w:color w:val="000000"/>
                <w:kern w:val="0"/>
                <w:sz w:val="20"/>
                <w:szCs w:val="20"/>
                <w:lang w:bidi="ar"/>
              </w:rPr>
            </w:pPr>
            <w:r>
              <w:rPr>
                <w:rFonts w:hint="eastAsia" w:ascii="仿宋_GB2312" w:hAnsi="仿宋_GB2312" w:cs="仿宋_GB2312"/>
                <w:b/>
                <w:color w:val="000000"/>
                <w:kern w:val="0"/>
                <w:sz w:val="20"/>
                <w:szCs w:val="20"/>
                <w:lang w:bidi="ar"/>
              </w:rPr>
              <w:t>自查依据</w:t>
            </w:r>
          </w:p>
        </w:tc>
        <w:tc>
          <w:tcPr>
            <w:tcW w:w="376" w:type="dxa"/>
            <w:vMerge w:val="restart"/>
            <w:tcBorders>
              <w:tl2br w:val="nil"/>
              <w:tr2bl w:val="nil"/>
            </w:tcBorders>
            <w:shd w:val="clear" w:color="auto" w:fill="95B3D7" w:themeFill="accent1" w:themeFillTint="99"/>
            <w:vAlign w:val="center"/>
          </w:tcPr>
          <w:p>
            <w:pPr>
              <w:widowControl/>
              <w:suppressAutoHyphens/>
              <w:adjustRightInd w:val="0"/>
              <w:snapToGrid w:val="0"/>
              <w:spacing w:after="0" w:line="240" w:lineRule="auto"/>
              <w:jc w:val="center"/>
              <w:rPr>
                <w:rFonts w:hint="eastAsia" w:ascii="仿宋_GB2312" w:hAnsi="黑体" w:cs="宋体"/>
                <w:b/>
                <w:kern w:val="0"/>
                <w:sz w:val="20"/>
                <w:szCs w:val="20"/>
              </w:rPr>
            </w:pPr>
            <w:r>
              <w:rPr>
                <w:rFonts w:hint="eastAsia" w:ascii="仿宋_GB2312" w:hAnsi="黑体" w:cs="宋体"/>
                <w:b/>
                <w:kern w:val="0"/>
                <w:sz w:val="20"/>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6" w:hRule="atLeast"/>
          <w:tblHeader/>
          <w:jc w:val="center"/>
        </w:trPr>
        <w:tc>
          <w:tcPr>
            <w:tcW w:w="971" w:type="dxa"/>
            <w:vMerge w:val="continue"/>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c>
          <w:tcPr>
            <w:tcW w:w="1064" w:type="dxa"/>
            <w:tcBorders>
              <w:tl2br w:val="nil"/>
              <w:tr2bl w:val="nil"/>
            </w:tcBorders>
            <w:shd w:val="clear" w:color="auto" w:fill="95B3D7" w:themeFill="accent1" w:themeFillTint="99"/>
            <w:vAlign w:val="center"/>
          </w:tcPr>
          <w:p>
            <w:pPr>
              <w:widowControl/>
              <w:suppressAutoHyphens/>
              <w:adjustRightInd w:val="0"/>
              <w:snapToGrid w:val="0"/>
              <w:spacing w:after="0" w:line="240" w:lineRule="auto"/>
              <w:jc w:val="center"/>
              <w:rPr>
                <w:rFonts w:hint="eastAsia" w:ascii="仿宋_GB2312" w:hAnsi="仿宋_GB2312" w:cs="仿宋_GB2312"/>
                <w:b/>
                <w:color w:val="000000"/>
                <w:kern w:val="0"/>
                <w:sz w:val="20"/>
                <w:szCs w:val="20"/>
                <w:lang w:bidi="ar"/>
              </w:rPr>
            </w:pPr>
            <w:r>
              <w:rPr>
                <w:rFonts w:hint="eastAsia" w:ascii="仿宋_GB2312" w:hAnsi="仿宋_GB2312" w:cs="仿宋_GB2312"/>
                <w:b/>
                <w:color w:val="000000"/>
                <w:kern w:val="0"/>
                <w:sz w:val="20"/>
                <w:szCs w:val="20"/>
                <w:lang w:bidi="ar"/>
              </w:rPr>
              <w:t>“一类”隐患</w:t>
            </w:r>
          </w:p>
        </w:tc>
        <w:tc>
          <w:tcPr>
            <w:tcW w:w="1089" w:type="dxa"/>
            <w:tcBorders>
              <w:tl2br w:val="nil"/>
              <w:tr2bl w:val="nil"/>
            </w:tcBorders>
            <w:shd w:val="clear" w:color="auto" w:fill="95B3D7" w:themeFill="accent1" w:themeFillTint="99"/>
            <w:vAlign w:val="center"/>
          </w:tcPr>
          <w:p>
            <w:pPr>
              <w:widowControl/>
              <w:suppressAutoHyphens/>
              <w:adjustRightInd w:val="0"/>
              <w:snapToGrid w:val="0"/>
              <w:spacing w:after="0" w:line="240" w:lineRule="auto"/>
              <w:jc w:val="center"/>
              <w:rPr>
                <w:rFonts w:hint="eastAsia" w:ascii="仿宋_GB2312" w:hAnsi="仿宋_GB2312" w:cs="仿宋_GB2312"/>
                <w:b/>
                <w:color w:val="000000"/>
                <w:kern w:val="0"/>
                <w:sz w:val="20"/>
                <w:szCs w:val="20"/>
                <w:lang w:bidi="ar"/>
              </w:rPr>
            </w:pPr>
            <w:r>
              <w:rPr>
                <w:rFonts w:hint="eastAsia" w:ascii="仿宋_GB2312" w:hAnsi="仿宋_GB2312" w:cs="仿宋_GB2312"/>
                <w:b/>
                <w:color w:val="000000"/>
                <w:kern w:val="0"/>
                <w:sz w:val="20"/>
                <w:szCs w:val="20"/>
                <w:lang w:bidi="ar"/>
              </w:rPr>
              <w:t>“二类”隐患</w:t>
            </w:r>
          </w:p>
        </w:tc>
        <w:tc>
          <w:tcPr>
            <w:tcW w:w="2861" w:type="dxa"/>
            <w:vMerge w:val="continue"/>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c>
          <w:tcPr>
            <w:tcW w:w="3889" w:type="dxa"/>
            <w:vMerge w:val="continue"/>
            <w:tcBorders>
              <w:tl2br w:val="nil"/>
              <w:tr2bl w:val="nil"/>
            </w:tcBorders>
            <w:vAlign w:val="center"/>
          </w:tcPr>
          <w:p>
            <w:pPr>
              <w:widowControl/>
              <w:suppressAutoHyphens/>
              <w:adjustRightInd w:val="0"/>
              <w:snapToGrid w:val="0"/>
              <w:spacing w:after="0" w:line="240" w:lineRule="auto"/>
              <w:jc w:val="center"/>
              <w:rPr>
                <w:rFonts w:hint="eastAsia" w:ascii="仿宋_GB2312" w:hAnsi="黑体" w:cs="宋体"/>
                <w:b/>
                <w:kern w:val="0"/>
                <w:sz w:val="20"/>
                <w:szCs w:val="20"/>
              </w:rPr>
            </w:pPr>
          </w:p>
        </w:tc>
        <w:tc>
          <w:tcPr>
            <w:tcW w:w="3868" w:type="dxa"/>
            <w:vMerge w:val="continue"/>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c>
          <w:tcPr>
            <w:tcW w:w="376" w:type="dxa"/>
            <w:vMerge w:val="continue"/>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4118" w:type="dxa"/>
            <w:gridSpan w:val="7"/>
            <w:tcBorders>
              <w:tl2br w:val="nil"/>
              <w:tr2bl w:val="nil"/>
            </w:tcBorders>
            <w:shd w:val="clear" w:color="auto" w:fill="95B3D7" w:themeFill="accent1" w:themeFillTint="99"/>
            <w:vAlign w:val="center"/>
          </w:tcPr>
          <w:p>
            <w:pPr>
              <w:widowControl/>
              <w:suppressAutoHyphens/>
              <w:adjustRightInd w:val="0"/>
              <w:snapToGrid w:val="0"/>
              <w:spacing w:after="0" w:line="240" w:lineRule="auto"/>
              <w:jc w:val="center"/>
              <w:rPr>
                <w:rFonts w:hint="eastAsia" w:ascii="仿宋_GB2312" w:hAnsi="黑体" w:cs="宋体"/>
                <w:b/>
                <w:kern w:val="0"/>
                <w:sz w:val="20"/>
                <w:szCs w:val="20"/>
              </w:rPr>
            </w:pPr>
            <w:r>
              <w:rPr>
                <w:rFonts w:hint="eastAsia" w:ascii="仿宋_GB2312" w:hAnsi="仿宋_GB2312" w:cs="仿宋_GB2312"/>
                <w:b/>
                <w:color w:val="000000"/>
                <w:kern w:val="0"/>
                <w:sz w:val="20"/>
                <w:szCs w:val="20"/>
                <w:lang w:bidi="ar"/>
              </w:rPr>
              <w:t>实验室基础管理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15.1.02.001</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基础资料类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机构及人员配备类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工业企业和科研单位未按要求设置安全生产管理机构或者配备专职安全生产管理人员。</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普通高等学校未设立校级领导机构、二级单位未明确分管领导；未指定职能部门负责危险化学品安全管理工作；各实验室未设专职或兼职安全员负责危险化学品的日常管理工作。</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工业企业和科研单位应明确本单位设有普通高等学校应设立安全生产管理机构或者配备专职安全生产管理人员。</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普通高等学校应设立负责实验室危险化学品安全管理的校级领导机构，指定职能部门负责本校危险化学品安全管理工作。涉及使用危险化学品的二级单位，并明确分管领导和安全管理人员，负责本单位实验室危险化学品的安全管理工作。</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各实验室设专职或兼职安全员负责危险化学品的日常管理工作。</w:t>
            </w:r>
          </w:p>
        </w:tc>
        <w:tc>
          <w:tcPr>
            <w:tcW w:w="3868" w:type="dxa"/>
            <w:tcBorders>
              <w:tl2br w:val="nil"/>
              <w:tr2bl w:val="nil"/>
            </w:tcBorders>
            <w:vAlign w:val="center"/>
          </w:tcPr>
          <w:p>
            <w:pPr>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《中华人民共和国安全生产法》第二十四条；</w:t>
            </w:r>
          </w:p>
          <w:p>
            <w:pPr>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《北京市安全生产条例》第十九条；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《北京市生产经营单位安全生产主体责任规定》第十一条；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1191.1-2025）第4.2.3条；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1191.2-2025）第4.1条；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1191.3-2024）第4.2.1条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仿宋_GB2312" w:cs="仿宋_GB2312"/>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15.1.02.002</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基础资料类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机构及人员配备类</w:t>
            </w:r>
          </w:p>
        </w:tc>
        <w:tc>
          <w:tcPr>
            <w:tcW w:w="2861" w:type="dxa"/>
            <w:tcBorders>
              <w:tl2br w:val="nil"/>
              <w:tr2bl w:val="nil"/>
            </w:tcBorders>
            <w:vAlign w:val="center"/>
          </w:tcPr>
          <w:p>
            <w:pPr>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专/兼职安全员未掌握危险化学品安全知识技能。</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科研实验开展前，未成立实验项目小组，未指定实验项目负责人和负责安全管理的人员。</w:t>
            </w:r>
          </w:p>
        </w:tc>
        <w:tc>
          <w:tcPr>
            <w:tcW w:w="3889" w:type="dxa"/>
            <w:tcBorders>
              <w:tl2br w:val="nil"/>
              <w:tr2bl w:val="nil"/>
            </w:tcBorders>
            <w:vAlign w:val="center"/>
          </w:tcPr>
          <w:p>
            <w:pPr>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专/兼职安全员应掌握危险化学品安全知识技能。</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科研实验开展前，应成立实验项目小组，并指定实验项目负责人和负责安全管理的人员。</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1191.1-2025）第4.2.1条；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1191.2-2025）第4.3.1条；</w:t>
            </w:r>
          </w:p>
          <w:p>
            <w:pPr>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1191.3-2024）第8.1.3条</w:t>
            </w:r>
          </w:p>
        </w:tc>
        <w:tc>
          <w:tcPr>
            <w:tcW w:w="376" w:type="dxa"/>
            <w:tcBorders>
              <w:tl2br w:val="nil"/>
              <w:tr2bl w:val="nil"/>
            </w:tcBorders>
            <w:vAlign w:val="center"/>
          </w:tcPr>
          <w:p>
            <w:pPr>
              <w:widowControl/>
              <w:suppressAutoHyphens/>
              <w:adjustRightInd w:val="0"/>
              <w:snapToGrid w:val="0"/>
              <w:spacing w:after="0" w:line="240" w:lineRule="auto"/>
              <w:jc w:val="center"/>
              <w:rPr>
                <w:rFonts w:hint="eastAsia" w:ascii="仿宋_GB2312" w:hAnsi="仿宋_GB2312" w:cs="仿宋_GB2312"/>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15.1.03.003</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基础资料类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责任制类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工业企业实验室未制定全员安全生产责任制；</w:t>
            </w:r>
          </w:p>
          <w:p>
            <w:pPr>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普通高等学校未建立健全并落实学校、二级单位和实验室（实训场所）安全管理三级责任体系。</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实验室主体责任单位应制定岗位安全责任制；</w:t>
            </w:r>
          </w:p>
          <w:p>
            <w:pPr>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ascii="仿宋_GB2312" w:hAnsi="仿宋_GB2312" w:cs="仿宋_GB2312"/>
                <w:color w:val="000000" w:themeColor="text1"/>
                <w:sz w:val="20"/>
                <w:szCs w:val="20"/>
                <w14:textFill>
                  <w14:solidFill>
                    <w14:schemeClr w14:val="tx1"/>
                  </w14:solidFill>
                </w14:textFill>
              </w:rPr>
              <w:t>未建立与岗位相匹配的全员安全生产责任制或者未制定实施生产安全事故隐患排查治理制度。</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1191.1-2025）第4.1.2条；第4.1条；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《化工和危险化学品企业重大生产安全事故隐患判定准则（征求意见稿）》第</w:t>
            </w:r>
            <w:r>
              <w:rPr>
                <w:rFonts w:ascii="仿宋_GB2312" w:hAnsi="仿宋_GB2312" w:cs="仿宋_GB2312"/>
                <w:color w:val="000000" w:themeColor="text1"/>
                <w:sz w:val="20"/>
                <w:szCs w:val="20"/>
                <w14:textFill>
                  <w14:solidFill>
                    <w14:schemeClr w14:val="tx1"/>
                  </w14:solidFill>
                </w14:textFill>
              </w:rPr>
              <w:t>5.7.6</w:t>
            </w:r>
            <w:r>
              <w:rPr>
                <w:rFonts w:hint="eastAsia" w:ascii="仿宋_GB2312" w:hAnsi="仿宋_GB2312" w:cs="仿宋_GB2312"/>
                <w:color w:val="000000" w:themeColor="text1"/>
                <w:sz w:val="20"/>
                <w:szCs w:val="20"/>
                <w14:textFill>
                  <w14:solidFill>
                    <w14:schemeClr w14:val="tx1"/>
                  </w14:solidFill>
                </w14:textFill>
              </w:rPr>
              <w:t>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1191.2-2025）第4.2.1条；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《教育系统重大事故隐患判定指南》第六条（一）；</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1191.3-2024）第4.1.1条</w:t>
            </w:r>
          </w:p>
        </w:tc>
        <w:tc>
          <w:tcPr>
            <w:tcW w:w="376" w:type="dxa"/>
            <w:tcBorders>
              <w:tl2br w:val="nil"/>
              <w:tr2bl w:val="nil"/>
            </w:tcBorders>
            <w:vAlign w:val="center"/>
          </w:tcPr>
          <w:p>
            <w:pPr>
              <w:widowControl/>
              <w:suppressAutoHyphens/>
              <w:adjustRightInd w:val="0"/>
              <w:snapToGrid w:val="0"/>
              <w:spacing w:after="0" w:line="240" w:lineRule="auto"/>
              <w:rPr>
                <w:rFonts w:hint="eastAsia" w:ascii="仿宋_GB2312" w:hAnsi="仿宋_GB2312" w:cs="仿宋_GB2312"/>
                <w:b/>
                <w:color w:val="000000" w:themeColor="text1"/>
                <w:kern w:val="0"/>
                <w:sz w:val="20"/>
                <w:szCs w:val="20"/>
                <w14:textFill>
                  <w14:solidFill>
                    <w14:schemeClr w14:val="tx1"/>
                  </w14:solidFill>
                </w14:textFill>
              </w:rPr>
            </w:pPr>
            <w:r>
              <w:rPr>
                <w:rFonts w:hint="eastAsia" w:ascii="仿宋_GB2312" w:hAnsi="仿宋_GB2312" w:cs="仿宋_GB2312"/>
                <w:b/>
                <w:color w:val="000000" w:themeColor="text1"/>
                <w:kern w:val="0"/>
                <w:sz w:val="20"/>
                <w:szCs w:val="20"/>
                <w14:textFill>
                  <w14:solidFill>
                    <w14:schemeClr w14:val="tx1"/>
                  </w14:solidFill>
                </w14:textFill>
              </w:rPr>
              <w:t>★1；★2</w:t>
            </w:r>
          </w:p>
          <w:p>
            <w:pPr>
              <w:pStyle w:val="11"/>
              <w:adjustRightInd w:val="0"/>
              <w:snapToGrid w:val="0"/>
              <w:spacing w:line="240" w:lineRule="auto"/>
              <w:ind w:left="0" w:leftChars="0" w:firstLine="400"/>
              <w:rPr>
                <w:rFonts w:hint="eastAsia" w:ascii="仿宋_GB2312" w:hAnsi="仿宋_GB2312" w:cs="仿宋_GB2312"/>
                <w:sz w:val="20"/>
                <w:szCs w:val="20"/>
              </w:rPr>
            </w:pPr>
          </w:p>
          <w:p>
            <w:pPr>
              <w:pStyle w:val="11"/>
              <w:adjustRightInd w:val="0"/>
              <w:snapToGrid w:val="0"/>
              <w:spacing w:line="240" w:lineRule="auto"/>
              <w:ind w:left="0" w:leftChars="0" w:firstLine="400"/>
              <w:rPr>
                <w:rFonts w:hint="eastAsia" w:ascii="仿宋_GB2312" w:hAnsi="仿宋_GB2312" w:cs="仿宋_GB2312"/>
                <w:sz w:val="20"/>
                <w:szCs w:val="20"/>
              </w:rPr>
            </w:pPr>
            <w:r>
              <w:rPr>
                <w:rFonts w:hint="eastAsia" w:ascii="仿宋_GB2312" w:hAnsi="仿宋_GB2312" w:cs="仿宋_GB2312"/>
                <w:sz w:val="20"/>
                <w:szCs w:val="20"/>
              </w:rPr>
              <w:t>★</w:t>
            </w:r>
          </w:p>
          <w:p>
            <w:pPr>
              <w:widowControl/>
              <w:suppressAutoHyphens/>
              <w:adjustRightInd w:val="0"/>
              <w:snapToGrid w:val="0"/>
              <w:spacing w:after="0" w:line="240" w:lineRule="auto"/>
              <w:jc w:val="center"/>
              <w:rPr>
                <w:rFonts w:hint="eastAsia" w:ascii="仿宋_GB2312" w:hAnsi="仿宋_GB2312" w:cs="仿宋_GB2312"/>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15.1.04.004</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基础资料类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制度类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未制定实验室安全管理制度。</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实验室未制定实施生产安全事故隐患排查治理制度。</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主体责任单位应制定岗位安全责任制、实验室危险化学品采购、储存、使用和废弃管理制度、重大较大风险实验设备管理制度、安全设施管理制度、气瓶和气体管线安全管理；爆炸品、剧毒化学品特殊管理;安全培训及准入制度、危险化学品风险评估分级管控和事故隐患排查治理制度；个体防护装备、消防器材配备和使用制度；涉及小试、中试、扩大化试验的试验项目，应制定试验管理制度。</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ascii="仿宋_GB2312" w:hAnsi="仿宋_GB2312" w:cs="仿宋_GB2312"/>
                <w:color w:val="000000" w:themeColor="text1"/>
                <w:sz w:val="20"/>
                <w:szCs w:val="20"/>
                <w14:textFill>
                  <w14:solidFill>
                    <w14:schemeClr w14:val="tx1"/>
                  </w14:solidFill>
                </w14:textFill>
              </w:rPr>
              <w:t>未制定实施生产安全事故隐患排查治理制度。</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1191.1-2025）第4.1条；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《化工和危险化学品生产经营企业重大生产安全事故隐患判定准则（AQ3067-2026）》第5.7.6条；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1191.2-2025）第4.2.1条；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1191.3-2024）第4.1.1、4.1.2、4.1.3条</w:t>
            </w:r>
          </w:p>
        </w:tc>
        <w:tc>
          <w:tcPr>
            <w:tcW w:w="376" w:type="dxa"/>
            <w:tcBorders>
              <w:tl2br w:val="nil"/>
              <w:tr2bl w:val="nil"/>
            </w:tcBorders>
            <w:vAlign w:val="center"/>
          </w:tcPr>
          <w:p>
            <w:pPr>
              <w:widowControl/>
              <w:suppressAutoHyphens/>
              <w:adjustRightInd w:val="0"/>
              <w:snapToGrid w:val="0"/>
              <w:spacing w:after="0" w:line="240" w:lineRule="auto"/>
              <w:rPr>
                <w:rFonts w:hint="eastAsia" w:ascii="仿宋_GB2312" w:hAnsi="仿宋_GB2312" w:cs="仿宋_GB2312"/>
                <w:b/>
                <w:color w:val="000000" w:themeColor="text1"/>
                <w:kern w:val="0"/>
                <w:sz w:val="20"/>
                <w:szCs w:val="20"/>
                <w14:textFill>
                  <w14:solidFill>
                    <w14:schemeClr w14:val="tx1"/>
                  </w14:solidFill>
                </w14:textFill>
              </w:rPr>
            </w:pPr>
            <w:r>
              <w:rPr>
                <w:rFonts w:hint="eastAsia" w:ascii="仿宋_GB2312" w:hAnsi="仿宋_GB2312" w:cs="仿宋_GB2312"/>
                <w:b/>
                <w:color w:val="000000" w:themeColor="text1"/>
                <w:kern w:val="0"/>
                <w:sz w:val="20"/>
                <w:szCs w:val="20"/>
                <w14:textFill>
                  <w14:solidFill>
                    <w14:schemeClr w14:val="tx1"/>
                  </w14:solidFill>
                </w14:textFill>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15.1.05.005</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基础资料类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操作规程类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未制定相关实验和实验设备安全操作规程；</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危险化学品企业实验室操作规程不符合“七要素”要求的操作规程。其他实验室操作规程不符合除“作业环境”外的六要素。</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应制定实验和实验设备安全操作规程：a） 涉及危险工艺的实验；b） 涉及易燃易爆物质的实验；c） 涉及有毒有害物质的实验；d） 涉及气瓶、气体管路。</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安全操作规程应包括但不限于以下7项要素：a） 适用范围；b） 安全操作要求；c） 岗位存在的危险有害因素；d） 作业环境；e） 作业防护要求；f） 禁止事项；g） 紧急情况现场处置措施，并严格落实。</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未制定操作规程和工艺控制指标。</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《中华人民共和国安全生产法》第二十一条；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《北京市生产经营单位安全生产主体责任规定》第八条；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《危险化学品企业安全操作规程编制要求》（DB11/T 2332-2024）第5.1.6.1条；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《安全生产等级评定技术规范 第2部分：安全生产通用要求》（DB11/T 1322.2-2017）第3.1.3.2条；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《化工和危险化学品生产经营企业重大生产安全事故隐患判定准则（AQ3067-2026）》第</w:t>
            </w:r>
            <w:r>
              <w:rPr>
                <w:rFonts w:ascii="仿宋_GB2312" w:hAnsi="仿宋_GB2312" w:cs="仿宋_GB2312"/>
                <w:color w:val="000000" w:themeColor="text1"/>
                <w:sz w:val="20"/>
                <w:szCs w:val="20"/>
                <w14:textFill>
                  <w14:solidFill>
                    <w14:schemeClr w14:val="tx1"/>
                  </w14:solidFill>
                </w14:textFill>
              </w:rPr>
              <w:t>5.5.2</w:t>
            </w:r>
            <w:r>
              <w:rPr>
                <w:rFonts w:hint="eastAsia" w:ascii="仿宋_GB2312" w:hAnsi="仿宋_GB2312" w:cs="仿宋_GB2312"/>
                <w:color w:val="000000" w:themeColor="text1"/>
                <w:sz w:val="20"/>
                <w:szCs w:val="20"/>
                <w14:textFill>
                  <w14:solidFill>
                    <w14:schemeClr w14:val="tx1"/>
                  </w14:solidFill>
                </w14:textFill>
              </w:rPr>
              <w:t>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1191.1-2025）第4.1.2条；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1191.2-2025）第4.2.3条;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1191.3-2024）第4.3.1条</w:t>
            </w:r>
          </w:p>
        </w:tc>
        <w:tc>
          <w:tcPr>
            <w:tcW w:w="376" w:type="dxa"/>
            <w:tcBorders>
              <w:tl2br w:val="nil"/>
              <w:tr2bl w:val="nil"/>
            </w:tcBorders>
            <w:vAlign w:val="center"/>
          </w:tcPr>
          <w:p>
            <w:pPr>
              <w:widowControl/>
              <w:suppressAutoHyphens/>
              <w:adjustRightInd w:val="0"/>
              <w:snapToGrid w:val="0"/>
              <w:spacing w:after="0" w:line="240" w:lineRule="auto"/>
              <w:rPr>
                <w:rFonts w:hint="eastAsia" w:ascii="仿宋_GB2312" w:hAnsi="仿宋_GB2312" w:cs="仿宋_GB2312"/>
                <w:b/>
                <w:color w:val="000000" w:themeColor="text1"/>
                <w:kern w:val="0"/>
                <w:sz w:val="20"/>
                <w:szCs w:val="20"/>
                <w14:textFill>
                  <w14:solidFill>
                    <w14:schemeClr w14:val="tx1"/>
                  </w14:solidFill>
                </w14:textFill>
              </w:rPr>
            </w:pPr>
            <w:r>
              <w:rPr>
                <w:rFonts w:hint="eastAsia" w:ascii="仿宋_GB2312" w:hAnsi="仿宋_GB2312" w:cs="仿宋_GB2312"/>
                <w:b/>
                <w:color w:val="000000" w:themeColor="text1"/>
                <w:kern w:val="0"/>
                <w:sz w:val="20"/>
                <w:szCs w:val="20"/>
                <w14:textFill>
                  <w14:solidFill>
                    <w14:schemeClr w14:val="tx1"/>
                  </w14:solidFill>
                </w14:textFill>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15.4.03.006</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场所环境类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标志及标识类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在实验室、危险化学品储存场所门口外未张贴或悬挂责任牌。</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在实验室、危险化学品储存场所门口外张贴或悬挂责任牌，明确责任人和联系电话。</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1191.1-2025）第4.2.3条；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1191.2-2025）第4.1条；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1191.3-2024）第4.2.1条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仿宋_GB2312" w:cs="仿宋_GB2312"/>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15.4.03.007</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场所环境类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标志及标识类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普通高等学校涉及使用危险化学品的实验设备，连续运转大于24小时的，未在实验室门外显著位置张贴告知牌。</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涉及使用危险化学品的实验设备，连续运转大于24小时的，宜在实验室门外显著位置张贴告知牌，至少包括以下内容：a）实验设备及实验名称;b）实验人员及联系方式;c）实验开始及结束时间;d）其他必要的安全提示信息</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1191.2-2025）第7.5.7条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仿宋_GB2312" w:cs="仿宋_GB2312"/>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15.4.03.008</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场所环境类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标志及标识类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未在实验室、危险化学品储存场所的显著位置张贴或悬挂安全操作规程和现场应急处置方案。</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在实验室、危险化学品储存场所的显著位置张贴或悬挂安全操作规程和现场应急处置方案。</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1191.1-2025）第4.1.2条；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1191.2-2025）第4.2.3条;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1191.3-2024）第4.3.1条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仿宋_GB2312" w:cs="仿宋_GB2312"/>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15.1.15.001</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基础资料类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其它类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购买危险化学品时未向供应商索取安全技术说明书（SDS）;</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未在实验室、危险化学品储存场所放置化学品安全技术说明书；</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包装物上未粘贴化学品安全标签或临时标签。</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购买危险化学品时应向供应商索取符合GB/T 16483规定的中文版化学品安全技术说明书（SDS）。实验室、危险化学品储存场所应放置化学品安全技术说明书。包装物上应有符合GB 15258规定的化学品安全标签。转移或分装或配置后的包装物应及时重新粘贴与化学品安全标签内容一致的标识或临时标签，临时标签应标明危险化学品和百分比含量。</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1191.1-2025）第4.3条；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1191.2-2025）第4.4条；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1191.3-2024）第4.4；4.2.2条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仿宋_GB2312" w:cs="仿宋_GB2312"/>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15.4.03.009</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场所环境类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标志及标识类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实验室、危险化学品储存场所未设置安全标志；气体管路无流向、色环和介质名称。</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实验室、危险化学品储存场所应有安全标志，标志应包含以下要求：</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符合GB 2894规定的警告、禁止、指令、提示等永久性安全标志；</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符合GB /T 30000.31规定的化学品警示性标志的象形图。</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气瓶的颜色标志应符合GB/T 7144和TSG 23的要求。气体管路的流向、色环和介质名称的设置应符合GB 7231的要求。</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1191.1-2025）第4.4.3条,第4.4.1、4.4.2条;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1191.2-2025）第4.5.4条；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1191.3-2024）第4.3.2条</w:t>
            </w:r>
          </w:p>
        </w:tc>
        <w:tc>
          <w:tcPr>
            <w:tcW w:w="376" w:type="dxa"/>
            <w:tcBorders>
              <w:tl2br w:val="nil"/>
              <w:tr2bl w:val="nil"/>
            </w:tcBorders>
            <w:vAlign w:val="center"/>
          </w:tcPr>
          <w:p>
            <w:pPr>
              <w:widowControl/>
              <w:suppressAutoHyphens/>
              <w:adjustRightInd w:val="0"/>
              <w:snapToGrid w:val="0"/>
              <w:spacing w:after="0" w:line="240" w:lineRule="auto"/>
              <w:jc w:val="center"/>
              <w:rPr>
                <w:rFonts w:hint="eastAsia" w:ascii="仿宋_GB2312" w:hAnsi="仿宋_GB2312" w:cs="仿宋_GB2312"/>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15.1.08.010</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基础资料类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隐患排查类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未定期对实验室危险化学品管理工作进行安全检查；实验涉及的仪器、设备、装置、仪表等未定期检查，保持完好、灵敏。未对可能释放有害物质的仪器进行定期检查，未对其仪器周边环境进行有害物质监测。</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应定期对实验室危险化学品管理工作进行安全检查，安全检查应包括风险源辨识、风险评价、分级、管控措施、人员行为、安全设施和设备、应急物资等内容。实验涉及的仪器、设备、装置、仪表等应定期检查，保持完好、灵敏。应对可能释放有害物质的仪器进行定期检查，必要时，对其仪器周边环境进行有害物质监测。</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1191.2-2025）第7.5.1条；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1191.3-2024）第4.5.3条、第8.1.3条d）、e）、第8.2.1、8.2.3条</w:t>
            </w:r>
          </w:p>
        </w:tc>
        <w:tc>
          <w:tcPr>
            <w:tcW w:w="376" w:type="dxa"/>
            <w:tcBorders>
              <w:tl2br w:val="nil"/>
              <w:tr2bl w:val="nil"/>
            </w:tcBorders>
            <w:vAlign w:val="center"/>
          </w:tcPr>
          <w:p>
            <w:pPr>
              <w:widowControl/>
              <w:suppressAutoHyphens/>
              <w:adjustRightInd w:val="0"/>
              <w:snapToGrid w:val="0"/>
              <w:spacing w:after="0" w:line="240" w:lineRule="auto"/>
              <w:jc w:val="center"/>
              <w:rPr>
                <w:rFonts w:hint="eastAsia" w:ascii="仿宋_GB2312" w:hAnsi="仿宋_GB2312" w:cs="仿宋_GB2312"/>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15.1.10.011</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基础资料类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教育培训类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未接受专业危险化学品安全教育培训，考核合格后方可准入；未按等级实施安全检查、安全培训、安全评估、条件保障等管理）的；实验人员在未得到安全准入的条件下进入实验室（实训场所）开展实验活动；</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未经过培训并授权的实验人员使用实验仪器、设备，未定期对已授权实验人员的能力进行评估。</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未对学习参观人员及其他外来人员进行安全教育培训。外来实习和短期工作人员上岗前，以及外来参观人员未接受危险化学品相关的安全知识培训。</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未建立安全教育培训台账。</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普通高等学校实验人员在未得到安全准入的条件下进入实验室（实训场所）开展实验活动的。</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开展实验操作的各类人员进入实验室前应接受专业危险化学品安全教育培训，考核合格后方可准入。</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所有实验仪器、设备均应由经过培训并授权的实验人员进行使用，且应定期对已授权实验人员的能力进行评估。</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教育培训内容应满足下列要求： a） 安全生产相关法律法规、标准规范； b） 实验室相关岗位安全生产责任制； c） 危险化学品安全管理制度； d） 危险化学品相关安全操作规程； e） 危险化学品危害特性及防护知识； f） 安全设备设施、个体防护装备的使用和维护； g） 危险化学品相关专项应急预案及现场处置方案； h） 典型事故案例等；i） 急救知识与技能，如人工呼吸，心肺复苏及自动体外除颤器（AED）使用等。</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应对学习参观人员及其他外来人员进行安全教育培训。外来实习和短期工作人员上岗前，以及外来参观人员应接受危险化学品相关的安全知识培训。</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应建立安全教育培训台账，如是记录教育培训的时间、内容、参加人员以及考核结果。</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实验人员在未得到安全准入的条件下进入实验室（实训场所）开展实验活动的。</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《教育系统重大事故隐患判定指南》第六条（二）；</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1191.1-2025）第4.1条；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1191.2-2025）第4.3条；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1191.3-2024）第4.2.2、4.2.3、4.2.4、4.2.5、4.3.7、8.2.2条</w:t>
            </w:r>
          </w:p>
        </w:tc>
        <w:tc>
          <w:tcPr>
            <w:tcW w:w="376" w:type="dxa"/>
            <w:tcBorders>
              <w:tl2br w:val="nil"/>
              <w:tr2bl w:val="nil"/>
            </w:tcBorders>
            <w:vAlign w:val="center"/>
          </w:tcPr>
          <w:p>
            <w:pPr>
              <w:widowControl/>
              <w:suppressAutoHyphens/>
              <w:adjustRightInd w:val="0"/>
              <w:snapToGrid w:val="0"/>
              <w:spacing w:after="0" w:line="240" w:lineRule="auto"/>
              <w:jc w:val="center"/>
              <w:rPr>
                <w:rFonts w:hint="eastAsia" w:ascii="仿宋_GB2312" w:hAnsi="仿宋_GB2312" w:cs="仿宋_GB2312"/>
                <w:b/>
                <w:kern w:val="0"/>
                <w:sz w:val="20"/>
                <w:szCs w:val="20"/>
              </w:rPr>
            </w:pPr>
            <w:r>
              <w:rPr>
                <w:rFonts w:hint="eastAsia" w:ascii="仿宋_GB2312" w:hAnsi="仿宋_GB2312" w:cs="仿宋_GB2312"/>
                <w:b/>
                <w:color w:val="000000" w:themeColor="text1"/>
                <w:kern w:val="0"/>
                <w:sz w:val="20"/>
                <w:szCs w:val="20"/>
                <w14:textFill>
                  <w14:solidFill>
                    <w14:schemeClr w14:val="tx1"/>
                  </w14:solidFill>
                </w14:textFill>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15.4.06.012</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场所环境类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其它类</w:t>
            </w:r>
          </w:p>
        </w:tc>
        <w:tc>
          <w:tcPr>
            <w:tcW w:w="2861" w:type="dxa"/>
            <w:tcBorders>
              <w:tl2br w:val="nil"/>
              <w:tr2bl w:val="nil"/>
            </w:tcBorders>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实验室产生的废气(或尾气)未通过管路引至室外安全区域排放</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实验室产生的废气(或尾气)应通过管路引至室外安全区域排放</w:t>
            </w:r>
          </w:p>
        </w:tc>
        <w:tc>
          <w:tcPr>
            <w:tcW w:w="3868" w:type="dxa"/>
            <w:tcBorders>
              <w:tl2br w:val="nil"/>
              <w:tr2bl w:val="nil"/>
            </w:tcBorders>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1191.2-2025）第7.5.8条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仿宋_GB2312" w:cs="仿宋_GB2312"/>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15.4.06.013</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场所环境类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其它类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废弃危险化学品未合规分类、清理、收集、暂存、转运、清运。</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废弃危险化学品的分类、收集、暂存、转运应合规。实验结束，应将实验产生的废弃危险化学品，及时进行清理、收集、清运。</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1191.1-2025）第9.1条；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1191.2-2025）第8.1、8.2条；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1191.3-2024）第9章</w:t>
            </w:r>
          </w:p>
        </w:tc>
        <w:tc>
          <w:tcPr>
            <w:tcW w:w="376" w:type="dxa"/>
            <w:tcBorders>
              <w:tl2br w:val="nil"/>
              <w:tr2bl w:val="nil"/>
            </w:tcBorders>
            <w:vAlign w:val="center"/>
          </w:tcPr>
          <w:p>
            <w:pPr>
              <w:widowControl/>
              <w:suppressAutoHyphens/>
              <w:adjustRightInd w:val="0"/>
              <w:snapToGrid w:val="0"/>
              <w:spacing w:after="0" w:line="240" w:lineRule="auto"/>
              <w:jc w:val="center"/>
              <w:rPr>
                <w:rFonts w:hint="eastAsia" w:ascii="仿宋_GB2312" w:hAnsi="仿宋_GB2312" w:cs="仿宋_GB2312"/>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15.4.06.014</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场所环境类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其它类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长期不使用、过期、无使用价值的、自配化学品以及缺少安全标签、不清楚主要成分的危险化学品未及时进行清理、收集、清运。</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 xml:space="preserve">长期不使用、过期、无使用价值的、自配化学品以及缺少安全标签、不清楚主要成分的危险化学品，应及时进行清理、收集、清运。 </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1191.1-2025）第9.1条；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1191.2-2025）第8.3条；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1191.3-2024）第9章、第8.1.9条</w:t>
            </w:r>
          </w:p>
        </w:tc>
        <w:tc>
          <w:tcPr>
            <w:tcW w:w="376" w:type="dxa"/>
            <w:tcBorders>
              <w:tl2br w:val="nil"/>
              <w:tr2bl w:val="nil"/>
            </w:tcBorders>
            <w:vAlign w:val="center"/>
          </w:tcPr>
          <w:p>
            <w:pPr>
              <w:widowControl/>
              <w:suppressAutoHyphens/>
              <w:adjustRightInd w:val="0"/>
              <w:snapToGrid w:val="0"/>
              <w:spacing w:after="0" w:line="240" w:lineRule="auto"/>
              <w:jc w:val="center"/>
              <w:rPr>
                <w:rFonts w:hint="eastAsia" w:ascii="仿宋_GB2312" w:hAnsi="仿宋_GB2312" w:cs="仿宋_GB2312"/>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15.4.06.015</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场所环境类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其它类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未委托具有相关资质的单位及时处置废弃危险化学品；废弃气瓶未及时委托具相应资资质的气瓶检验机构或专业气体回收处理单位进行处理。</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应委托具有相关资质的单位及时处置废弃危险化学品。长期不使用的、未在检验有效期内的、有缺陷的的气瓶因应及时委托具相应资资质的气瓶检验机构或专业气体回收处理单位进行处理。</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1191.1-2025）第9.2条；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1191.2-2025）第8.4；</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1191.3-2024）第9章、第7.4.10条</w:t>
            </w:r>
          </w:p>
        </w:tc>
        <w:tc>
          <w:tcPr>
            <w:tcW w:w="376" w:type="dxa"/>
            <w:tcBorders>
              <w:tl2br w:val="nil"/>
              <w:tr2bl w:val="nil"/>
            </w:tcBorders>
            <w:vAlign w:val="center"/>
          </w:tcPr>
          <w:p>
            <w:pPr>
              <w:widowControl/>
              <w:suppressAutoHyphens/>
              <w:adjustRightInd w:val="0"/>
              <w:snapToGrid w:val="0"/>
              <w:spacing w:after="0" w:line="240" w:lineRule="auto"/>
              <w:jc w:val="center"/>
              <w:rPr>
                <w:rFonts w:hint="eastAsia" w:ascii="仿宋_GB2312" w:hAnsi="仿宋_GB2312" w:cs="仿宋_GB2312"/>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15.1.09.016</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基础资料类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应急救援类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未编制符合要求的危险化学品事故专项应急预案、现场处置方案和应急处置卡。</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实验室、危险化学品储存场所应编制符合要求的危险化学品事故专项应急预案或现场处置方案。按照实验室场所、岗位、使用与储存危险化学品的特点，编制应急处置卡。</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1191.1-2025）第4.5.1条；第4.5.2条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1191.2-2025）第4.6.1条；第4.6.2条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1191.3-2024）第4.1.1 h）、4.1.5条、第4.1.1 h）、4.1.5条；</w:t>
            </w:r>
          </w:p>
        </w:tc>
        <w:tc>
          <w:tcPr>
            <w:tcW w:w="376" w:type="dxa"/>
            <w:tcBorders>
              <w:tl2br w:val="nil"/>
              <w:tr2bl w:val="nil"/>
            </w:tcBorders>
            <w:vAlign w:val="center"/>
          </w:tcPr>
          <w:p>
            <w:pPr>
              <w:widowControl/>
              <w:suppressAutoHyphens/>
              <w:adjustRightInd w:val="0"/>
              <w:snapToGrid w:val="0"/>
              <w:spacing w:after="0" w:line="240" w:lineRule="auto"/>
              <w:jc w:val="center"/>
              <w:rPr>
                <w:rFonts w:hint="eastAsia" w:ascii="仿宋_GB2312" w:hAnsi="仿宋_GB2312" w:cs="仿宋_GB2312"/>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15.1.09.017</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基础资料类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应急救援类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未按规定频次组织应急演练，未有演练记录；</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高校实验室未制定应急预案并定期演练。</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相关专项应急预案每年至少演练一次，现场处置方案每半年至少演练一次，演练应有记录。</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1191.1-2025）第4.5.3条；《实验室危险化学品安全管理要求 第2部分：普通高等学校》（DB11/T 1191.2-2025）第4.6.3、4.6.4、4.6.5条；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《教育系统重大事故隐患判定指南》第六条（三）；</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1191.3-2024）第4.1.6条</w:t>
            </w:r>
          </w:p>
        </w:tc>
        <w:tc>
          <w:tcPr>
            <w:tcW w:w="376" w:type="dxa"/>
            <w:tcBorders>
              <w:tl2br w:val="nil"/>
              <w:tr2bl w:val="nil"/>
            </w:tcBorders>
            <w:vAlign w:val="center"/>
          </w:tcPr>
          <w:p>
            <w:pPr>
              <w:widowControl/>
              <w:suppressAutoHyphens/>
              <w:adjustRightInd w:val="0"/>
              <w:snapToGrid w:val="0"/>
              <w:spacing w:after="0" w:line="240" w:lineRule="auto"/>
              <w:jc w:val="center"/>
              <w:rPr>
                <w:rFonts w:hint="eastAsia" w:ascii="仿宋_GB2312" w:hAnsi="仿宋_GB2312" w:cs="仿宋_GB2312"/>
                <w:b/>
                <w:kern w:val="0"/>
                <w:sz w:val="20"/>
                <w:szCs w:val="20"/>
              </w:rPr>
            </w:pPr>
            <w:r>
              <w:rPr>
                <w:rFonts w:hint="eastAsia" w:ascii="仿宋_GB2312" w:hAnsi="仿宋_GB2312" w:cs="仿宋_GB2312"/>
                <w:b/>
                <w:color w:val="000000" w:themeColor="text1"/>
                <w:kern w:val="0"/>
                <w:sz w:val="20"/>
                <w:szCs w:val="20"/>
                <w14:textFill>
                  <w14:solidFill>
                    <w14:schemeClr w14:val="tx1"/>
                  </w14:solidFill>
                </w14:textFill>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15.1.07.018</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基础资料类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风险辨识类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教育系统实验室未建立实验室重要危险源（包括各类剧毒、易制爆、易制毒、爆炸品等有毒有害化学品，各类易燃、易爆、有毒、窒息、高压等危险气体）风险管控方案（包括但不限于实验室分级分类；高风险等级实验室的备案与监督）。</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未建立实验室（实训场所）重要危险源（包括各类剧毒、易制爆、易制毒、爆炸品等有毒有害化学品，各类易燃、易爆、有毒、窒息、高压等危险气体，动物及病原微生物，辐射源及射线装置，同位素及核材料，危险性机械加工装置，强电强磁与激光设备，特种设备等）风险管控方案（包括但不限于实验室分级分类；高风险等级实验室的备案与监督）。</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《教育系统重大事故隐患判定指南》第六条（三）</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p>
        </w:tc>
        <w:tc>
          <w:tcPr>
            <w:tcW w:w="376" w:type="dxa"/>
            <w:tcBorders>
              <w:tl2br w:val="nil"/>
              <w:tr2bl w:val="nil"/>
            </w:tcBorders>
            <w:vAlign w:val="center"/>
          </w:tcPr>
          <w:p>
            <w:pPr>
              <w:widowControl/>
              <w:suppressAutoHyphens/>
              <w:adjustRightInd w:val="0"/>
              <w:snapToGrid w:val="0"/>
              <w:spacing w:after="0" w:line="240" w:lineRule="auto"/>
              <w:jc w:val="center"/>
              <w:rPr>
                <w:rFonts w:hint="eastAsia" w:ascii="仿宋_GB2312" w:hAnsi="仿宋_GB2312" w:cs="仿宋_GB2312"/>
                <w:b/>
                <w:color w:val="000000" w:themeColor="text1"/>
                <w:kern w:val="0"/>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15.1.09.019</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基础资料类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应急救援类</w:t>
            </w:r>
          </w:p>
        </w:tc>
        <w:tc>
          <w:tcPr>
            <w:tcW w:w="2861" w:type="dxa"/>
            <w:tcBorders>
              <w:tl2br w:val="nil"/>
              <w:tr2bl w:val="nil"/>
            </w:tcBorders>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当实验过程或储存过程中，仪器、设备或现场出现异常情况或危险化学品泄漏、中毒、窒息、着火、灼伤、爆炸等可能危及实验人员安全时，实验人员未停止作业，迅速撤离，未及时通知实验室安全负责人。</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当实验过程中仪器、设备或现场出现异常情况，可能危及实验人员安全时，实验人员应立即停止作业，迅速撤离，并及时通知实验室安全负责人。</w:t>
            </w:r>
          </w:p>
        </w:tc>
        <w:tc>
          <w:tcPr>
            <w:tcW w:w="3868" w:type="dxa"/>
            <w:tcBorders>
              <w:tl2br w:val="nil"/>
              <w:tr2bl w:val="nil"/>
            </w:tcBorders>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1191.3-2024）第8.2.11条</w:t>
            </w:r>
          </w:p>
        </w:tc>
        <w:tc>
          <w:tcPr>
            <w:tcW w:w="376" w:type="dxa"/>
            <w:tcBorders>
              <w:tl2br w:val="nil"/>
              <w:tr2bl w:val="nil"/>
            </w:tcBorders>
          </w:tcPr>
          <w:p>
            <w:pPr>
              <w:suppressAutoHyphens/>
              <w:autoSpaceDE w:val="0"/>
              <w:autoSpaceDN w:val="0"/>
              <w:adjustRightInd w:val="0"/>
              <w:snapToGrid w:val="0"/>
              <w:spacing w:after="0" w:line="240" w:lineRule="auto"/>
              <w:jc w:val="left"/>
              <w:rPr>
                <w:rFonts w:hint="eastAsia" w:ascii="仿宋_GB2312" w:hAnsi="仿宋_GB2312" w:cs="仿宋_GB2312"/>
                <w:color w:val="000000" w:themeColor="text1"/>
                <w:sz w:val="20"/>
                <w:szCs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4118" w:type="dxa"/>
            <w:gridSpan w:val="7"/>
            <w:tcBorders>
              <w:tl2br w:val="nil"/>
              <w:tr2bl w:val="nil"/>
            </w:tcBorders>
            <w:shd w:val="clear" w:color="auto" w:fill="95B3D7" w:themeFill="accent1" w:themeFillTint="99"/>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b/>
                <w:color w:val="000000"/>
                <w:kern w:val="0"/>
                <w:sz w:val="20"/>
                <w:szCs w:val="20"/>
                <w:lang w:bidi="ar"/>
              </w:rPr>
              <w:t>建（构）筑物管理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15.4.01.020</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场所环境类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平面布置类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使用、储存危险化学品的实验室、储存场所与周边安全间距不足；</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液氧站的建构筑物与周边设施的防火间距不符合GB 50030的要求；</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氢气站（供氢站）的建构筑物、与周边设施的防火间距不符合GB 50177的要求。</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使用、储存危险化学品的实验室、储存场所，应确定所占建构筑物比例和火灾危险性类别，并依据GB 50016判定周边安全间距的符合性。液氧站的建构筑物与周边设施的防火间距应符合GB 50030的要求；氢气站（供氢站）的建构筑物、与周边设施的防火间距应符合GB 50177的要求。</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《建筑设计防火规范（2018年版）》（GB 50016-2014）第3.1.1、3.1.3、3.4.1、3.4.3、3.5.1、3.5.2条；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《氧气站设计规范》（GB 50030-2013）；</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《氢气站设计规范》（GB 50177-2005）</w:t>
            </w:r>
          </w:p>
        </w:tc>
        <w:tc>
          <w:tcPr>
            <w:tcW w:w="376" w:type="dxa"/>
            <w:tcBorders>
              <w:tl2br w:val="nil"/>
              <w:tr2bl w:val="nil"/>
            </w:tcBorders>
            <w:vAlign w:val="center"/>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15.4.05.021</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场所环境类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周边环境类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储存爆炸物的仓库、储存有毒气体或易燃气体且构成危险化学品重大危险源的仓库与周边防护目标的外部安全防护距离不合格。</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储存爆炸物的仓库、储存有毒气体或易燃气体且构成危险化学品重大危险源的仓库与周边防护目标的外部安全防护距离应符合GB 36894、GB/T 37243的规定。</w:t>
            </w:r>
          </w:p>
          <w:p>
            <w:pPr>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危险化学品储存场所应远离食堂、会议室、活动室等人员密集场所。</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《危险化学品储存场所建设及储存安全要求》（DB11/T 755）第4.2.2条</w:t>
            </w:r>
          </w:p>
        </w:tc>
        <w:tc>
          <w:tcPr>
            <w:tcW w:w="376" w:type="dxa"/>
            <w:tcBorders>
              <w:tl2br w:val="nil"/>
              <w:tr2bl w:val="nil"/>
            </w:tcBorders>
            <w:vAlign w:val="center"/>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15.2.11.022</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其它设备设施类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有爆炸风险的实验室、易燃易爆危险化学品储存场所、气瓶间、汇流排间，建筑物耐火等级低于二级，未设置泄压设施。</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有爆炸风险的实验室、易燃易爆危险化学品储存场所、气瓶间、汇流排间，建筑物耐火等级不应低于二级，应设置泄压设施。</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1191.1-2025）第5.4节；</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1191.2-2025）第5.3.2条c）；</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1191.3-2024）第5.2.2条d）、第5.5.3条a）</w:t>
            </w:r>
          </w:p>
        </w:tc>
        <w:tc>
          <w:tcPr>
            <w:tcW w:w="376" w:type="dxa"/>
            <w:tcBorders>
              <w:tl2br w:val="nil"/>
              <w:tr2bl w:val="nil"/>
            </w:tcBorders>
            <w:vAlign w:val="center"/>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15.2.11.023</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其它设备设施类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存在爆炸危险的危险化学品仓库未设置泄压设施，泄压方向、墙体、门窗不符合要求。</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存在爆炸危险的危险化学品仓库应设置泄压设施。泄压方向宜向上，侧面泄压应避开人员集中场所、主要通道及能引起二次爆炸的车间、仓库。泄压设施宜采用轻质屋面板、轻质墙体和易于泄压的门、窗等。</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《危险化学品储存场所建设及储存安全要求》（DB11/T 755）第4.2.9条</w:t>
            </w:r>
          </w:p>
        </w:tc>
        <w:tc>
          <w:tcPr>
            <w:tcW w:w="376" w:type="dxa"/>
            <w:tcBorders>
              <w:tl2br w:val="nil"/>
              <w:tr2bl w:val="nil"/>
            </w:tcBorders>
            <w:vAlign w:val="center"/>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15.4.02.024</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场所环境类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建（构）筑物类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危险化学品储存场所、设有危险化学品储存柜的实验室设置在地下或半地下建（构）筑物内。专用储存室、气瓶间、仓库设有地下室。储存有易燃易爆危险化学品的专用储存室设地沟、暗道。</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危险化学品储存场所、设置危险化学品储存柜的实验室不应设置在地下或半地下建（构）筑物内。专用储存室、气瓶间、仓库不应设有地下室。储存有易燃易爆危险化学品的专用储存室不应设地沟、暗道。</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1191.1-2025）第7.1.2条；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1191.2-2025）第6.1.1条；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1191.3-2024）第5.1.2条</w:t>
            </w:r>
          </w:p>
        </w:tc>
        <w:tc>
          <w:tcPr>
            <w:tcW w:w="376" w:type="dxa"/>
            <w:tcBorders>
              <w:tl2br w:val="nil"/>
              <w:tr2bl w:val="nil"/>
            </w:tcBorders>
            <w:vAlign w:val="center"/>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15.4.02.025</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场所环境类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建（构）筑物类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可能散发可燃气体的专用储存室、气瓶间设有吊顶。</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未在可能散发可燃气体的专用储存室、气瓶间吊顶内设置可燃气体探测器</w:t>
            </w:r>
            <w:r>
              <w:rPr>
                <w:rFonts w:ascii="仿宋_GB2312" w:hAnsi="仿宋_GB2312" w:cs="仿宋_GB2312"/>
                <w:color w:val="000000" w:themeColor="text1"/>
                <w:sz w:val="20"/>
                <w:szCs w:val="20"/>
                <w14:textFill>
                  <w14:solidFill>
                    <w14:schemeClr w14:val="tx1"/>
                  </w14:solidFill>
                </w14:textFill>
              </w:rPr>
              <w:t>或气体探测器功能失效</w:t>
            </w:r>
            <w:r>
              <w:rPr>
                <w:rFonts w:hint="eastAsia" w:ascii="仿宋_GB2312" w:hAnsi="仿宋_GB2312" w:cs="仿宋_GB2312"/>
                <w:color w:val="000000" w:themeColor="text1"/>
                <w:sz w:val="20"/>
                <w:szCs w:val="20"/>
                <w14:textFill>
                  <w14:solidFill>
                    <w14:schemeClr w14:val="tx1"/>
                  </w14:solidFill>
                </w14:textFill>
              </w:rPr>
              <w:t>。</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使用或产生比空气轻的可燃气体且有火灾、爆炸风险的实验室不宜设置吊顶，确需设置时应在吊顶内设置可燃气体探测器。可能散发可燃气体的专用储存室、气瓶间不应设吊顶。</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ascii="仿宋_GB2312" w:hAnsi="仿宋_GB2312" w:cs="仿宋_GB2312"/>
                <w:color w:val="000000" w:themeColor="text1"/>
                <w:sz w:val="20"/>
                <w:szCs w:val="20"/>
                <w14:textFill>
                  <w14:solidFill>
                    <w14:schemeClr w14:val="tx1"/>
                  </w14:solidFill>
                </w14:textFill>
              </w:rPr>
              <w:t>存在可燃或有毒气体泄漏风险的场所未按设计要求设置气体探测器或气体探测器功能失效</w:t>
            </w:r>
            <w:r>
              <w:rPr>
                <w:rFonts w:hint="eastAsia" w:ascii="仿宋_GB2312" w:hAnsi="仿宋_GB2312" w:cs="仿宋_GB2312"/>
                <w:color w:val="000000" w:themeColor="text1"/>
                <w:sz w:val="20"/>
                <w:szCs w:val="20"/>
                <w14:textFill>
                  <w14:solidFill>
                    <w14:schemeClr w14:val="tx1"/>
                  </w14:solidFill>
                </w14:textFill>
              </w:rPr>
              <w:t>。</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p>
        </w:tc>
        <w:tc>
          <w:tcPr>
            <w:tcW w:w="3868" w:type="dxa"/>
            <w:tcBorders>
              <w:tl2br w:val="nil"/>
              <w:tr2bl w:val="nil"/>
            </w:tcBorders>
            <w:vAlign w:val="center"/>
          </w:tcPr>
          <w:p>
            <w:pPr>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《中华人民共和国安全生产法》第三十六条；</w:t>
            </w:r>
          </w:p>
          <w:p>
            <w:pPr>
              <w:autoSpaceDE w:val="0"/>
              <w:autoSpaceDN w:val="0"/>
              <w:adjustRightInd w:val="0"/>
              <w:snapToGrid w:val="0"/>
              <w:spacing w:after="0" w:line="240" w:lineRule="auto"/>
              <w:ind w:left="200" w:hanging="200" w:hangingChars="100"/>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《建筑设计防火规范（2018年版）》（GB 50016-2014）第8.4.3条；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《化工和危险化学品生产经营企业重大生产安全事故隐患判定准则（AQ3067-2026）》第</w:t>
            </w:r>
            <w:r>
              <w:rPr>
                <w:rFonts w:ascii="仿宋_GB2312" w:hAnsi="仿宋_GB2312" w:cs="仿宋_GB2312"/>
                <w:color w:val="000000" w:themeColor="text1"/>
                <w:sz w:val="20"/>
                <w:szCs w:val="20"/>
                <w14:textFill>
                  <w14:solidFill>
                    <w14:schemeClr w14:val="tx1"/>
                  </w14:solidFill>
                </w14:textFill>
              </w:rPr>
              <w:t>5.4.2</w:t>
            </w:r>
            <w:r>
              <w:rPr>
                <w:rFonts w:hint="eastAsia" w:ascii="仿宋_GB2312" w:hAnsi="仿宋_GB2312" w:cs="仿宋_GB2312"/>
                <w:color w:val="000000" w:themeColor="text1"/>
                <w:sz w:val="20"/>
                <w:szCs w:val="20"/>
                <w14:textFill>
                  <w14:solidFill>
                    <w14:schemeClr w14:val="tx1"/>
                  </w14:solidFill>
                </w14:textFill>
              </w:rPr>
              <w:t>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1191.1-2025）第5.1、5.4条；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1191.2-2025）第5.1.4条；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1191.3-2024）第5.2.3条</w:t>
            </w:r>
          </w:p>
        </w:tc>
        <w:tc>
          <w:tcPr>
            <w:tcW w:w="376" w:type="dxa"/>
            <w:tcBorders>
              <w:tl2br w:val="nil"/>
              <w:tr2bl w:val="nil"/>
            </w:tcBorders>
            <w:vAlign w:val="center"/>
          </w:tcPr>
          <w:p>
            <w:pPr>
              <w:widowControl/>
              <w:suppressAutoHyphens/>
              <w:adjustRightInd w:val="0"/>
              <w:snapToGrid w:val="0"/>
              <w:spacing w:after="0" w:line="240" w:lineRule="auto"/>
              <w:jc w:val="center"/>
              <w:rPr>
                <w:rFonts w:hint="eastAsia" w:ascii="仿宋_GB2312" w:hAnsi="黑体" w:cs="宋体"/>
                <w:b/>
                <w:kern w:val="0"/>
                <w:sz w:val="20"/>
                <w:szCs w:val="20"/>
              </w:rPr>
            </w:pPr>
            <w:r>
              <w:rPr>
                <w:rFonts w:hint="eastAsia" w:ascii="仿宋_GB2312" w:hAnsi="仿宋_GB2312" w:cs="仿宋_GB2312"/>
                <w:b/>
                <w:color w:val="000000" w:themeColor="text1"/>
                <w:kern w:val="0"/>
                <w:sz w:val="20"/>
                <w:szCs w:val="20"/>
                <w14:textFill>
                  <w14:solidFill>
                    <w14:schemeClr w14:val="tx1"/>
                  </w14:solidFill>
                </w14:textFill>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15.4.02.026</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场所环境类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建（构）筑物类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易燃易爆危险化学品储存场所地面未设置不发火的导静电地面；储存腐蚀性危险化学品的储存场所未做防腐处理。</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易燃易爆危险化学品储存场所的地面应为不发火的导静电地面。储存腐蚀性危险化学品的储存场所应做防腐处理。</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1191.1-2025）第5.5、5.6节；</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1191.2-2025）第5.1.3条；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1191.3-2024）第5.2.1条</w:t>
            </w:r>
          </w:p>
        </w:tc>
        <w:tc>
          <w:tcPr>
            <w:tcW w:w="376" w:type="dxa"/>
            <w:tcBorders>
              <w:tl2br w:val="nil"/>
              <w:tr2bl w:val="nil"/>
            </w:tcBorders>
            <w:vAlign w:val="center"/>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15.4.02.027</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场所环境类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建（构）筑物类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实验工作区和办公休息区未隔开设置。</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实验工作区和办公休息区应隔开设置。</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1191.1-2025）第5.3节；</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1191.2-2025）第5.3.1条；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1191.3-2024）第5.2.1条</w:t>
            </w:r>
          </w:p>
        </w:tc>
        <w:tc>
          <w:tcPr>
            <w:tcW w:w="376" w:type="dxa"/>
            <w:tcBorders>
              <w:tl2br w:val="nil"/>
              <w:tr2bl w:val="nil"/>
            </w:tcBorders>
            <w:vAlign w:val="center"/>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15.2.07.028</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通用设备类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实验室以及甲、乙类物质储存场所的门未向疏散方向开启且非平开门。</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实验室以及甲、乙类物质储存场所的门应向疏散方向开启且采用平开门，不应采用推拉门、卷帘门。易燃易爆危险化学品储存场所的门应为甲级防火门，并应有防盗功能。</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1191.1-2025）第5.2条；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1191.2-2025）第5.3.2条；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1191.3-2024）第5.1.3条b）</w:t>
            </w:r>
          </w:p>
        </w:tc>
        <w:tc>
          <w:tcPr>
            <w:tcW w:w="376" w:type="dxa"/>
            <w:tcBorders>
              <w:tl2br w:val="nil"/>
              <w:tr2bl w:val="nil"/>
            </w:tcBorders>
            <w:vAlign w:val="center"/>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15.2.12.029</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实验台、通风橱等临时储存危险化学品超过当班或当天的用量，剩余危险化学品未及时放回危险化学品储存场所。</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实验室内实验台、通风橱等临时储存危险化学品时，不应超过当班或当天的用量，剩余危险化学品应及时放回危险化学品储存场所。</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1191.1-2025）第8.3.1条；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1191.2-2025）第7.2.2条；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1191.3-2024）第7.2.1条f）</w:t>
            </w:r>
          </w:p>
        </w:tc>
        <w:tc>
          <w:tcPr>
            <w:tcW w:w="376" w:type="dxa"/>
            <w:tcBorders>
              <w:tl2br w:val="nil"/>
              <w:tr2bl w:val="nil"/>
            </w:tcBorders>
            <w:vAlign w:val="center"/>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15.2.03.030</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辅助系统设备设施类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使用或可能产生对人体有害的化学试剂和腐蚀性物质的实验室，其排风系统利用建筑物的结构风道作为实验室排风系统的风道。</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危险化学品专用储存室、储存易燃气体、有毒气体的气瓶间内使用与其他房间相连的中央空调，未设置独立通风系统。</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使用或可能产生对人体有害的化学试剂和腐蚀性物质的实验室，其排风系统不应利用建筑物的结构风道作为实验室排风系统的风道。</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危险化学品专用储存室、储存易燃气体、有毒气体的气瓶间内不应使用与其他房间相连的中央空调，应设置独立通风系统。</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1191.3-2024）第5.2.4条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15.2.03.031</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辅助系统设备设施类</w:t>
            </w:r>
          </w:p>
        </w:tc>
        <w:tc>
          <w:tcPr>
            <w:tcW w:w="2861" w:type="dxa"/>
            <w:tcBorders>
              <w:tl2br w:val="nil"/>
              <w:tr2bl w:val="nil"/>
            </w:tcBorders>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氢氧发生器设置场所不符合下列要求：a)在使用氢氧发生器时，未即产即用，未禁止储存、压缩氢氧混合气。设备在超压或负压状态下运行；b) 氢氧发生器停止使用时，未按规定程序进行停机操作，未断开设备电源，未排空设备和管道内的氢氧混合气，未以氮气等对管道内的氢氧混合气进行有效的吹扫、置换； c) 场所内采用明火取暖，氢氧发生器未可靠接地，接地电阻不小于4.0Ω。</w:t>
            </w:r>
          </w:p>
        </w:tc>
        <w:tc>
          <w:tcPr>
            <w:tcW w:w="3889" w:type="dxa"/>
            <w:tcBorders>
              <w:tl2br w:val="nil"/>
              <w:tr2bl w:val="nil"/>
            </w:tcBorders>
            <w:vAlign w:val="center"/>
          </w:tcPr>
          <w:p>
            <w:pPr>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氢氧发生器设置场所应符合下列要求： a) 在使用氢氧发生器时，应即产即用，禁止储存、压缩氢氧混合气。设备不得在超压或负压状态下运行； b) 氢氧发生器停止使用时，首先按规定程序进行停机操作，断开设备电源，然后排空设备和管道内的氢氧混合气，并以氮气等对管道内的氢氧混合气进行有效的吹扫、置换； c) 场所内不应采用明火取暖，氢氧发生器应可靠接地，接地电阻应小于4.0Ω。</w:t>
            </w:r>
          </w:p>
        </w:tc>
        <w:tc>
          <w:tcPr>
            <w:tcW w:w="3868" w:type="dxa"/>
            <w:tcBorders>
              <w:tl2br w:val="nil"/>
              <w:tr2bl w:val="nil"/>
            </w:tcBorders>
            <w:vAlign w:val="center"/>
          </w:tcPr>
          <w:p>
            <w:pPr>
              <w:pStyle w:val="73"/>
              <w:widowControl w:val="0"/>
              <w:suppressAutoHyphens/>
              <w:autoSpaceDE w:val="0"/>
              <w:autoSpaceDN w:val="0"/>
              <w:adjustRightInd w:val="0"/>
              <w:snapToGrid w:val="0"/>
              <w:spacing w:before="0" w:beforeLines="0" w:after="0" w:afterLines="0" w:line="240" w:lineRule="auto"/>
              <w:jc w:val="both"/>
              <w:outlineLvl w:val="9"/>
              <w:rPr>
                <w:rFonts w:hint="eastAsia" w:ascii="仿宋_GB2312" w:hAnsi="仿宋_GB2312" w:eastAsia="仿宋_GB2312" w:cs="仿宋_GB2312"/>
                <w:color w:val="000000" w:themeColor="text1"/>
                <w:kern w:val="2"/>
                <w:sz w:val="20"/>
                <w:szCs w:val="20"/>
                <w14:textFill>
                  <w14:solidFill>
                    <w14:schemeClr w14:val="tx1"/>
                  </w14:solidFill>
                </w14:textFill>
              </w:rPr>
            </w:pPr>
            <w:r>
              <w:rPr>
                <w:rFonts w:hint="eastAsia" w:ascii="仿宋_GB2312" w:hAnsi="仿宋_GB2312" w:eastAsia="仿宋_GB2312" w:cs="仿宋_GB2312"/>
                <w:color w:val="000000" w:themeColor="text1"/>
                <w:kern w:val="2"/>
                <w:sz w:val="20"/>
                <w:szCs w:val="20"/>
                <w14:textFill>
                  <w14:solidFill>
                    <w14:schemeClr w14:val="tx1"/>
                  </w14:solidFill>
                </w14:textFill>
              </w:rPr>
              <w:t>《实验室危险化学品安全管理要求 第3部分：科研单位》（DB11/T 1191.3-2024）第5.2.4条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15.2.03.032</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辅助系统设备设施类</w:t>
            </w:r>
          </w:p>
        </w:tc>
        <w:tc>
          <w:tcPr>
            <w:tcW w:w="2861" w:type="dxa"/>
            <w:tcBorders>
              <w:tl2br w:val="nil"/>
              <w:tr2bl w:val="nil"/>
            </w:tcBorders>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液氧的储存、汽化、充装、使用场所周边20m内有明火，未在醒目位置设置禁火标志；场所周边5m内有通向低处场所（如地下室、坑穴、地井、沟渠）的开口，地沟入口处未设置挡液堰。</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液氧的储存、汽化、充装、使用场所周边20m内不应有明火，并应在醒目位置设置禁火标志；场所周边5m内不得有通向低处场所（如地下室、坑穴、地井、沟渠）的开口，地沟入口处应设置挡液堰。</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p>
        </w:tc>
        <w:tc>
          <w:tcPr>
            <w:tcW w:w="3868" w:type="dxa"/>
            <w:tcBorders>
              <w:tl2br w:val="nil"/>
              <w:tr2bl w:val="nil"/>
            </w:tcBorders>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1191.3-2024）第5.3.8条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4118" w:type="dxa"/>
            <w:gridSpan w:val="7"/>
            <w:tcBorders>
              <w:tl2br w:val="nil"/>
              <w:tr2bl w:val="nil"/>
            </w:tcBorders>
            <w:shd w:val="clear" w:color="auto" w:fill="95B3D7" w:themeFill="accent1" w:themeFillTint="99"/>
            <w:vAlign w:val="center"/>
          </w:tcPr>
          <w:p>
            <w:pPr>
              <w:widowControl/>
              <w:suppressAutoHyphens/>
              <w:adjustRightInd w:val="0"/>
              <w:snapToGrid w:val="0"/>
              <w:spacing w:after="0" w:line="240" w:lineRule="auto"/>
              <w:jc w:val="center"/>
              <w:rPr>
                <w:rFonts w:hint="eastAsia" w:ascii="仿宋_GB2312" w:hAnsi="黑体" w:cs="宋体"/>
                <w:b/>
                <w:kern w:val="0"/>
                <w:sz w:val="20"/>
                <w:szCs w:val="20"/>
              </w:rPr>
            </w:pPr>
            <w:r>
              <w:rPr>
                <w:rFonts w:hint="eastAsia" w:ascii="仿宋_GB2312" w:hAnsi="仿宋_GB2312" w:cs="仿宋_GB2312"/>
                <w:b/>
                <w:color w:val="000000"/>
                <w:kern w:val="0"/>
                <w:sz w:val="20"/>
                <w:szCs w:val="20"/>
                <w:lang w:bidi="ar"/>
              </w:rPr>
              <w:t>安全设施管理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15.2.11.033</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其他设备设施类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易燃易爆危险化学品储存场所、气瓶间外的出入口外未设置人体静电释放装置。</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易燃易爆危险化学品储存场所、气瓶间外的出入口外应设置人体静电释放装置。</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1191.1-2025）第6.9条；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1191.2-2025）第5.1.1条；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1191.3-2024）第6.4.2条</w:t>
            </w:r>
          </w:p>
        </w:tc>
        <w:tc>
          <w:tcPr>
            <w:tcW w:w="376" w:type="dxa"/>
            <w:tcBorders>
              <w:tl2br w:val="nil"/>
              <w:tr2bl w:val="nil"/>
            </w:tcBorders>
            <w:vAlign w:val="center"/>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15.2.09.034</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监控系统类</w:t>
            </w:r>
          </w:p>
        </w:tc>
        <w:tc>
          <w:tcPr>
            <w:tcW w:w="2861" w:type="dxa"/>
            <w:tcBorders>
              <w:tl2br w:val="nil"/>
              <w:tr2bl w:val="nil"/>
            </w:tcBorders>
            <w:vAlign w:val="center"/>
          </w:tcPr>
          <w:p>
            <w:pPr>
              <w:pStyle w:val="73"/>
              <w:widowControl w:val="0"/>
              <w:autoSpaceDE w:val="0"/>
              <w:autoSpaceDN w:val="0"/>
              <w:adjustRightInd w:val="0"/>
              <w:snapToGrid w:val="0"/>
              <w:spacing w:before="0" w:beforeLines="0" w:after="0" w:afterLines="0" w:line="240" w:lineRule="auto"/>
              <w:jc w:val="both"/>
              <w:outlineLvl w:val="9"/>
              <w:rPr>
                <w:rFonts w:hint="eastAsia" w:ascii="仿宋_GB2312" w:hAnsi="仿宋_GB2312" w:eastAsia="仿宋_GB2312" w:cs="仿宋_GB2312"/>
                <w:color w:val="000000" w:themeColor="text1"/>
                <w:kern w:val="2"/>
                <w:sz w:val="20"/>
                <w:szCs w:val="20"/>
                <w14:textFill>
                  <w14:solidFill>
                    <w14:schemeClr w14:val="tx1"/>
                  </w14:solidFill>
                </w14:textFill>
              </w:rPr>
            </w:pPr>
            <w:r>
              <w:rPr>
                <w:rFonts w:hint="eastAsia" w:ascii="仿宋_GB2312" w:hAnsi="仿宋_GB2312" w:eastAsia="仿宋_GB2312" w:cs="仿宋_GB2312"/>
                <w:color w:val="000000" w:themeColor="text1"/>
                <w:kern w:val="2"/>
                <w:sz w:val="20"/>
                <w:szCs w:val="20"/>
                <w14:textFill>
                  <w14:solidFill>
                    <w14:schemeClr w14:val="tx1"/>
                  </w14:solidFill>
                </w14:textFill>
              </w:rPr>
              <w:t>实验室、储存场所可能散发可燃气体、有毒气体的场所未设置可燃、有毒气体探测器或气体探测器功能失效；可能导致环境氧气浓度变化的场所未设置氧气探测器；探测器的终端未设置UPS备用电源和防雷插座。</w:t>
            </w:r>
          </w:p>
          <w:p>
            <w:pPr>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或大量使用危险气体且无气体浓度报警措施或通风设施不合格。</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普通高等学校涉及可燃和有毒有害气体泄漏的场所未按国家标准设置检测报警装置，爆炸危险场所未按国家标准安装使用防爆电气设备。</w:t>
            </w:r>
          </w:p>
        </w:tc>
        <w:tc>
          <w:tcPr>
            <w:tcW w:w="3889" w:type="dxa"/>
            <w:tcBorders>
              <w:tl2br w:val="nil"/>
              <w:tr2bl w:val="nil"/>
            </w:tcBorders>
            <w:vAlign w:val="center"/>
          </w:tcPr>
          <w:p>
            <w:pPr>
              <w:pStyle w:val="73"/>
              <w:widowControl w:val="0"/>
              <w:autoSpaceDE w:val="0"/>
              <w:autoSpaceDN w:val="0"/>
              <w:adjustRightInd w:val="0"/>
              <w:snapToGrid w:val="0"/>
              <w:spacing w:before="0" w:beforeLines="0" w:after="0" w:afterLines="0" w:line="240" w:lineRule="auto"/>
              <w:jc w:val="both"/>
              <w:outlineLvl w:val="9"/>
              <w:rPr>
                <w:rFonts w:hint="eastAsia" w:ascii="仿宋_GB2312" w:hAnsi="仿宋_GB2312" w:eastAsia="仿宋_GB2312" w:cs="仿宋_GB2312"/>
                <w:color w:val="000000" w:themeColor="text1"/>
                <w:kern w:val="2"/>
                <w:sz w:val="20"/>
                <w:szCs w:val="20"/>
                <w14:textFill>
                  <w14:solidFill>
                    <w14:schemeClr w14:val="tx1"/>
                  </w14:solidFill>
                </w14:textFill>
              </w:rPr>
            </w:pPr>
            <w:r>
              <w:rPr>
                <w:rFonts w:hint="eastAsia" w:ascii="仿宋_GB2312" w:hAnsi="仿宋_GB2312" w:eastAsia="仿宋_GB2312" w:cs="仿宋_GB2312"/>
                <w:color w:val="000000" w:themeColor="text1"/>
                <w:kern w:val="2"/>
                <w:sz w:val="20"/>
                <w:szCs w:val="20"/>
                <w14:textFill>
                  <w14:solidFill>
                    <w14:schemeClr w14:val="tx1"/>
                  </w14:solidFill>
                </w14:textFill>
              </w:rPr>
              <w:t>实验室、危险化学品储存场所可能散发可燃气体、有毒气体的场所，应根据气体的特性设置可燃、有毒气体探测器。可能导致环境氧气浓度变化的场所，应设置氧气探测器，安装高度宜距地坪或楼地板1.5m～2.0m。探测器的终端应设置备用电源，并宜符合GB 16808的要求。</w:t>
            </w:r>
          </w:p>
          <w:p>
            <w:pPr>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大量使用危险气体且无气体浓度报警措施或通风设施不合格</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ascii="仿宋_GB2312" w:hAnsi="仿宋_GB2312" w:cs="仿宋_GB2312"/>
                <w:color w:val="000000" w:themeColor="text1"/>
                <w:sz w:val="20"/>
                <w:szCs w:val="20"/>
                <w14:textFill>
                  <w14:solidFill>
                    <w14:schemeClr w14:val="tx1"/>
                  </w14:solidFill>
                </w14:textFill>
              </w:rPr>
              <w:t>存在可燃或有毒气体泄漏风险的场所未按设计要求设置气体探测器或气体探测器功能失效；GDS未投入使用。</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第六条（九）实验室（实训场所）内超量存放危险化学品；或大 量使用危险气体且无气体浓度报警措施或通风设施不合格；或 超规使用危险设备尤其是大型设备的。</w:t>
            </w:r>
          </w:p>
        </w:tc>
        <w:tc>
          <w:tcPr>
            <w:tcW w:w="3868" w:type="dxa"/>
            <w:tcBorders>
              <w:tl2br w:val="nil"/>
              <w:tr2bl w:val="nil"/>
            </w:tcBorders>
            <w:vAlign w:val="center"/>
          </w:tcPr>
          <w:p>
            <w:pPr>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《中华人民共和国安全生产法》第三十六条；</w:t>
            </w:r>
          </w:p>
          <w:p>
            <w:pPr>
              <w:autoSpaceDE w:val="0"/>
              <w:autoSpaceDN w:val="0"/>
              <w:adjustRightInd w:val="0"/>
              <w:snapToGrid w:val="0"/>
              <w:spacing w:after="0" w:line="240" w:lineRule="auto"/>
              <w:ind w:left="200" w:hanging="200" w:hangingChars="100"/>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《建筑设计防火规范（2018年版）》（GB 50016-2014）第8.4.3条；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《化工和危险化学品生产经营企业重大生产安全事故隐患判定准则（AQ3067-2026）》第</w:t>
            </w:r>
            <w:r>
              <w:rPr>
                <w:rFonts w:ascii="仿宋_GB2312" w:hAnsi="仿宋_GB2312" w:cs="仿宋_GB2312"/>
                <w:color w:val="000000" w:themeColor="text1"/>
                <w:sz w:val="20"/>
                <w:szCs w:val="20"/>
                <w14:textFill>
                  <w14:solidFill>
                    <w14:schemeClr w14:val="tx1"/>
                  </w14:solidFill>
                </w14:textFill>
              </w:rPr>
              <w:t>5.4.2</w:t>
            </w:r>
            <w:r>
              <w:rPr>
                <w:rFonts w:hint="eastAsia" w:ascii="仿宋_GB2312" w:hAnsi="仿宋_GB2312" w:cs="仿宋_GB2312"/>
                <w:color w:val="000000" w:themeColor="text1"/>
                <w:sz w:val="20"/>
                <w:szCs w:val="20"/>
                <w14:textFill>
                  <w14:solidFill>
                    <w14:schemeClr w14:val="tx1"/>
                  </w14:solidFill>
                </w14:textFill>
              </w:rPr>
              <w:t>；</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1191.1-2025）第6.1、6.2条；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1191.2-2025）第5.1.7条；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《教育系统重大事故隐患判定指南》第六条（九）</w:t>
            </w:r>
          </w:p>
          <w:p>
            <w:pPr>
              <w:pStyle w:val="73"/>
              <w:widowControl w:val="0"/>
              <w:suppressAutoHyphens/>
              <w:autoSpaceDE w:val="0"/>
              <w:autoSpaceDN w:val="0"/>
              <w:adjustRightInd w:val="0"/>
              <w:snapToGrid w:val="0"/>
              <w:spacing w:before="0" w:beforeLines="0" w:after="0" w:afterLines="0" w:line="240" w:lineRule="auto"/>
              <w:jc w:val="both"/>
              <w:outlineLvl w:val="9"/>
              <w:rPr>
                <w:rFonts w:hint="eastAsia" w:ascii="仿宋_GB2312" w:hAnsi="仿宋_GB2312" w:eastAsia="仿宋_GB2312" w:cs="仿宋_GB2312"/>
                <w:color w:val="000000" w:themeColor="text1"/>
                <w:kern w:val="2"/>
                <w:sz w:val="20"/>
                <w:szCs w:val="20"/>
                <w14:textFill>
                  <w14:solidFill>
                    <w14:schemeClr w14:val="tx1"/>
                  </w14:solidFill>
                </w14:textFill>
              </w:rPr>
            </w:pPr>
            <w:r>
              <w:rPr>
                <w:rFonts w:hint="eastAsia" w:ascii="仿宋_GB2312" w:hAnsi="仿宋_GB2312" w:eastAsia="仿宋_GB2312" w:cs="仿宋_GB2312"/>
                <w:color w:val="000000" w:themeColor="text1"/>
                <w:kern w:val="2"/>
                <w:sz w:val="20"/>
                <w:szCs w:val="20"/>
                <w14:textFill>
                  <w14:solidFill>
                    <w14:schemeClr w14:val="tx1"/>
                  </w14:solidFill>
                </w14:textFill>
              </w:rPr>
              <w:t>《实验室危险化学品安全管理要求 第3部分：科研单位》（DB11/T 1191.3-2024）第6.1.2、6.1.3、6.1.4条</w:t>
            </w:r>
          </w:p>
        </w:tc>
        <w:tc>
          <w:tcPr>
            <w:tcW w:w="376" w:type="dxa"/>
            <w:tcBorders>
              <w:tl2br w:val="nil"/>
              <w:tr2bl w:val="nil"/>
            </w:tcBorders>
            <w:vAlign w:val="center"/>
          </w:tcPr>
          <w:p>
            <w:pPr>
              <w:widowControl/>
              <w:suppressAutoHyphens/>
              <w:adjustRightInd w:val="0"/>
              <w:snapToGrid w:val="0"/>
              <w:spacing w:after="0" w:line="240" w:lineRule="auto"/>
              <w:jc w:val="center"/>
              <w:rPr>
                <w:rFonts w:hint="eastAsia" w:ascii="仿宋_GB2312" w:hAnsi="黑体" w:cs="宋体"/>
                <w:b/>
                <w:kern w:val="0"/>
                <w:sz w:val="20"/>
                <w:szCs w:val="20"/>
              </w:rPr>
            </w:pPr>
            <w:r>
              <w:rPr>
                <w:rFonts w:hint="eastAsia" w:ascii="仿宋_GB2312" w:hAnsi="仿宋_GB2312" w:cs="仿宋_GB2312"/>
                <w:b/>
                <w:color w:val="000000" w:themeColor="text1"/>
                <w:kern w:val="0"/>
                <w:sz w:val="20"/>
                <w:szCs w:val="20"/>
                <w14:textFill>
                  <w14:solidFill>
                    <w14:schemeClr w14:val="tx1"/>
                  </w14:solidFill>
                </w14:textFill>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15.2.09.035</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监控系统类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探测器无现场报警功能，未与风机联锁，信号未传到24h有人值班的房间或相关负责人的移动终端；探测器的终端未设置备用电源。</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各类探测器应有现场报警功能，并应与风机联锁，信号应能传到24h有人值班的房间或相关负责人的移动终端。探测器的终端应设置备用电源，并宜符合GB 16808的要求。</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1191.1-2025）第6.2条；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1191.2-2025）第5.1.7条；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1191.3-2024）第6.1.3条</w:t>
            </w:r>
          </w:p>
        </w:tc>
        <w:tc>
          <w:tcPr>
            <w:tcW w:w="376" w:type="dxa"/>
            <w:tcBorders>
              <w:tl2br w:val="nil"/>
              <w:tr2bl w:val="nil"/>
            </w:tcBorders>
            <w:vAlign w:val="center"/>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15.4.04.036</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场所环境类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作业环境类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实验室、危险化学品储存场所未设置通风设施；设置位置和换气次数不符合要求。</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实验室、危险化学品储存场所应设置通风设施，通风设施吸风口宜设在散发气体可能最大或聚集最多的地点。机械通风正常通风换气次数不少于6次/h，事故排风换气次数不应少于12次/h。</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1191.1-2025）第6.3条；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1191.2-2025）第5.1.6条；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1191.3-2024）第6.1.5条</w:t>
            </w:r>
          </w:p>
        </w:tc>
        <w:tc>
          <w:tcPr>
            <w:tcW w:w="376" w:type="dxa"/>
            <w:tcBorders>
              <w:tl2br w:val="nil"/>
              <w:tr2bl w:val="nil"/>
            </w:tcBorders>
            <w:vAlign w:val="center"/>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15.3.03.037</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人员类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个体防护用品实用类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存在毒性、腐蚀性、刺激性危害的实验室、危险化学品储存场所未设计洗眼器、淋洗器等；防护半径大于15m，洗消水无收集设施。</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存在毒性、腐蚀性、刺激性危害的实验室、危险化学品储存场所应设置洗眼器、淋洗器等安全冲洗装置，其服务半径应不大于 15m，安全冲洗装置宜安放在接近危险的位置，但须考虑到使用设备时冲洗液可能存在四处飞溅的危险或其他危险（例如暴露的有电导体）。洗消水应有收集设施。</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1191.1-2025）第6.4条；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1191.2-2025）第5.1.11条；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1191.3-2024）第6.2.4条;</w:t>
            </w:r>
          </w:p>
        </w:tc>
        <w:tc>
          <w:tcPr>
            <w:tcW w:w="376" w:type="dxa"/>
            <w:tcBorders>
              <w:tl2br w:val="nil"/>
              <w:tr2bl w:val="nil"/>
            </w:tcBorders>
            <w:vAlign w:val="center"/>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15.2.03.038</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辅助系统设备设施类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气瓶应配置气瓶柜或气瓶未配备防倒链、防倒栏栅等设备；可燃气体气瓶采用金属防倒链；气瓶位置不避雨通风。</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实验室、危险化学品储存场所的气瓶应配置气瓶柜或气瓶防倒链、防倒栏栅等设备，可燃气体气瓶不应采用金属防倒链，放在室外的气瓶应设置在避雨通风的安全区域。</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1191.1-2025）第6.5条；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1191.2-2025）第5.3.7条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1191.3-2024）第7.2.1条e）</w:t>
            </w:r>
          </w:p>
        </w:tc>
        <w:tc>
          <w:tcPr>
            <w:tcW w:w="376" w:type="dxa"/>
            <w:tcBorders>
              <w:tl2br w:val="nil"/>
              <w:tr2bl w:val="nil"/>
            </w:tcBorders>
            <w:vAlign w:val="center"/>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15.2.11.039</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其他设备设施类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未在实验室、危险化学品储存场所明显和便于取用的位置设置灭火器、灭火毯、消防沙等必要的消防器材。</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应按照实验室、危险化学品储存场所危险化学品的性质及GB 50140的要求，明显和便于取用的位置设置灭火器、灭火毯、消防沙等必要的消防器材。</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1191.1-2025）第6.6条；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1191.2-2025）第5.1.12条；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1191.3-2024）第6.1.7条</w:t>
            </w:r>
          </w:p>
        </w:tc>
        <w:tc>
          <w:tcPr>
            <w:tcW w:w="376" w:type="dxa"/>
            <w:tcBorders>
              <w:tl2br w:val="nil"/>
              <w:tr2bl w:val="nil"/>
            </w:tcBorders>
            <w:vAlign w:val="center"/>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15.3.03.040</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人员类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个体防护用品使用类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未为作业人员配备个体防护装备；未设置急救箱或急救包。</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应为作业人员配备符合GB39800.1规定的个体防护装备。在实验室方便取用的地点设置急救箱或急救包。有专人适时检查补充,配备物品应包括消毒药剂、烫伤药、创伤药、化学灼伤药等具有针对性疗效的药品以及其他必要的急救药品，并应确保药品在安全有效期内。</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1191.1-2025）第6.7节；</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1191.2-2025）第7.5.2条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1191.3-2024）第6.1.8条</w:t>
            </w:r>
          </w:p>
        </w:tc>
        <w:tc>
          <w:tcPr>
            <w:tcW w:w="376" w:type="dxa"/>
            <w:tcBorders>
              <w:tl2br w:val="nil"/>
              <w:tr2bl w:val="nil"/>
            </w:tcBorders>
            <w:vAlign w:val="center"/>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15.2.09.041</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监控系统类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实验室、储存场所爆炸性气体环境0区～2区或爆炸性粉尘环境20区～22区未使用防爆</w:t>
            </w:r>
            <w:r>
              <w:rPr>
                <w:rFonts w:ascii="仿宋_GB2312" w:hAnsi="仿宋_GB2312" w:cs="仿宋_GB2312"/>
                <w:color w:val="000000" w:themeColor="text1"/>
                <w:sz w:val="20"/>
                <w:szCs w:val="20"/>
                <w14:textFill>
                  <w14:solidFill>
                    <w14:schemeClr w14:val="tx1"/>
                  </w14:solidFill>
                </w14:textFill>
              </w:rPr>
              <w:t>电气</w:t>
            </w:r>
            <w:r>
              <w:rPr>
                <w:rFonts w:hint="eastAsia" w:ascii="仿宋_GB2312" w:hAnsi="仿宋_GB2312" w:cs="仿宋_GB2312"/>
                <w:color w:val="000000" w:themeColor="text1"/>
                <w:sz w:val="20"/>
                <w:szCs w:val="20"/>
                <w14:textFill>
                  <w14:solidFill>
                    <w14:schemeClr w14:val="tx1"/>
                  </w14:solidFill>
                </w14:textFill>
              </w:rPr>
              <w:t>设备；</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可能散发可燃气体的实验室、危险化学品储存场所的电气设施未采取接地措施</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属于爆炸性气体环境 0 区～2 区或爆炸性粉尘环境20区～22区的实验室，包括通风橱、电气仪表等均应使用相应防爆等级的防爆设备；室内通风橱、仪表等电气设备设施均应使用相应防爆等级的防爆设备，通风橱内不应设置或放置插座、插头、接线板。</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储存易燃易爆危险化学品的储存柜、货架及排风管路等设备设施，可能散发可燃气体的实验室、危险化学品储存场所的电气设施应有良好的接地措施，且电气设施的防爆应符合GB 50058的要求。</w:t>
            </w:r>
          </w:p>
          <w:p>
            <w:pPr>
              <w:pStyle w:val="2"/>
              <w:adjustRightInd w:val="0"/>
              <w:snapToGrid w:val="0"/>
              <w:spacing w:after="0" w:line="240" w:lineRule="auto"/>
              <w:ind w:firstLine="0" w:firstLineChars="0"/>
              <w:rPr>
                <w:rFonts w:hint="eastAsia" w:ascii="仿宋_GB2312" w:hAnsi="仿宋_GB2312" w:eastAsia="仿宋_GB2312" w:cs="仿宋_GB2312"/>
                <w:color w:val="000000" w:themeColor="text1"/>
                <w:kern w:val="2"/>
                <w:sz w:val="20"/>
                <w:szCs w:val="20"/>
                <w14:textFill>
                  <w14:solidFill>
                    <w14:schemeClr w14:val="tx1"/>
                  </w14:solidFill>
                </w14:textFill>
              </w:rPr>
            </w:pPr>
            <w:r>
              <w:rPr>
                <w:rFonts w:ascii="仿宋_GB2312" w:hAnsi="仿宋_GB2312" w:eastAsia="仿宋_GB2312" w:cs="仿宋_GB2312"/>
                <w:color w:val="000000" w:themeColor="text1"/>
                <w:kern w:val="2"/>
                <w:sz w:val="20"/>
                <w:szCs w:val="20"/>
                <w14:textFill>
                  <w14:solidFill>
                    <w14:schemeClr w14:val="tx1"/>
                  </w14:solidFill>
                </w14:textFill>
              </w:rPr>
              <w:t>爆炸危险场所未按标准规范要求安装使用防爆电气设备。</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1191.1-2025）第6.8节；</w:t>
            </w:r>
          </w:p>
          <w:p>
            <w:pPr>
              <w:suppressAutoHyphens/>
              <w:autoSpaceDE w:val="0"/>
              <w:autoSpaceDN w:val="0"/>
              <w:adjustRightInd w:val="0"/>
              <w:snapToGrid w:val="0"/>
              <w:spacing w:after="0" w:line="240" w:lineRule="auto"/>
              <w:rPr>
                <w:sz w:val="20"/>
                <w:szCs w:val="20"/>
              </w:rPr>
            </w:pPr>
            <w:r>
              <w:rPr>
                <w:rFonts w:hint="eastAsia" w:ascii="仿宋_GB2312" w:hAnsi="仿宋_GB2312" w:cs="仿宋_GB2312"/>
                <w:color w:val="000000" w:themeColor="text1"/>
                <w:sz w:val="20"/>
                <w:szCs w:val="20"/>
                <w14:textFill>
                  <w14:solidFill>
                    <w14:schemeClr w14:val="tx1"/>
                  </w14:solidFill>
                </w14:textFill>
              </w:rPr>
              <w:t>《化工和危险化学品生产经营企业重大生产安全事故隐患判定准则（AQ3067-2026）》第</w:t>
            </w:r>
            <w:r>
              <w:rPr>
                <w:rFonts w:ascii="仿宋_GB2312" w:hAnsi="仿宋_GB2312" w:cs="仿宋_GB2312"/>
                <w:color w:val="000000" w:themeColor="text1"/>
                <w:sz w:val="20"/>
                <w:szCs w:val="20"/>
                <w14:textFill>
                  <w14:solidFill>
                    <w14:schemeClr w14:val="tx1"/>
                  </w14:solidFill>
                </w14:textFill>
              </w:rPr>
              <w:t>5.4.</w:t>
            </w:r>
            <w:r>
              <w:rPr>
                <w:rFonts w:hint="eastAsia" w:ascii="仿宋_GB2312" w:hAnsi="仿宋_GB2312" w:cs="仿宋_GB2312"/>
                <w:color w:val="000000" w:themeColor="text1"/>
                <w:sz w:val="20"/>
                <w:szCs w:val="20"/>
                <w14:textFill>
                  <w14:solidFill>
                    <w14:schemeClr w14:val="tx1"/>
                  </w14:solidFill>
                </w14:textFill>
              </w:rPr>
              <w:t>3；</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1191.2-2025）第5.1.6、5.3.2条；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1191.3-2024）第6.1.6、6.2.1、8.2.4条</w:t>
            </w:r>
          </w:p>
        </w:tc>
        <w:tc>
          <w:tcPr>
            <w:tcW w:w="376" w:type="dxa"/>
            <w:tcBorders>
              <w:tl2br w:val="nil"/>
              <w:tr2bl w:val="nil"/>
            </w:tcBorders>
            <w:vAlign w:val="center"/>
          </w:tcPr>
          <w:p>
            <w:pPr>
              <w:widowControl/>
              <w:suppressAutoHyphens/>
              <w:adjustRightInd w:val="0"/>
              <w:snapToGrid w:val="0"/>
              <w:spacing w:after="0" w:line="240" w:lineRule="auto"/>
              <w:jc w:val="center"/>
              <w:rPr>
                <w:rFonts w:hint="eastAsia" w:ascii="仿宋_GB2312" w:hAnsi="黑体" w:cs="宋体"/>
                <w:b/>
                <w:kern w:val="0"/>
                <w:sz w:val="20"/>
                <w:szCs w:val="20"/>
              </w:rPr>
            </w:pPr>
            <w:r>
              <w:rPr>
                <w:rFonts w:hint="eastAsia" w:ascii="仿宋_GB2312" w:hAnsi="黑体" w:cs="宋体"/>
                <w:b/>
                <w:kern w:val="0"/>
                <w:sz w:val="20"/>
                <w:szCs w:val="20"/>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15.2.09.042</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监控系统类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储存场所未配备温、湿度检测仪，未设置视频监控设备，照明、通风等电气设施的开关未设置在门外。</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危险化学品储存场所应配备温、湿度检测仪，设置视频监控设备，照明、通风等电气设施的开关应设置在门外。</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1191.1-2025）第6.9条；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1191.2-2025）第6.1.10、5.3.3条；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1191.3-2024）第6.1.15条</w:t>
            </w:r>
          </w:p>
        </w:tc>
        <w:tc>
          <w:tcPr>
            <w:tcW w:w="376" w:type="dxa"/>
            <w:tcBorders>
              <w:tl2br w:val="nil"/>
              <w:tr2bl w:val="nil"/>
            </w:tcBorders>
            <w:vAlign w:val="center"/>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15.2.12.043</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在实验室对危险化学品进行分装、改装和堆积可燃性物品</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不应在实验室对危险化学品进行分装、改装和堆积可燃性物品。</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1191.1-2025）第8.3.3条;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1191.3-2024）第8.5.1条；</w:t>
            </w:r>
          </w:p>
        </w:tc>
        <w:tc>
          <w:tcPr>
            <w:tcW w:w="376" w:type="dxa"/>
            <w:tcBorders>
              <w:tl2br w:val="nil"/>
              <w:tr2bl w:val="nil"/>
            </w:tcBorders>
            <w:vAlign w:val="center"/>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15.2.12.044</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使用通常用于贮存饮料及生活用品的容器盛放危险化学品。</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不应使用通常用于贮存饮料及生活用品的容器盛放危险化学品。</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1191.1-2025）第7.1.3条；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1191.3-2024）第7.1.2条</w:t>
            </w:r>
          </w:p>
        </w:tc>
        <w:tc>
          <w:tcPr>
            <w:tcW w:w="376" w:type="dxa"/>
            <w:tcBorders>
              <w:tl2br w:val="nil"/>
              <w:tr2bl w:val="nil"/>
            </w:tcBorders>
            <w:vAlign w:val="center"/>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15.1.07.045</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基础资料类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风险辨识类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使用危险化学品从事科研实验前未开展安全风险辨识、评估。</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使用危险化学品从事科研实验前应开展安全风险辨识、评估。</w:t>
            </w:r>
          </w:p>
        </w:tc>
        <w:tc>
          <w:tcPr>
            <w:tcW w:w="3868" w:type="dxa"/>
            <w:tcBorders>
              <w:tl2br w:val="nil"/>
              <w:tr2bl w:val="nil"/>
            </w:tcBorders>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1191.3-2024）第8.1.3条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15.1.07.046</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基础资料类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风险辨识类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科研单位对于涉及国家重点监管危险化工工艺和其它危险工艺的实验装置，未委托专业机构进行风险评估或安全现状评价</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对于涉及国家重点监管危险化工工艺和其它危险工艺的实验装置和危险化学品储存场所，应每3年委托专业机构进行风险评估或安全现状评价，并根据评估结果采取相应措施保证工艺安全。</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1191.3-2024）第8.1.12条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4118" w:type="dxa"/>
            <w:gridSpan w:val="7"/>
            <w:tcBorders>
              <w:tl2br w:val="nil"/>
              <w:tr2bl w:val="nil"/>
            </w:tcBorders>
            <w:shd w:val="clear" w:color="auto" w:fill="95B3D7" w:themeFill="accent1" w:themeFillTint="99"/>
            <w:vAlign w:val="center"/>
          </w:tcPr>
          <w:p>
            <w:pPr>
              <w:widowControl/>
              <w:suppressAutoHyphens/>
              <w:adjustRightInd w:val="0"/>
              <w:snapToGrid w:val="0"/>
              <w:spacing w:after="0" w:line="240" w:lineRule="auto"/>
              <w:jc w:val="center"/>
              <w:rPr>
                <w:rFonts w:hint="eastAsia" w:ascii="仿宋_GB2312" w:hAnsi="黑体" w:cs="宋体"/>
                <w:b/>
                <w:kern w:val="0"/>
                <w:sz w:val="20"/>
                <w:szCs w:val="20"/>
              </w:rPr>
            </w:pPr>
            <w:r>
              <w:rPr>
                <w:rFonts w:hint="eastAsia" w:ascii="仿宋_GB2312" w:hAnsi="仿宋_GB2312" w:cs="仿宋_GB2312"/>
                <w:b/>
                <w:color w:val="000000"/>
                <w:kern w:val="0"/>
                <w:sz w:val="20"/>
                <w:szCs w:val="20"/>
                <w:lang w:bidi="ar"/>
              </w:rPr>
              <w:t>储存基本要求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15.4.05.047</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场所环境类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周边环境类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储存场所贴邻食堂、会议室、活动室等人员较为密集的场所。</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危险化学品储存场所应远离食堂、会议室、活动室等人员较为密集的场所。</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1191.3-2024）第5.3.1条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15.4.04.048</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场所环境类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作业环境类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储存场所内设置员工宿舍或休息室。</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危险化学品储存场所内不应设置员工宿舍或休息室。</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1191.3-2024）第5.3.2条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15.4.04.049</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场所环境类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作业环境类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储存场所地面不平整、耐磨、防滑；储存腐蚀性危险化学品的专用储存室地面未做防腐处理；气瓶间的地面会产生火花。</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危险化学品储存场所地面应平整、耐磨、防滑，并应符合下列要求： a） 储存腐蚀性危险化学品的专用储存室地面应做防腐处理； b） 气瓶间的地面应不产生火花。</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1191.3-2024）第5.3.3条</w:t>
            </w:r>
          </w:p>
        </w:tc>
        <w:tc>
          <w:tcPr>
            <w:tcW w:w="376" w:type="dxa"/>
            <w:tcBorders>
              <w:tl2br w:val="nil"/>
              <w:tr2bl w:val="nil"/>
            </w:tcBorders>
            <w:vAlign w:val="center"/>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15.4.04.050</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场所环境类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作业环境类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专用储存室、储存易燃气体、有毒气体的气瓶间内中央空调未设置独立通风系统。</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危险化学品专用储存室、储存易燃气体、有毒气体的气瓶间内不应使用与其他房间相连的中央空调，应设置独立通风系统。</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1191.3-2024）第5.3.4条</w:t>
            </w:r>
          </w:p>
        </w:tc>
        <w:tc>
          <w:tcPr>
            <w:tcW w:w="376" w:type="dxa"/>
            <w:tcBorders>
              <w:tl2br w:val="nil"/>
              <w:tr2bl w:val="nil"/>
            </w:tcBorders>
            <w:vAlign w:val="center"/>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15.2.12.051</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危险化学品储存场所内存放普通化学品。</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危险化学品应储存在专用的危险化学品储存场所，危险化学品储存场所内不应存放普通化学品。</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1191.1-2025）第7.1.1条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15.2.12.052</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使用食品饮料包装容器盛放危险化学品。</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不应使用食品饮料包装容器盛放危险化学品。</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1191.1-2025）第7.1.3条；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1191.3-2024）第7.1.2条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15.2.12.053</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危险化学品包装损坏，封口不严密。</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危险化学品包装应完好，封口应严密。</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1191.1-2025）第7.1.4条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15.2.12.054</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危险化学品储存场所无专人负责管理。</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危险化学品储存场所应由专人负责管理。</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1191.1-2025）第7.1.5条；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1191.2-2025）第7.2.1条；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1191.3-2024）第7.1.3条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15.2.12.055</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储存场所未见储存危险化学品的清单。</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危险化学品储存场所应有储存危险化学品的清单。</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1191.1-2025）第7.1.6条；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1191.2-2025）第6.1.10条；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1191.3-2024）第7.1.4条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15.2.12.056</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实验室、专用储存场所禁忌物品同柜储存。</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lang w:eastAsia="zh-CN"/>
                <w14:textFill>
                  <w14:solidFill>
                    <w14:schemeClr w14:val="tx1"/>
                  </w14:solidFill>
                </w14:textFill>
              </w:rPr>
              <w:t>化工、医药制造企业</w:t>
            </w:r>
            <w:r>
              <w:rPr>
                <w:rFonts w:hint="eastAsia" w:ascii="仿宋_GB2312" w:hAnsi="仿宋_GB2312" w:cs="仿宋_GB2312"/>
                <w:color w:val="000000" w:themeColor="text1"/>
                <w:sz w:val="20"/>
                <w:szCs w:val="20"/>
                <w14:textFill>
                  <w14:solidFill>
                    <w14:schemeClr w14:val="tx1"/>
                  </w14:solidFill>
                </w14:textFill>
              </w:rPr>
              <w:t>专用储存室、储存柜未按GB15603等标准规范分区分类储存危险化学品，超量、超品种储存危险化学品，相互禁配物质混放混存</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专用储存室、储存柜储存危险化学品时，禁忌物品不应同柜储存。</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ascii="仿宋_GB2312" w:hAnsi="仿宋_GB2312" w:cs="仿宋_GB2312"/>
                <w:color w:val="000000" w:themeColor="text1"/>
                <w:sz w:val="20"/>
                <w:szCs w:val="20"/>
                <w14:textFill>
                  <w14:solidFill>
                    <w14:schemeClr w14:val="tx1"/>
                  </w14:solidFill>
                </w14:textFill>
              </w:rPr>
              <w:t>未按</w:t>
            </w:r>
            <w:r>
              <w:rPr>
                <w:rFonts w:hint="eastAsia" w:ascii="仿宋_GB2312" w:hAnsi="仿宋_GB2312" w:cs="仿宋_GB2312"/>
                <w:color w:val="000000" w:themeColor="text1"/>
                <w:sz w:val="20"/>
                <w:szCs w:val="20"/>
                <w14:textFill>
                  <w14:solidFill>
                    <w14:schemeClr w14:val="tx1"/>
                  </w14:solidFill>
                </w14:textFill>
              </w:rPr>
              <w:t>GB15603等</w:t>
            </w:r>
            <w:r>
              <w:rPr>
                <w:rFonts w:ascii="仿宋_GB2312" w:hAnsi="仿宋_GB2312" w:cs="仿宋_GB2312"/>
                <w:color w:val="000000" w:themeColor="text1"/>
                <w:sz w:val="20"/>
                <w:szCs w:val="20"/>
                <w14:textFill>
                  <w14:solidFill>
                    <w14:schemeClr w14:val="tx1"/>
                  </w14:solidFill>
                </w14:textFill>
              </w:rPr>
              <w:t>标准规范要求分区分类储存危险化学品；超量、超品种储存危险化学品；相互禁配物质混放混存。</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1191.1-2025）第7.1.8条；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《化工和危险化学品生产经营企业重大生产安全事故隐患判定准则（AQ3067-2026）》第</w:t>
            </w:r>
            <w:r>
              <w:rPr>
                <w:rFonts w:ascii="仿宋_GB2312" w:hAnsi="仿宋_GB2312" w:cs="仿宋_GB2312"/>
                <w:color w:val="000000" w:themeColor="text1"/>
                <w:sz w:val="20"/>
                <w:szCs w:val="20"/>
                <w14:textFill>
                  <w14:solidFill>
                    <w14:schemeClr w14:val="tx1"/>
                  </w14:solidFill>
                </w14:textFill>
              </w:rPr>
              <w:t>5.5.8</w:t>
            </w:r>
            <w:r>
              <w:rPr>
                <w:rFonts w:hint="eastAsia" w:ascii="仿宋_GB2312" w:hAnsi="仿宋_GB2312" w:cs="仿宋_GB2312"/>
                <w:color w:val="000000" w:themeColor="text1"/>
                <w:sz w:val="20"/>
                <w:szCs w:val="20"/>
                <w14:textFill>
                  <w14:solidFill>
                    <w14:schemeClr w14:val="tx1"/>
                  </w14:solidFill>
                </w14:textFill>
              </w:rPr>
              <w:t>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1191.2-2025）第6.1.9条；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1191.3-2024）第7.1.6条</w:t>
            </w:r>
          </w:p>
        </w:tc>
        <w:tc>
          <w:tcPr>
            <w:tcW w:w="376" w:type="dxa"/>
            <w:tcBorders>
              <w:tl2br w:val="nil"/>
              <w:tr2bl w:val="nil"/>
            </w:tcBorders>
            <w:vAlign w:val="center"/>
          </w:tcPr>
          <w:p>
            <w:pPr>
              <w:widowControl/>
              <w:suppressAutoHyphens/>
              <w:adjustRightInd w:val="0"/>
              <w:snapToGrid w:val="0"/>
              <w:spacing w:after="0" w:line="240" w:lineRule="auto"/>
              <w:jc w:val="center"/>
              <w:rPr>
                <w:rFonts w:hint="eastAsia" w:ascii="仿宋_GB2312" w:hAnsi="黑体" w:cs="宋体"/>
                <w:b/>
                <w:kern w:val="0"/>
                <w:sz w:val="20"/>
                <w:szCs w:val="20"/>
              </w:rPr>
            </w:pPr>
            <w:r>
              <w:rPr>
                <w:rFonts w:hint="eastAsia" w:ascii="仿宋_GB2312" w:hAnsi="仿宋_GB2312" w:cs="仿宋_GB2312"/>
                <w:b/>
                <w:color w:val="000000" w:themeColor="text1"/>
                <w:kern w:val="0"/>
                <w:sz w:val="20"/>
                <w:szCs w:val="20"/>
                <w14:textFill>
                  <w14:solidFill>
                    <w14:schemeClr w14:val="tx1"/>
                  </w14:solidFill>
                </w14:textFill>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15.4.04.057</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场所环境类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作业环境类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储存设施被遮挡、占压消防设备、安全设施、安全标志和人员疏散通道。</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危险化学品储存场所内的储存设施不应遮挡、占压消防设备、安全设施、安全标志和人员疏散通道。</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1191.1-2025）第7.1.7条</w:t>
            </w:r>
          </w:p>
        </w:tc>
        <w:tc>
          <w:tcPr>
            <w:tcW w:w="376" w:type="dxa"/>
            <w:tcBorders>
              <w:tl2br w:val="nil"/>
              <w:tr2bl w:val="nil"/>
            </w:tcBorders>
            <w:vAlign w:val="center"/>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15.4.04.058</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场所环境类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作业环境类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储存柜被阳光直晒及靠近暖气等热源，贴邻实验台设置。</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储存柜应避免阳光直晒及靠近暖气等热源，不宜贴邻实验台设置。</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1191.1-2025）第7.1.9条</w:t>
            </w:r>
          </w:p>
        </w:tc>
        <w:tc>
          <w:tcPr>
            <w:tcW w:w="376" w:type="dxa"/>
            <w:tcBorders>
              <w:tl2br w:val="nil"/>
              <w:tr2bl w:val="nil"/>
            </w:tcBorders>
            <w:vAlign w:val="center"/>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15.2.14.059</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其它类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工业企业实验室及储存场所储存液体类危险化学品无防遗洒措施；托盘的容量过小。</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储存液体类危险化学品应有防遗洒措施；托盘存放时，托盘的容量不宜小于托盘中最大容器容积的150%和所有容器容积总和的10%中的最大者。</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1191.1-2025）第7.1.10条</w:t>
            </w:r>
          </w:p>
        </w:tc>
        <w:tc>
          <w:tcPr>
            <w:tcW w:w="376" w:type="dxa"/>
            <w:tcBorders>
              <w:tl2br w:val="nil"/>
              <w:tr2bl w:val="nil"/>
            </w:tcBorders>
            <w:vAlign w:val="center"/>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15.3.14.060</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其它类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汇流排间储存气瓶。</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气体汇流排间不应储存气瓶。确需储存备用气瓶时，该汇流排间所有气瓶计入储存气瓶总数。</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1191.1-2025）第7.1.11条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1191.2-2025）第7.4.8条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p>
        </w:tc>
        <w:tc>
          <w:tcPr>
            <w:tcW w:w="376" w:type="dxa"/>
            <w:tcBorders>
              <w:tl2br w:val="nil"/>
              <w:tr2bl w:val="nil"/>
            </w:tcBorders>
            <w:vAlign w:val="center"/>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4118" w:type="dxa"/>
            <w:gridSpan w:val="7"/>
            <w:tcBorders>
              <w:tl2br w:val="nil"/>
              <w:tr2bl w:val="nil"/>
            </w:tcBorders>
            <w:shd w:val="clear" w:color="auto" w:fill="95B3D7" w:themeFill="accent1" w:themeFillTint="99"/>
            <w:vAlign w:val="center"/>
          </w:tcPr>
          <w:p>
            <w:pPr>
              <w:widowControl/>
              <w:suppressAutoHyphens/>
              <w:adjustRightInd w:val="0"/>
              <w:snapToGrid w:val="0"/>
              <w:spacing w:after="0" w:line="240" w:lineRule="auto"/>
              <w:jc w:val="center"/>
              <w:rPr>
                <w:rFonts w:hint="eastAsia" w:ascii="仿宋_GB2312" w:hAnsi="黑体" w:cs="宋体"/>
                <w:b/>
                <w:kern w:val="0"/>
                <w:sz w:val="20"/>
                <w:szCs w:val="20"/>
              </w:rPr>
            </w:pPr>
            <w:r>
              <w:rPr>
                <w:rFonts w:hint="eastAsia" w:ascii="仿宋_GB2312" w:hAnsi="仿宋_GB2312" w:cs="仿宋_GB2312"/>
                <w:b/>
                <w:color w:val="000000"/>
                <w:kern w:val="0"/>
                <w:sz w:val="20"/>
                <w:szCs w:val="20"/>
                <w:lang w:bidi="ar"/>
              </w:rPr>
              <w:t>实验室储存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15.2.12.061</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在实验台、实验台上货架、台下柜储存危险化学品，实验室危险化学品未储存在危险化学品储存柜中。</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实验室危险化学品应储存在危险化学品储存柜中。实验台、实验台上货架、台下柜不应储存危险化学品。</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1191.1-2025）第7.4.1条；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1191.3-2024）第7.2.1条f)</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15.2.12.062</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每间实验室内超量存放的危险化学品放总量</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普通高等学校实验室（实训场所）内超量存放危险化学品</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每间实验室内存放的除压缩气体和液化气体外的危险化学品存放总量不应超过100L或100kg，其中易燃液体类危险化学品的存放总量不应超过50 L或50 kg。</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第六条（九）实验室（实训场所）内超量存放危险化学品</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《教育系统重大事故隐患判定指南》第六条（九）；</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1191.1-2025）第7.4.2条；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1191.2-2025）第7.3.3条a);</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1191.3-2024）第7.2.1条a);</w:t>
            </w:r>
          </w:p>
        </w:tc>
        <w:tc>
          <w:tcPr>
            <w:tcW w:w="376" w:type="dxa"/>
            <w:tcBorders>
              <w:tl2br w:val="nil"/>
              <w:tr2bl w:val="nil"/>
            </w:tcBorders>
            <w:vAlign w:val="center"/>
          </w:tcPr>
          <w:p>
            <w:pPr>
              <w:widowControl/>
              <w:suppressAutoHyphens/>
              <w:adjustRightInd w:val="0"/>
              <w:snapToGrid w:val="0"/>
              <w:spacing w:after="0" w:line="240" w:lineRule="auto"/>
              <w:jc w:val="center"/>
              <w:rPr>
                <w:rFonts w:hint="eastAsia" w:ascii="仿宋_GB2312" w:hAnsi="黑体" w:cs="宋体"/>
                <w:b/>
                <w:kern w:val="0"/>
                <w:sz w:val="20"/>
                <w:szCs w:val="20"/>
              </w:rPr>
            </w:pPr>
            <w:r>
              <w:rPr>
                <w:rFonts w:hint="eastAsia" w:ascii="仿宋_GB2312" w:hAnsi="仿宋_GB2312" w:cs="仿宋_GB2312"/>
                <w:b/>
                <w:color w:val="000000" w:themeColor="text1"/>
                <w:kern w:val="0"/>
                <w:sz w:val="20"/>
                <w:szCs w:val="20"/>
                <w14:textFill>
                  <w14:solidFill>
                    <w14:schemeClr w14:val="tx1"/>
                  </w14:solidFill>
                </w14:textFill>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15.2.11.063</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其他设备设施类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实验室内储存备用气瓶、空瓶，在用气瓶未放置在气瓶柜内。</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实验室内不应储存备用气瓶、空瓶，在用气瓶宜放置在气瓶柜内。</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1191.1-2025）第8.3.2条；《实验室危险化学品安全管理要求 第2部分：普通高等学校》（DB11/T 1191.2-2025）第5.3.7、7.4.5条；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1191.3-2024）第6.2.3条</w:t>
            </w:r>
          </w:p>
        </w:tc>
        <w:tc>
          <w:tcPr>
            <w:tcW w:w="376" w:type="dxa"/>
            <w:tcBorders>
              <w:tl2br w:val="nil"/>
              <w:tr2bl w:val="nil"/>
            </w:tcBorders>
            <w:vAlign w:val="center"/>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15.2.12.064</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易燃液体类、氧化性和有机过氧化物类危险化学品单一包装容器超量。</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易燃液体类、氧化性和有机过氧化物类危险化学品单一包装容器不应大于25L或25kg。</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 xml:space="preserve">《实验室危险化学品安全管理要求 第1部分：工业企业》（DB11/T 1191.1-2025）第7.4.4条; </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1191.2-2025）第7.3.3条a);</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1191.3-2024）第7.2.1条a)</w:t>
            </w:r>
          </w:p>
        </w:tc>
        <w:tc>
          <w:tcPr>
            <w:tcW w:w="376" w:type="dxa"/>
            <w:tcBorders>
              <w:tl2br w:val="nil"/>
              <w:tr2bl w:val="nil"/>
            </w:tcBorders>
            <w:vAlign w:val="center"/>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15.2.12.065</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需要低温储存的易燃易爆危险化学品未存放在专用防爆型冰箱内。</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需要低温储存的易燃易爆危险化学品应存放在专用防爆型冰箱内。</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 xml:space="preserve">《实验室危险化学品安全管理要求 第1部分：工业企业》（DB11/T 1191.1-2025）第7.4.5条; </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1191.2-2025）第7.3.2条b);</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1191.3-2024）第7.2.3条a)</w:t>
            </w:r>
          </w:p>
        </w:tc>
        <w:tc>
          <w:tcPr>
            <w:tcW w:w="376" w:type="dxa"/>
            <w:tcBorders>
              <w:tl2br w:val="nil"/>
              <w:tr2bl w:val="nil"/>
            </w:tcBorders>
            <w:vAlign w:val="center"/>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15.2.12.066</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腐蚀性化学品未单独放在耐腐蚀材料制成的储存柜或容器中。</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腐蚀性化学品宜单独放在耐腐蚀材料制成的储存柜或容器中。</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1191.1-2025）第7.4.6条；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 xml:space="preserve">《实验室危险化学品安全管理要求 第2部分：普通高等学校》（DB11/T 1191.2-2025）第7.3.2条c); </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1191.3-2024）第7.2.3条b)</w:t>
            </w:r>
          </w:p>
        </w:tc>
        <w:tc>
          <w:tcPr>
            <w:tcW w:w="376" w:type="dxa"/>
            <w:tcBorders>
              <w:tl2br w:val="nil"/>
              <w:tr2bl w:val="nil"/>
            </w:tcBorders>
            <w:vAlign w:val="center"/>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4118" w:type="dxa"/>
            <w:gridSpan w:val="7"/>
            <w:tcBorders>
              <w:tl2br w:val="nil"/>
              <w:tr2bl w:val="nil"/>
            </w:tcBorders>
            <w:shd w:val="clear" w:color="auto" w:fill="95B3D7" w:themeFill="accent1" w:themeFillTint="99"/>
            <w:vAlign w:val="center"/>
          </w:tcPr>
          <w:p>
            <w:pPr>
              <w:widowControl/>
              <w:suppressAutoHyphens/>
              <w:adjustRightInd w:val="0"/>
              <w:snapToGrid w:val="0"/>
              <w:spacing w:after="0" w:line="240" w:lineRule="auto"/>
              <w:jc w:val="center"/>
              <w:rPr>
                <w:rFonts w:hint="eastAsia" w:ascii="仿宋_GB2312" w:hAnsi="黑体" w:cs="宋体"/>
                <w:b/>
                <w:kern w:val="0"/>
                <w:sz w:val="20"/>
                <w:szCs w:val="20"/>
              </w:rPr>
            </w:pPr>
            <w:r>
              <w:rPr>
                <w:rFonts w:hint="eastAsia" w:ascii="仿宋_GB2312" w:hAnsi="仿宋_GB2312" w:cs="仿宋_GB2312"/>
                <w:b/>
                <w:color w:val="000000"/>
                <w:kern w:val="0"/>
                <w:sz w:val="20"/>
                <w:szCs w:val="20"/>
                <w:lang w:bidi="ar"/>
              </w:rPr>
              <w:t>危险化学品储存柜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15.4.04.067</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场所环境类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作业环境类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危险化学品储存柜、气瓶柜放置于办公室、通道和露天存放。储存柜未避免阳光直晒及靠近暖气等热源，贴邻实验台设置储存柜。</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危险化学品储存柜、气瓶柜禁止放置于办公室、通道和露天存放。储存柜应避免阳光直晒及靠近暖气等热源，不宜贴邻实验台设置。</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1191.1-2025）第7.1.9条；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1191.2-2025）第7.3.4条；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1191.3-2024）第7.1.7条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15.2.11.068</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其他设备设施类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危险化学品储存柜未设置有进风口和排风口，不具有强制通风和吸收净化功能。确实不具备设置外部通风条件的储存柜未设置过滤系统。存放剧毒或高毒气体的气瓶柜未连接到通风设施。</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危险化学品储存柜应有进风口和排风口，应具有强制通风和吸收净化功能。确实不具备设置外部通风条件的储存柜应设置过滤系统。存放剧毒或高毒气体的气瓶柜应连接到通风设施。</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1191.1-2025）第6.10条；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1191.2-2025）第6.10条；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1191.3-2024）第6.6.1、6.6.2条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15.2.12.069</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每个储存柜的危险化学品存放总量超过50L或50kg。</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每个储存柜的危险化学品存放总量不应超过50 L或50 kg。</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1191.1-2025）第7.3.4条；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 xml:space="preserve">《实验室危险化学品安全管理要求 第3部分：科研单位》（DB11/T 1191.3-2024）第7.2.1条b） </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15.2.12.070</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需低温存放的易燃易爆危险化学品未存放在具有防爆功能的冰箱内。</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需低温存放的易燃易爆危险化学品应存放在具有防爆功能的冰箱内。</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1191.1-2025）第7.4.5条；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1191.3-2024）第7.2.3条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15.2.12.071</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腐蚀性化学品未单独存放在具有防腐蚀功能的储存柜内，并未设置防遗撒托盘。</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腐蚀性化学品应单独存放在具有防腐蚀功能的储存柜内，并有防遗撒托盘。</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 xml:space="preserve">《实验室危险化学品安全管理要求 第1部分：工业企业》（DB11/T 1191.1-2025）第7.4.6条; </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1191.3-2024）第7.2.3条b）</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15.2.12.072</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实验室储存柜及储存场所爆炸性化学品、易制毒化学品和易制爆危险化学品未与其他危险化学品分开存放。</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爆炸性化学品、易制毒化学品和易制爆危险化学品应与其他危险化学品分开存放。</w:t>
            </w:r>
          </w:p>
          <w:p>
            <w:pPr>
              <w:pStyle w:val="2"/>
              <w:adjustRightInd w:val="0"/>
              <w:snapToGrid w:val="0"/>
              <w:spacing w:after="0" w:line="240" w:lineRule="auto"/>
              <w:ind w:firstLine="0" w:firstLineChars="0"/>
              <w:rPr>
                <w:rFonts w:hint="eastAsia" w:ascii="仿宋_GB2312" w:hAnsi="仿宋_GB2312" w:cs="仿宋_GB2312"/>
                <w:color w:val="000000" w:themeColor="text1"/>
                <w:sz w:val="20"/>
                <w:szCs w:val="20"/>
                <w14:textFill>
                  <w14:solidFill>
                    <w14:schemeClr w14:val="tx1"/>
                  </w14:solidFill>
                </w14:textFill>
              </w:rPr>
            </w:pPr>
            <w:r>
              <w:rPr>
                <w:rFonts w:ascii="仿宋_GB2312" w:hAnsi="仿宋_GB2312" w:eastAsia="仿宋_GB2312" w:cs="仿宋_GB2312"/>
                <w:color w:val="000000" w:themeColor="text1"/>
                <w:kern w:val="2"/>
                <w:sz w:val="20"/>
                <w:szCs w:val="20"/>
                <w14:textFill>
                  <w14:solidFill>
                    <w14:schemeClr w14:val="tx1"/>
                  </w14:solidFill>
                </w14:textFill>
              </w:rPr>
              <w:t>未按</w:t>
            </w:r>
            <w:r>
              <w:rPr>
                <w:rFonts w:hint="eastAsia" w:ascii="仿宋_GB2312" w:hAnsi="仿宋_GB2312" w:cs="仿宋_GB2312"/>
                <w:color w:val="000000" w:themeColor="text1"/>
                <w:sz w:val="20"/>
                <w:szCs w:val="20"/>
                <w14:textFill>
                  <w14:solidFill>
                    <w14:schemeClr w14:val="tx1"/>
                  </w14:solidFill>
                </w14:textFill>
              </w:rPr>
              <w:t>GB15603等</w:t>
            </w:r>
            <w:r>
              <w:rPr>
                <w:rFonts w:ascii="仿宋_GB2312" w:hAnsi="仿宋_GB2312" w:eastAsia="仿宋_GB2312" w:cs="仿宋_GB2312"/>
                <w:color w:val="000000" w:themeColor="text1"/>
                <w:kern w:val="2"/>
                <w:sz w:val="20"/>
                <w:szCs w:val="20"/>
                <w14:textFill>
                  <w14:solidFill>
                    <w14:schemeClr w14:val="tx1"/>
                  </w14:solidFill>
                </w14:textFill>
              </w:rPr>
              <w:t>标准规范要求分区分类储存危险化学品</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《危险化学品安全管理条例》第二十四条第二款</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《化工和危险化学品生产经营企业重大生产安全事故隐患判定准则（AQ3067-2026）》第</w:t>
            </w:r>
            <w:r>
              <w:rPr>
                <w:rFonts w:ascii="仿宋_GB2312" w:hAnsi="仿宋_GB2312" w:cs="仿宋_GB2312"/>
                <w:color w:val="000000" w:themeColor="text1"/>
                <w:sz w:val="20"/>
                <w:szCs w:val="20"/>
                <w14:textFill>
                  <w14:solidFill>
                    <w14:schemeClr w14:val="tx1"/>
                  </w14:solidFill>
                </w14:textFill>
              </w:rPr>
              <w:t>5.5.8</w:t>
            </w:r>
            <w:r>
              <w:rPr>
                <w:rFonts w:hint="eastAsia" w:ascii="仿宋_GB2312" w:hAnsi="仿宋_GB2312" w:cs="仿宋_GB2312"/>
                <w:color w:val="000000" w:themeColor="text1"/>
                <w:sz w:val="20"/>
                <w:szCs w:val="20"/>
                <w14:textFill>
                  <w14:solidFill>
                    <w14:schemeClr w14:val="tx1"/>
                  </w14:solidFill>
                </w14:textFill>
              </w:rPr>
              <w:t>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r>
              <w:rPr>
                <w:rFonts w:hint="eastAsia" w:ascii="仿宋_GB2312" w:hAnsi="仿宋_GB2312" w:cs="仿宋_GB2312"/>
                <w:b/>
                <w:color w:val="000000" w:themeColor="text1"/>
                <w:kern w:val="0"/>
                <w:sz w:val="20"/>
                <w:szCs w:val="20"/>
                <w14:textFill>
                  <w14:solidFill>
                    <w14:schemeClr w14:val="tx1"/>
                  </w14:solidFill>
                </w14:textFill>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15.2.12.073</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爆炸品、剧毒化学品未单独存放在双锁的专用储存柜中，未实行“五双”制度管理。</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爆炸品、剧毒化学品应单独存放在双锁的专用储存柜中，实行“五双”（双人验收、双人保管、双人发货、双把锁、双本账）制度管理。</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1191.1-2025）第8.2.3条；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1191.2-2025）第6.1.6条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15.2.11.074</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其他设备设施类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存放易燃易爆危险化学品的储存柜未设置导出静电的接地装置，未可靠接地。</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存放易燃易爆危险化学品的储存柜应有导出静电的接地装置并可靠接地。</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1191.1-2025）第6.8条;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1191.3-2024）第6.6.1条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15.2.12.075</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储存液体类危险化学品未设置防遗洒措施；托盘存放时，托盘的容量过小。</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储存液体类危险化学品应有防遗洒措施；托盘存放时，托盘的容量不宜小于托盘中最大容器容积的150%和所有容器容积总和的10%中的最大者。或托盘的剩余容量不应小于本托盘中最大容器的容量。</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1191.1-2025）第7.1.10条；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1191.3-2024）第7.2.3条d）</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15.4.03.076</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场所环境类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标志及标识类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在储存柜上未张贴安全警示标志和危险化学品清单。</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应根据所储存的危险化学品的危险特性，在储存柜上张贴安全警示标志和危险化学品清单。</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1191.1-2025）第4.4.3条；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1191.2-2025）第4.5.4条；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1191.3-2024）第4.3.2条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15.3.02.077</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人员类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操作行为类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单独的危险化学品试剂瓶未放入专用储存柜中，随意存放。</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单独的危险化学品试剂瓶应放入专用储存柜中，禁止随意存放。</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1191.1-2025）第7.4.1条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15.4.04.078</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场所环境类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作业环境类</w:t>
            </w:r>
          </w:p>
        </w:tc>
        <w:tc>
          <w:tcPr>
            <w:tcW w:w="2861" w:type="dxa"/>
            <w:tcBorders>
              <w:tl2br w:val="nil"/>
              <w:tr2bl w:val="nil"/>
            </w:tcBorders>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科研单位在下列实验室内设置危险化学品储存柜： a) 涉及危险化工工艺的实验室； b) 具有火灾、爆炸风险的实验室； c) 可能产生高温的实验室。</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下列实验室内不宜设置危险化学品储存柜： a) 涉及危险化工工艺的实验室； b) 具有火灾、爆炸风险的实验室； c) 可能产生高温的实验室。</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1191.3-2024）第7.2.5条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4118" w:type="dxa"/>
            <w:gridSpan w:val="7"/>
            <w:tcBorders>
              <w:tl2br w:val="nil"/>
              <w:tr2bl w:val="nil"/>
            </w:tcBorders>
            <w:shd w:val="clear" w:color="auto" w:fill="95B3D7" w:themeFill="accent1" w:themeFillTint="99"/>
            <w:vAlign w:val="center"/>
          </w:tcPr>
          <w:p>
            <w:pPr>
              <w:widowControl/>
              <w:suppressAutoHyphens/>
              <w:adjustRightInd w:val="0"/>
              <w:snapToGrid w:val="0"/>
              <w:spacing w:after="0" w:line="240" w:lineRule="auto"/>
              <w:jc w:val="center"/>
              <w:rPr>
                <w:rFonts w:hint="eastAsia" w:ascii="仿宋_GB2312" w:hAnsi="黑体" w:cs="宋体"/>
                <w:b/>
                <w:kern w:val="0"/>
                <w:sz w:val="20"/>
                <w:szCs w:val="20"/>
              </w:rPr>
            </w:pPr>
            <w:r>
              <w:rPr>
                <w:rFonts w:hint="eastAsia" w:ascii="仿宋_GB2312" w:hAnsi="仿宋_GB2312" w:cs="仿宋_GB2312"/>
                <w:b/>
                <w:color w:val="000000"/>
                <w:kern w:val="0"/>
                <w:sz w:val="20"/>
                <w:szCs w:val="20"/>
                <w:lang w:bidi="ar"/>
              </w:rPr>
              <w:t>专用储存室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15.4.01.079</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场所环境类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作业环境类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未按存放量设置专用储存室。</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下列情况应设置专用储存室：</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a） 易燃液体类危险化学品存放总量不超过 0.5 t或一昼夜使用量；</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b） 氧化性物质和有机过氧化物类危险化学品存放总量 不超过0.5 t或一昼夜使用量；</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c） 腐蚀类危险化学品存放总量不超过1 t或一昼夜使用量。</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d）在不违反危险化学品储存禁忌规定的情况下，单一储存室内存储的危险化学品为多品种时，按照式（1）计算，a 的值小于 1。</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a = q1/Q1 + q2/Q2 + ...+ qn/Qn ...... （1）</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式中：q1,q2,…,qn ——每类危险化学品的实际存放量；</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Q1,Q2,…,Qn ——每类危险化学品相对应的最大存放量。</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1191.1-2025）第7.3.1、7.1.12条；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1191.2-2025）第6.2.1条；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1191.3-2024）第7.3.1条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15.4.01.080</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场所环境类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平面布置类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危险化学品的单一包装超50 L或50 kg。</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危险化学品的单一包装不应超50 L或50 kg。</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1191.1-2025）第7.3.2条；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1191.1-2025）第6.2.2条；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1191.3-2024）第7.3.2条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15.4.01.081</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场所环境类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平面布置类类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一个防火分区内布置2间及以上危险化学品专用储存室时，危险化学品储存总量未合并计算，并超过1间危险化学品专用储存室的存放总量要求。</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一个防火分区内布置2间及以上危险化学品专用储存室时，危险化学品储存总量应合并计算，并不应超过1间危险化学品专用储存室的存放总量要求。</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1191.1-2025）第7.3.3条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15.4.04.082</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场所环境类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作业环境类类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堆垛存放时，堆码未整齐、牢固、无倒置，堆垛之间未保持1 m以上的距离，堆垛与墙、柱间距未保持30cm以上的距离。</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堆垛存放时，堆码应整齐、牢固、无倒置，堆垛之间应保持1m以上的距离，堆垛与墙、柱间距应保持30cm以上的距离。</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《危险化学品仓库储存通则》(GB15603-2022)6.2.5条b)c)d)；</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1191.1-2025）第7.3.4条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15.2.12.083</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危险化学品直接与地面接触，垫底高度小于10cm。</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危险化学品不应直接与地面接触，垫底高度不应小于10 cm。</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《危险化学品仓库储存通则》（GB15603-2022）第6.2.2条;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1191.1-2025）第7.3.5条；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1191.3-2024）第7.3.4条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15.2.11.084</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其他设备设施类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货架未采取固定措施。</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采用货架存放时货架应采取固定措施。</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《危险化学品储存场所建设及储存安全要求》（DB11/T 755）第5.2.3条；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1191.1-2025）第7.3.6条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15.4.04.085</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场所环境类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作业环境类类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储存室如与其他建筑物贴邻设置时，有门、窗与相邻建筑物相通。</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储存室如与其他建筑物贴邻设置时，不应有门、窗与相邻建筑物相通。</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1191.1-2025）第5.3.5、5.3.6条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15.4.03.086</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场所环境类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标志及标识类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储存室外未设置明显的安全警示标志。</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储存室外应设置明显的安全警示标志。</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1191.3-2024）第6.8.3、8.1.16条；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1191.2-2025）第4.5.3条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15.2.11.087</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其他设备设施类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储存室未设防爆型通风设施，未在储存间外设置事故通风紧急开关。</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储存室应设防爆型通风设施，并在储存间外设置事故通风紧急开关。</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《安全生产等级评定技术规范 第2部分：安全生产通用要求》（DB11/T 1322.2-2017）第3.8.4.6条；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1191.3-2024）第6.5.5条；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1191.1-2025）第6.9条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15.2.11.088</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其他设备设施类</w:t>
            </w:r>
          </w:p>
        </w:tc>
        <w:tc>
          <w:tcPr>
            <w:tcW w:w="2861" w:type="dxa"/>
            <w:tcBorders>
              <w:tl2br w:val="nil"/>
              <w:tr2bl w:val="nil"/>
            </w:tcBorders>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储存室内使用与其他房间相连的中央空调，未设置独立通风系统。</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储存室内不应使用与其他房间相连的中央空调，应设置独立通风系统。</w:t>
            </w:r>
          </w:p>
        </w:tc>
        <w:tc>
          <w:tcPr>
            <w:tcW w:w="3868" w:type="dxa"/>
            <w:tcBorders>
              <w:tl2br w:val="nil"/>
              <w:tr2bl w:val="nil"/>
            </w:tcBorders>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1191.3-2024）第5.3.4条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15.2.11.089</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其他设备设施类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危险化学品专用储存室内应设置温、湿度检测仪。存储对温度或/和湿度有特殊要求的危险化学品时未设置相应的温度或/和湿度检测和调节设备设施。</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危险化学品专用储存室内应设置温、湿度检测仪。存储对温度或/和湿度有特殊要求的危险化学品时，专用储存室内应按照GB 17914设置相应的温度或/和湿度检测和调节设备设施。</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《易燃易爆性商品储存养护技术条件》（GB 17914-2013）；</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1191.3-2024）第6.4.3条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15.2.11.090</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其他设备设施类</w:t>
            </w:r>
          </w:p>
        </w:tc>
        <w:tc>
          <w:tcPr>
            <w:tcW w:w="2861" w:type="dxa"/>
            <w:tcBorders>
              <w:tl2br w:val="nil"/>
              <w:tr2bl w:val="nil"/>
            </w:tcBorders>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储存室未配备防爆型电气设备，如防爆灯、防爆开关、防爆插座等。</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储存室应配备防爆型电气设备，如防爆灯、防爆开关、防爆插座等。</w:t>
            </w:r>
          </w:p>
        </w:tc>
        <w:tc>
          <w:tcPr>
            <w:tcW w:w="3868" w:type="dxa"/>
            <w:tcBorders>
              <w:tl2br w:val="nil"/>
              <w:tr2bl w:val="nil"/>
            </w:tcBorders>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1191.3-2024）第6.4.1条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15.2.11.091</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其他设备设施类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在爆炸危险场所的储存室设置非防爆的配电盒、配电箱以及其它非防爆电器。</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不应在储存室设置非防爆的配电盒、配电箱以及其它非防爆电器。</w:t>
            </w:r>
          </w:p>
          <w:p>
            <w:pPr>
              <w:suppressAutoHyphens/>
              <w:autoSpaceDE w:val="0"/>
              <w:autoSpaceDN w:val="0"/>
              <w:adjustRightInd w:val="0"/>
              <w:snapToGrid w:val="0"/>
              <w:spacing w:after="0" w:line="240" w:lineRule="auto"/>
              <w:rPr>
                <w:sz w:val="20"/>
                <w:szCs w:val="20"/>
              </w:rPr>
            </w:pPr>
            <w:r>
              <w:rPr>
                <w:rFonts w:ascii="仿宋_GB2312" w:hAnsi="仿宋_GB2312" w:cs="仿宋_GB2312"/>
                <w:color w:val="000000" w:themeColor="text1"/>
                <w:sz w:val="20"/>
                <w:szCs w:val="20"/>
                <w14:textFill>
                  <w14:solidFill>
                    <w14:schemeClr w14:val="tx1"/>
                  </w14:solidFill>
                </w14:textFill>
              </w:rPr>
              <w:t>爆炸危险场所未按标准规范要求安装使用防爆电气设备。</w:t>
            </w:r>
          </w:p>
        </w:tc>
        <w:tc>
          <w:tcPr>
            <w:tcW w:w="3868" w:type="dxa"/>
            <w:tcBorders>
              <w:tl2br w:val="nil"/>
              <w:tr2bl w:val="nil"/>
            </w:tcBorders>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1191.1-2025）第6.8条；</w:t>
            </w:r>
          </w:p>
          <w:p>
            <w:pPr>
              <w:suppressAutoHyphens/>
              <w:autoSpaceDE w:val="0"/>
              <w:autoSpaceDN w:val="0"/>
              <w:adjustRightInd w:val="0"/>
              <w:snapToGrid w:val="0"/>
              <w:spacing w:after="0" w:line="240" w:lineRule="auto"/>
              <w:rPr>
                <w:sz w:val="20"/>
                <w:szCs w:val="20"/>
              </w:rPr>
            </w:pPr>
            <w:r>
              <w:rPr>
                <w:rFonts w:hint="eastAsia" w:ascii="仿宋_GB2312" w:hAnsi="仿宋_GB2312" w:cs="仿宋_GB2312"/>
                <w:color w:val="000000" w:themeColor="text1"/>
                <w:sz w:val="20"/>
                <w:szCs w:val="20"/>
                <w14:textFill>
                  <w14:solidFill>
                    <w14:schemeClr w14:val="tx1"/>
                  </w14:solidFill>
                </w14:textFill>
              </w:rPr>
              <w:t>《化工和危险化学品生产经营企业重大生产安全事故隐患判定准则（AQ3067-2026）》第</w:t>
            </w:r>
            <w:r>
              <w:rPr>
                <w:rFonts w:ascii="仿宋_GB2312" w:hAnsi="仿宋_GB2312" w:cs="仿宋_GB2312"/>
                <w:color w:val="000000" w:themeColor="text1"/>
                <w:sz w:val="20"/>
                <w:szCs w:val="20"/>
                <w14:textFill>
                  <w14:solidFill>
                    <w14:schemeClr w14:val="tx1"/>
                  </w14:solidFill>
                </w14:textFill>
              </w:rPr>
              <w:t>5.4.</w:t>
            </w:r>
            <w:r>
              <w:rPr>
                <w:rFonts w:hint="eastAsia" w:ascii="仿宋_GB2312" w:hAnsi="仿宋_GB2312" w:cs="仿宋_GB2312"/>
                <w:color w:val="000000" w:themeColor="text1"/>
                <w:sz w:val="20"/>
                <w:szCs w:val="20"/>
                <w14:textFill>
                  <w14:solidFill>
                    <w14:schemeClr w14:val="tx1"/>
                  </w14:solidFill>
                </w14:textFill>
              </w:rPr>
              <w:t>3条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r>
              <w:rPr>
                <w:rFonts w:hint="eastAsia" w:ascii="仿宋_GB2312" w:hAnsi="黑体" w:cs="宋体"/>
                <w:b/>
                <w:kern w:val="0"/>
                <w:sz w:val="20"/>
                <w:szCs w:val="20"/>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4118" w:type="dxa"/>
            <w:gridSpan w:val="7"/>
            <w:tcBorders>
              <w:tl2br w:val="nil"/>
              <w:tr2bl w:val="nil"/>
            </w:tcBorders>
            <w:shd w:val="clear" w:color="auto" w:fill="95B3D7" w:themeFill="accent1" w:themeFillTint="99"/>
            <w:vAlign w:val="center"/>
          </w:tcPr>
          <w:p>
            <w:pPr>
              <w:widowControl/>
              <w:suppressAutoHyphens/>
              <w:adjustRightInd w:val="0"/>
              <w:snapToGrid w:val="0"/>
              <w:spacing w:after="0" w:line="240" w:lineRule="auto"/>
              <w:jc w:val="center"/>
              <w:rPr>
                <w:rFonts w:hint="eastAsia" w:ascii="仿宋_GB2312" w:hAnsi="黑体" w:cs="宋体"/>
                <w:bCs/>
                <w:kern w:val="0"/>
                <w:sz w:val="20"/>
                <w:szCs w:val="20"/>
              </w:rPr>
            </w:pPr>
            <w:r>
              <w:rPr>
                <w:rFonts w:hint="eastAsia" w:ascii="仿宋_GB2312" w:hAnsi="黑体" w:cs="宋体"/>
                <w:bCs/>
                <w:kern w:val="0"/>
                <w:sz w:val="20"/>
                <w:szCs w:val="20"/>
              </w:rPr>
              <w:t>气瓶间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15.2.11.092</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其他设备设施类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未按存放量设置气瓶室。</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下列情况应设置气瓶室:</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a） 易燃气体存放总量 36 Nm3（如工作压力 15 MPa 时相当于 40 L 的 6 瓶）以下或不超过一昼夜使用量；</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b） 非易燃无毒气体存放总量 60 Nm3（如工作压力 15 MPa 时相当于 40 L 的 10 瓶）以下或不超过一昼夜使用量；</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c）在不违反危险化学品储存禁忌规定的情况下，单一气瓶室内存储的气瓶为多品种时，按照式（1）计算，a的值小于 1。</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a = q1/Q1 + q2/Q2 + ...+ qn/Qn ...... （1）</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式中：q1,q2,…,qn ——每类危险化学品的实际存放量；</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Q1,Q2,…,Qn ——每类危险化学品相对应的最大存放量。</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d） 一个防火分区内布置2间及以上危险化学品气瓶间时，危险化学品储存总量应合并计算，并不应超过1间危险化学品气瓶间的存放总量要求。</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《安全生产等级评定技术规范 第2部分：安全生产通用要求》（DB11/T 1322.2-2017）第3.8.1.10条；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1191.1-2025）第7.1.12条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15.2.11.093</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其他设备设施类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气瓶间未单独设置，与其他建筑物贴邻设置时，有门、窗相通。</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气瓶间应单独设置，与其他建筑物贴邻设置时，不应有门、窗相通。</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1191.3-2024）第5.3.6条a）</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15.2.11.094</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其他设备设施类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使用气体未配置气瓶柜或气瓶防倒链、防倒栏栅等设备。备用气瓶、空瓶存放在实验室内。</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使用气体应配置气瓶柜或气瓶防倒链、防倒栏栅等设备。备用气瓶、空瓶不应存放在实验室内。</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《气瓶搬运、装卸、储存和使用安全规定》（GB /T 34525-2017）第8.2.8条；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1191.3-2024）第6.2.3条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15.2.11.095</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其他设备设施类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实验区内设置氢气、乙炔、环氧乙烷气瓶，未设置在专用防爆柜中，未设置可燃气体浓度检测报警器，其排风管未使用不燃材料，并未直接通向室外安全地点。</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气瓶柜未设置可燃气体浓度检测报警器。</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实验区内禁止设置氢气、乙炔、环氧乙烷气瓶，必须设置时，应设置在专用防爆柜中，并设置可燃气体浓度检测报警器，其排风管应使用不燃材料，并应直接通向室外安全地点。</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ascii="仿宋_GB2312" w:hAnsi="仿宋_GB2312" w:cs="仿宋_GB2312"/>
                <w:color w:val="000000" w:themeColor="text1"/>
                <w:sz w:val="20"/>
                <w:szCs w:val="20"/>
                <w14:textFill>
                  <w14:solidFill>
                    <w14:schemeClr w14:val="tx1"/>
                  </w14:solidFill>
                </w14:textFill>
              </w:rPr>
              <w:t>存在可燃或有毒气体泄漏风险的场所未按设计要求设置气体探测器或气体探测器功能失效；GDS未投入使用。</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《石油化工可燃气体和有毒气体检测报警设计标准》GB/T50493-2019 3 基本规定：3.0.1-3.0.5；</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1191.3-2024）第6.2.4条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《化工和危险化学品生产经营企业重大生产安全事故隐患判定准则（AQ3067-2026）》第</w:t>
            </w:r>
            <w:r>
              <w:rPr>
                <w:rFonts w:ascii="仿宋_GB2312" w:hAnsi="仿宋_GB2312" w:cs="仿宋_GB2312"/>
                <w:color w:val="000000" w:themeColor="text1"/>
                <w:sz w:val="20"/>
                <w:szCs w:val="20"/>
                <w14:textFill>
                  <w14:solidFill>
                    <w14:schemeClr w14:val="tx1"/>
                  </w14:solidFill>
                </w14:textFill>
              </w:rPr>
              <w:t>5.4.2</w:t>
            </w:r>
            <w:r>
              <w:rPr>
                <w:rFonts w:hint="eastAsia" w:ascii="仿宋_GB2312" w:hAnsi="仿宋_GB2312" w:cs="仿宋_GB2312"/>
                <w:color w:val="000000" w:themeColor="text1"/>
                <w:sz w:val="20"/>
                <w:szCs w:val="20"/>
                <w14:textFill>
                  <w14:solidFill>
                    <w14:schemeClr w14:val="tx1"/>
                  </w14:solidFill>
                </w14:textFill>
              </w:rPr>
              <w:t>条</w:t>
            </w:r>
          </w:p>
        </w:tc>
        <w:tc>
          <w:tcPr>
            <w:tcW w:w="376" w:type="dxa"/>
            <w:tcBorders>
              <w:tl2br w:val="nil"/>
              <w:tr2bl w:val="nil"/>
            </w:tcBorders>
            <w:vAlign w:val="center"/>
          </w:tcPr>
          <w:p>
            <w:pPr>
              <w:widowControl/>
              <w:suppressAutoHyphens/>
              <w:adjustRightInd w:val="0"/>
              <w:snapToGrid w:val="0"/>
              <w:spacing w:after="0" w:line="240" w:lineRule="auto"/>
              <w:jc w:val="center"/>
              <w:rPr>
                <w:rFonts w:hint="eastAsia" w:ascii="仿宋_GB2312" w:hAnsi="黑体" w:cs="宋体"/>
                <w:b/>
                <w:kern w:val="0"/>
                <w:sz w:val="20"/>
                <w:szCs w:val="20"/>
              </w:rPr>
            </w:pPr>
            <w:r>
              <w:rPr>
                <w:rFonts w:hint="eastAsia" w:ascii="仿宋_GB2312" w:hAnsi="仿宋_GB2312" w:cs="仿宋_GB2312"/>
                <w:b/>
                <w:color w:val="000000" w:themeColor="text1"/>
                <w:kern w:val="0"/>
                <w:sz w:val="20"/>
                <w:szCs w:val="20"/>
                <w14:textFill>
                  <w14:solidFill>
                    <w14:schemeClr w14:val="tx1"/>
                  </w14:solidFill>
                </w14:textFill>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15.2.11.096</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其他设备设施类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室内气瓶室未设通风设施，并在气瓶间外未设置事故通风紧急开关。存放剧毒或高毒气体的气瓶柜未连接到通风设施。</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室内气瓶室应设通风设施，并在气瓶间外设置事故通风紧急开关。存放剧毒或高毒气体的气瓶柜应连接到通风设施。</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1191.1-2025）第6.10条；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1191.2-2025）第5.2.3条；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1191.3-2024）第6.5.4条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15.2.11.097</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其他设备设施类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设置在建筑物内的气瓶间未设通风设施，可能散发易燃气体的气瓶间未设置防爆型通风设施。存可能散发易燃、毒性气体或蒸气气瓶间的机械通风换气次数不符合要求。</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设置在建筑物内的气瓶间应设通风设施，可能散发易燃气体的气瓶间应设置防爆型通风设施。 储存可能散发易燃、毒性气体或蒸气气瓶间的机械通风正常通风换气次数不少于 6 次/h，事故排风换气次数不应少于12次/h，并应在气瓶间外设置事故通风紧急按钮。存放其他气体的气瓶间正常通风换 气次数应不少于3次/h。</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1191.1-2025）第6.3条；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1191.3-2024）第6.5.5条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15.2.09.098</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监控系统类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储存有易燃气体的室内气瓶室未整体防爆；未应按照气体危险区域2区的要求进行防爆电器选型及安装。未安装可燃气体检测报警器，未与防爆风机联锁。</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（7）储存有易燃气体的室内气瓶室应整体防爆，除经特殊的评估或论证外，至少应按照气体危险区域2区的要求进行防爆电器选型及安装。应安装可燃气体检测报警器并与防爆风机联锁。</w:t>
            </w:r>
          </w:p>
        </w:tc>
        <w:tc>
          <w:tcPr>
            <w:tcW w:w="3868" w:type="dxa"/>
            <w:tcBorders>
              <w:tl2br w:val="nil"/>
              <w:tr2bl w:val="nil"/>
            </w:tcBorders>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1191.3-2024）第6.5.1条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15.2.09.099</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监控系统类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储存有惰性气体的室内气瓶室，未设置氧含量浓度检测报警器。</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储存有惰性气体的室内气瓶室，应设置氧含量浓度检测报警器。</w:t>
            </w:r>
          </w:p>
        </w:tc>
        <w:tc>
          <w:tcPr>
            <w:tcW w:w="3868" w:type="dxa"/>
            <w:tcBorders>
              <w:tl2br w:val="nil"/>
              <w:tr2bl w:val="nil"/>
            </w:tcBorders>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1191.1-2025）第6，1条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15.2.03.100</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辅助系统设备设施类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气瓶存放时未直立固定，未配戴好瓶帽（有防护罩的气瓶除外），未套防震圈。</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气瓶存放时应牢固地直立并固定，配戴好瓶帽（有防护罩的气瓶除外），套好防震圈。</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《气瓶安全技术规程》（TSG 23-2021）第8.6.9条;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1191.1-2025）第7.5.4条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15.2.03.101</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辅助系统设备设施类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气瓶混存混放，未分类、分区存放，可燃性和氧化性的气体未分室存放；</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有毒气体气瓶以及瓶内气体相互接触能引起燃烧、爆炸、产生毒物的禁忌类气瓶，未分室存放。</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空瓶、实瓶与不合格未分区存放，安全距离小于1.5m，并无明显分区标识。</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气瓶应分类、分区存放，可燃性和氧化性的气体应分室存放；</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有毒气体气瓶以及瓶内气体相互接触能引起燃烧、爆炸、产生毒物的禁忌类气瓶，应分室存放。</w:t>
            </w:r>
          </w:p>
          <w:p>
            <w:pPr>
              <w:suppressAutoHyphens/>
              <w:autoSpaceDE w:val="0"/>
              <w:autoSpaceDN w:val="0"/>
              <w:adjustRightInd w:val="0"/>
              <w:snapToGrid w:val="0"/>
              <w:spacing w:after="0" w:line="240" w:lineRule="auto"/>
              <w:rPr>
                <w:rFonts w:ascii="仿宋_GB2312" w:hAnsi="仿宋_GB2312" w:cs="仿宋_GB2312"/>
                <w:color w:val="000000" w:themeColor="text1"/>
                <w:sz w:val="20"/>
                <w:szCs w:val="20"/>
                <w14:textFill>
                  <w14:solidFill>
                    <w14:schemeClr w14:val="tx1"/>
                  </w14:solidFill>
                </w14:textFill>
              </w:rPr>
            </w:pPr>
            <w:r>
              <w:rPr>
                <w:rFonts w:ascii="仿宋_GB2312" w:hAnsi="仿宋_GB2312" w:cs="仿宋_GB2312"/>
                <w:color w:val="000000" w:themeColor="text1"/>
                <w:sz w:val="20"/>
                <w:szCs w:val="20"/>
                <w14:textFill>
                  <w14:solidFill>
                    <w14:schemeClr w14:val="tx1"/>
                  </w14:solidFill>
                </w14:textFill>
              </w:rPr>
              <w:t>未按</w:t>
            </w:r>
            <w:r>
              <w:rPr>
                <w:rFonts w:hint="eastAsia" w:ascii="仿宋_GB2312" w:hAnsi="仿宋_GB2312" w:cs="仿宋_GB2312"/>
                <w:color w:val="000000" w:themeColor="text1"/>
                <w:sz w:val="20"/>
                <w:szCs w:val="20"/>
                <w14:textFill>
                  <w14:solidFill>
                    <w14:schemeClr w14:val="tx1"/>
                  </w14:solidFill>
                </w14:textFill>
              </w:rPr>
              <w:t>GB15603等</w:t>
            </w:r>
            <w:r>
              <w:rPr>
                <w:rFonts w:ascii="仿宋_GB2312" w:hAnsi="仿宋_GB2312" w:cs="仿宋_GB2312"/>
                <w:color w:val="000000" w:themeColor="text1"/>
                <w:sz w:val="20"/>
                <w:szCs w:val="20"/>
                <w14:textFill>
                  <w14:solidFill>
                    <w14:schemeClr w14:val="tx1"/>
                  </w14:solidFill>
                </w14:textFill>
              </w:rPr>
              <w:t>标准规范要求分区分类储存危险化学品；超量、超品种储存危险化学品；相互禁配物质混放混存。</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空瓶、实瓶与不合格应分区存放，安全距离不小于1.5m，并有明显分区标识。</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《化工和危险化学品生产经营企业重大生产安全事故隐患判定准则（AQ3067-2026）》第</w:t>
            </w:r>
            <w:r>
              <w:rPr>
                <w:rFonts w:ascii="仿宋_GB2312" w:hAnsi="仿宋_GB2312" w:cs="仿宋_GB2312"/>
                <w:color w:val="000000" w:themeColor="text1"/>
                <w:sz w:val="20"/>
                <w:szCs w:val="20"/>
                <w14:textFill>
                  <w14:solidFill>
                    <w14:schemeClr w14:val="tx1"/>
                  </w14:solidFill>
                </w14:textFill>
              </w:rPr>
              <w:t>5.5.8</w:t>
            </w:r>
            <w:r>
              <w:rPr>
                <w:rFonts w:hint="eastAsia" w:ascii="仿宋_GB2312" w:hAnsi="仿宋_GB2312" w:cs="仿宋_GB2312"/>
                <w:color w:val="000000" w:themeColor="text1"/>
                <w:sz w:val="20"/>
                <w:szCs w:val="20"/>
                <w14:textFill>
                  <w14:solidFill>
                    <w14:schemeClr w14:val="tx1"/>
                  </w14:solidFill>
                </w14:textFill>
              </w:rPr>
              <w:t>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1191.1-2025）第7.5.5条；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1191.2-2025）第6.3.3、6.3.5条；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1191.3-2024）第7.3.7条；</w:t>
            </w:r>
          </w:p>
        </w:tc>
        <w:tc>
          <w:tcPr>
            <w:tcW w:w="376" w:type="dxa"/>
            <w:tcBorders>
              <w:tl2br w:val="nil"/>
              <w:tr2bl w:val="nil"/>
            </w:tcBorders>
            <w:vAlign w:val="center"/>
          </w:tcPr>
          <w:p>
            <w:pPr>
              <w:widowControl/>
              <w:suppressAutoHyphens/>
              <w:adjustRightInd w:val="0"/>
              <w:snapToGrid w:val="0"/>
              <w:spacing w:after="0" w:line="240" w:lineRule="auto"/>
              <w:jc w:val="center"/>
              <w:rPr>
                <w:rFonts w:hint="eastAsia" w:ascii="仿宋_GB2312" w:hAnsi="黑体" w:cs="宋体"/>
                <w:b/>
                <w:kern w:val="0"/>
                <w:sz w:val="20"/>
                <w:szCs w:val="20"/>
              </w:rPr>
            </w:pPr>
            <w:r>
              <w:rPr>
                <w:rFonts w:hint="eastAsia" w:ascii="仿宋_GB2312" w:hAnsi="仿宋_GB2312" w:cs="仿宋_GB2312"/>
                <w:b/>
                <w:color w:val="000000" w:themeColor="text1"/>
                <w:kern w:val="0"/>
                <w:sz w:val="20"/>
                <w:szCs w:val="20"/>
                <w14:textFill>
                  <w14:solidFill>
                    <w14:schemeClr w14:val="tx1"/>
                  </w14:solidFill>
                </w14:textFill>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15.4.03. 102</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场所环境类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标志及标识类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瓶漆色褪色不清晰，安全标签不清楚、完整，气瓶上无气瓶追溯标识。</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气瓶漆色应清晰，安全标签应清楚、完整，气瓶上应有符合DB11/T 1530要求的气瓶追溯标识。</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1191.1-2025）第4.4.1条；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1191.2-2025）第7.4.1条；《危险化学品气瓶追溯技术规范》（DB11/T 1530-2018）</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15.2.12.103</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每间气瓶室内，易燃气体存放总量超过36Nm3（如工作压力15MPa时相当于40L的6瓶），非易燃无毒气体存放总量超过60Nm3（如工作压力15MPa时相当于40L的10瓶）。</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每间气瓶室内，易燃气体存放总量不应超过36Nm3（如工作压力15MPa时相当于40L的6瓶），非易燃无毒气体存放总量不应超过60Nm3（如工作压力15MPa时相当于40L的10瓶）。</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1191.1-2025）第7.5.2条；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1191.2-2025）第6.3.1条；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1191.3-2024）第7.3.5条；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15.3.02.104</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人员类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操作行为类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超期服役的气瓶未及时退回气瓶销售企业。</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超期服役的气瓶应及时退回气瓶销售企业。</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1191.1-2025）第8.2.1条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1191.2-2025）第6.3.4条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15.2.11.105</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其他设备设施类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汇流排间与毗连房间之间未采用耐火极限不低于2.0h的无门、窗、洞的不燃烧体墙体进行分隔，汇流排间与其他区域未以围墙或栅栏进行有效隔离。</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汇流排间与毗连房间之间应采用耐火极限不低于2.0h的无门、窗、洞的不燃烧体墙体进行分隔，汇流排间与其他区域应以围墙或栅栏进行有效隔离。</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1191.3-2024）第6.8.3条a）</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15.4.03.106</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场所环境类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标志及标识类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汇流排间未设置安全标志，包括化学品危险性质的警示标志，禁止、警告、指令、提示等安全标志。</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汇流排间应设置安全标志，包括化学品危险性质的警示标志，禁止、警告、指令、提示等安全标志。</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1191.3-2024）第6.8.3条b）</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15.4.04.107</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场所环境类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作业环境类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汇流排间的通风设备未按设计工况选型；将气瓶靠近热源，安放气瓶的地点周围10ｍ范围内有明火或可能产生火花的作业。</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汇流排间未采取防止阳光直射气瓶的措施。</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汇流排间的通风设备应按设计工况选型，防止气瓶意外受热，不应将气瓶靠近热源，安放气瓶的地点周围10ｍ范围内，不应进行有明火或可能产生火花的作业。</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汇流排间应采取防止阳光直射气瓶的措施。</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1191.3-2024）第6.8.3条c）</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15.2.11.108</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其他设备设施类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室内气瓶室未设通风设施，并在气瓶间外未设置事故通风紧急开关。存放剧毒或高毒气体的气瓶柜未连接到通风设施。</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室内气瓶室应设通风设施，并在气瓶间外设置事故通风紧急开关。存放剧毒或高毒气体的气瓶柜应连接到通风设施。</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1191.1-2025）第6.10条；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1191.2-2025）第5.2.3条；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1191.3-2024）第6.5.4条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118" w:type="dxa"/>
            <w:gridSpan w:val="7"/>
            <w:tcBorders>
              <w:tl2br w:val="nil"/>
              <w:tr2bl w:val="nil"/>
            </w:tcBorders>
            <w:shd w:val="clear" w:color="auto" w:fill="95B3D7" w:themeFill="accent1" w:themeFillTint="99"/>
            <w:vAlign w:val="center"/>
          </w:tcPr>
          <w:p>
            <w:pPr>
              <w:widowControl/>
              <w:suppressAutoHyphens/>
              <w:adjustRightInd w:val="0"/>
              <w:snapToGrid w:val="0"/>
              <w:spacing w:after="0" w:line="240" w:lineRule="auto"/>
              <w:jc w:val="center"/>
              <w:rPr>
                <w:rFonts w:hint="eastAsia" w:ascii="仿宋_GB2312" w:hAnsi="黑体" w:cs="宋体"/>
                <w:b/>
                <w:kern w:val="0"/>
                <w:sz w:val="20"/>
                <w:szCs w:val="20"/>
              </w:rPr>
            </w:pPr>
            <w:r>
              <w:rPr>
                <w:rFonts w:hint="eastAsia" w:ascii="仿宋_GB2312" w:hAnsi="仿宋_GB2312" w:cs="仿宋_GB2312"/>
                <w:b/>
                <w:color w:val="000000"/>
                <w:kern w:val="0"/>
                <w:sz w:val="20"/>
                <w:szCs w:val="20"/>
                <w:lang w:bidi="ar"/>
              </w:rPr>
              <w:t>危险化学品管理与使用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15.3.01.109</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人员类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资格资质类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向不具有危险化学品生产、经营资质的单位采购危险化学品。</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应向具有危险化学品生产、经营资质的单位采购危险化学品。</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1191.1-2025）第8.1.1条；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15.4.03.110</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场所环境类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标志及标识类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购买未粘贴北京市危险化学品追溯标签的带包装危险化学品。</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应购买粘贴有北京市危险化学品追溯标签的带包装危险化学品。</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1191.1-2025）第8.1.2条；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1191.2-2025）第7.3.1条；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15.3.02.111</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人员类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操作行为类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危险化学品有效期及气瓶检验有效期过期，未坚持先入先出的原则。</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应注意危险化学品有效期及气瓶检验有效期，并坚持先入先出的原则。</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1191.1-2025）第8.2.1条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15.3.02.112</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人员类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操作行为类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危险化学品无领用记录，包括的内容不全；发放无专人负责，未根据实际需要最低数量发放，未填写发放记录。</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危险化学品应有领用记录，应包括以下内容：品种、规格、发放、退回日期、部门及 经办人、数量以及结存数量和存放地点等。发放应有专人负责，并根据实际需要最低数量发放，并填写发放记录。</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1191.1-2025）第8.2.2条；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1191.3-2024）第7.4.1、7.4.3条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15.3.02.113</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人员类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操作行为类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爆炸品、剧毒化学品未由两人领取，领用爆炸品、剧毒化学品时未详细记载用途。剩余未在当日退回，未详细记录退回物品的种类和数量。</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爆炸品、剧毒化学品应由两人领取，领用爆炸品、剧毒化学品时应详细记载用途。如有剩余应在当日退回，并详细记录退回物品的种类和数量。</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1191.1-2025）第8.2.3条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15.3.02.114</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人员类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操作行为类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实验采用国家明令淘汰的工艺、装备和禁用的物料。</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实验不得采用国家明令淘汰的工艺、装备和禁用的物料。</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1191.3-2024）第8.1.1条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15.3.02.115</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人员类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操作行为类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自行配制的、主要成分含有危险化学品的实验样品，未按危险化学品进行管理，随意放置于实验台上；</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自配制或分装后的包装物未重新粘贴标签，未注明化学品成分、浓度等主要信息，分装后的包装物未标明体积信息，样品在实验室期间未保留该标签。</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自行配制的、主要成分含有危险化学品的实验样品，应按危险化学品进行管理，不应随意放置于实验台上。自行配制或分装后的包装物应重新粘贴标签，注明化学品成分、浓度等主要信息，分装后的包装物还应标明体积信息，样品在实验室期间应保留该标签。</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1191.3-2024）第8.1.8条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15.3.02.116</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人员类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操作行为类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未定期对过期危险化学品、无使用价值的自配化学品以及缺少安全标签、不清楚主要成分的危险化学品进行全面清理。</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应定期对过期危险化学品、无使用价值的自配化学品以及缺少安全标签、不清楚主要成分的危险化学品进行全面清理。</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1191.3-2024）第8.1.8条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15.3.02.117</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人员类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操作行为类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瓶装气体擅自充装、分装、倒瓶。</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瓶装气体严禁充装、分装、倒瓶。</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1191.1-2025）第8.3.3条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15.3.02.118</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人员类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操作行为类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实验室内设置氢气、乙炔、环氧乙烷气瓶，未放置在气瓶柜内，未设置可燃气体浓度检测报警器，其排风管未使用不燃材料，并应直接通向室外安全地点。</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实验室内不应设置氢气、乙炔、环氧乙烷气瓶，必须设置时，应放置在气瓶柜内，并设置可燃气体浓度检测报警器，其排风管应使用不燃材料，并应直接通向室外安全地点。</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第1部分：工业企业》（DB11/T 1191.1-2025）第8.3.4条；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1191.2-2025）第8.3.4条；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1191.3-2024）第6.2.4条；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4118" w:type="dxa"/>
            <w:gridSpan w:val="7"/>
            <w:tcBorders>
              <w:tl2br w:val="nil"/>
              <w:tr2bl w:val="nil"/>
            </w:tcBorders>
            <w:shd w:val="clear" w:color="auto" w:fill="95B3D7" w:themeFill="accent1" w:themeFillTint="99"/>
            <w:vAlign w:val="center"/>
          </w:tcPr>
          <w:p>
            <w:pPr>
              <w:widowControl/>
              <w:suppressAutoHyphens/>
              <w:adjustRightInd w:val="0"/>
              <w:snapToGrid w:val="0"/>
              <w:spacing w:after="0" w:line="240" w:lineRule="auto"/>
              <w:jc w:val="center"/>
              <w:rPr>
                <w:rFonts w:hint="eastAsia" w:ascii="仿宋_GB2312" w:hAnsi="黑体" w:cs="宋体"/>
                <w:bCs/>
                <w:kern w:val="0"/>
                <w:sz w:val="20"/>
                <w:szCs w:val="20"/>
              </w:rPr>
            </w:pPr>
            <w:r>
              <w:rPr>
                <w:rFonts w:hint="eastAsia" w:ascii="仿宋_GB2312" w:hAnsi="仿宋_GB2312" w:cs="仿宋_GB2312"/>
                <w:b/>
                <w:color w:val="000000"/>
                <w:kern w:val="0"/>
                <w:sz w:val="20"/>
                <w:szCs w:val="20"/>
                <w:lang w:bidi="ar"/>
              </w:rPr>
              <w:t>危险化学品实验与储存过程安全管理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15.3.02.119</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人员类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操作行为类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实验室安全负责人或实验项目负责人未组织人员对实验现场、使用危险化学品的实验项目和实验过程中可能存在的风险进行辨识、评估，未制定相应的安全风险管控措施。</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实验室安全负责人或实验项目负责人应组织人员对实验现场、使用危险化学品的实验项目和实验过程中可能存在的风险进行辨识、评估，制定相应的安全风险管控措施。</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1191.2-2025）第5.3.9条；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1191.3-2024）第8.1.3条b）</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15.3.02.120</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人员类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操作行为类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安全负责人或实验项目负责人未对参加实验的人员进行安全措施交底；项目负责人未向实验室内同时作业的其他实验操作人员告知本实验过程中可能存在的安全风险、采取的个体防护措施和应急措施、个体防护装备的位置等。</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安全负责人或实验项目负责人应对参加实验的人员进行安全措施交底，主要包括：实验现场和实验过程中可能存在的危险有害因素、应采取的具体安全措施与应急措施、应急救援器材的位置及分布等；同时，项目负责人应向实验室内同时作业的其他实验操作人员告知本实验过程中可能存在的安全风险、应采取的个体防护措施和应急措施、个体防护装备的位置等。</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1191.3-2024）第8.1.3条c）；</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1191.2-2025）第7.5.5条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15.3.02.121</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人员类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操作行为类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实验人员未对实验涉及的仪器、设备等进行安全检查，无检查台账。</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实验人员对实验涉及的仪器、设备等进行安全检查，并记录检查台账。</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 xml:space="preserve">《实验室危险化学品安全管理要求 第2部分：普通高等学校》（DB11/T 1191.2-2025）第7.1.1条； </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1191.3-2024）第8.1.3条d）</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15.3.02.122</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人员类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操作行为类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实验室安全负责人或实验项目负责人未定期对实验室危险化学品管理工作进行安全检查。</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安全负责人或实验项目负责人应定期对实验室危险化学品管理工作进行安全检查，安全检查应包括风险源辨识、风险控制措施、人员行为、安全设施和设备、应急物资等内容。应对实验人员个体防护装备穿戴情况进行检查。</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1191.3-2024）第8.1.3条e）、第4.5.3条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15.3.02.123</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人员类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操作行为类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实验项目负责人未对参与实验人员开展实验室及实验项目有关操作规程进行再培训。</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实验项目负责人应对参与实验人员开展实验室及实验项目有关操作规程进行再培训。</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1191.3-2024）第8.1.3条e）</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15.3.02.124</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人员类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操作行为类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实验人员未提前阅读化学品安全技术说明书，未掌握所使用的危险化学品的危险特性和应急措施，未做好个体防护。</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实验人员应提前阅读化学品安全技术说明书，掌握所使用的危险化学品的危险特性和应急措施，做好个体防护。</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1191.3-2024）第8.1.4条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15.3.02.125</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人员类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操作行为类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科研单位实验室实验过程未按照实验方案进行，重大改变未按程序重新审批。实验结束后，未对实验情况进行全面分析，未编写总结报告。</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实验过程应按照实验方案进行，如有重大改变，应按程序重新审批，必要时重新组织专家论证。实验结束后，对实验情况进行全面分析的基础上，编写总结报告，分析和总结应有安全设施、设备运转情况的章节。</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1191.3-2024）第8.1.10条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15.3.02.126</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人员类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操作行为类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科研单位实验室同一间实验室或实验现场存在多人员、多科目交叉实验。未限定参与每项实验的人数上限，未对进入实验室的人数进行控制，实验室未采用门禁等设施对进入人数及权限进行管理。</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同一间实验室或实验现场应减少多人员、多科目交叉实验。宜限定参与每项实验的人数上限，对进入实验室的人数进行控制，实验室可采用门禁等设施对进入人数及权限进行管理。</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1191.3-2024）第8.1.11条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15.2.03.127</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辅助系统设备设施类</w:t>
            </w:r>
          </w:p>
        </w:tc>
        <w:tc>
          <w:tcPr>
            <w:tcW w:w="2861" w:type="dxa"/>
            <w:tcBorders>
              <w:tl2br w:val="nil"/>
              <w:tr2bl w:val="nil"/>
            </w:tcBorders>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涉及危险化工工艺的实验室，未确定重点监控的工艺参数，未根据工艺安全需要，应用物联网、人工智能等技术，未配备作业机器人等智能实验设备或系统，减少实验现场人员数量，降低作业人员操作安全风险。</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涉及危险化工工艺的实验室，应确定重点监控的工艺参数，根据工艺安全需要，应用物联网、人工智能等技术，配备作业机器人等智能实验设备或系统，实现实验作业的自动化，减少实验现场人员数量，降低作业人员操作安全风险。</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1191.3-2024）第8.1.12条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15.2.03.128</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辅助系统设备设施类</w:t>
            </w:r>
          </w:p>
        </w:tc>
        <w:tc>
          <w:tcPr>
            <w:tcW w:w="2861" w:type="dxa"/>
            <w:tcBorders>
              <w:tl2br w:val="nil"/>
              <w:tr2bl w:val="nil"/>
            </w:tcBorders>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在具有爆炸危险性的实验场所内开展的实验项目，未采用自动化控制技术，未设置监测监控设施，未实现人员远程操作与监控，未控制实验现场人员数量。控制室未设置可靠的安全隔离措施。</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在具有爆炸危险性的实验场所内开展的实验项目，应采用自动化控制技术，设置监测监控设施，实现人员远程操作与监控，控制实验现场人员数量。控制室应有可靠的安全隔离措施，以保护人员安全和各类运行数据的完整。</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1191.3-2024）第8.1.13条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15.2.03.129</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辅助系统设备设施类</w:t>
            </w:r>
          </w:p>
        </w:tc>
        <w:tc>
          <w:tcPr>
            <w:tcW w:w="2861" w:type="dxa"/>
            <w:tcBorders>
              <w:tl2br w:val="nil"/>
              <w:tr2bl w:val="nil"/>
            </w:tcBorders>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可能造成人员重大伤亡或财产损失的中（扩）试项目，未采用远程控制技术，未控制现场实验人员数量。DCS控制室未设置可靠的安全隔离措施。</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可能造成人员重大伤亡或财产损失的中（扩）试项目，应采用远程控制技术，控制现场实验人员数量。DCS控制室应有可靠的安全隔离措施，以保护人员安全和各类运行数据的完整。</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1191.3-2024）第8.1.20条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15.2.03.130</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辅助系统设备设施类</w:t>
            </w:r>
          </w:p>
        </w:tc>
        <w:tc>
          <w:tcPr>
            <w:tcW w:w="2861" w:type="dxa"/>
            <w:tcBorders>
              <w:tl2br w:val="nil"/>
              <w:tr2bl w:val="nil"/>
            </w:tcBorders>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涉氢实验项目开展前，未对实验样件、供排气管道、阀门和仪表连接处进行氢气泄漏量检测，当表面1cm处泄漏值大于百万分之十时未停止开展实验，未查找泄漏源并处理；实验过程中允许人员进入实验区域的涉氢实验项目，未每2h对环境中的氢气含量进行检测并记录。</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涉氢实验项目开展前，应使用便携式氢气探测仪对实验样件、供排气管道、阀门和仪表连接处进行氢气泄漏量检测，当表面1cm处泄漏值大于百万分之十时停止开展实验，立即查找泄漏源并处理，二次测漏合格后方可继续实验准备工作；实验过程中允许人员进入实验区域的涉氢实验项目，应 每2h对环境中的氢气含量进行检测并记录。</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1191.3-2024）第8.1.14条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仿宋_GB2312" w:cs="仿宋_GB2312"/>
                <w:color w:val="EE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15.2.03.131</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辅助系统设备设施类</w:t>
            </w:r>
          </w:p>
        </w:tc>
        <w:tc>
          <w:tcPr>
            <w:tcW w:w="2861" w:type="dxa"/>
            <w:tcBorders>
              <w:tl2br w:val="nil"/>
              <w:tr2bl w:val="nil"/>
            </w:tcBorders>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涉氢实验未落实实验前“双确认”的安全措施。在实验所需水、电、气源管路和信号采集线路连接完毕后，未安排一名实验人员逐项确认检查，检查结果全部正常后，复核人员启动实验活动前未开展二次确认检查。</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涉氢实验应落实实验前“双确认”的安全措施。在实验所需水、电、气源管路和信号采集线路连接完毕后，由一名实验人员逐项确认检查，检查结果全部正常后，复核人员开展二次确认检查，检查结果全部正常后，实验活动方可启动。</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1191.3-2024）第8.1.15条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15.2.03.132</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辅助系统设备设施类</w:t>
            </w:r>
          </w:p>
        </w:tc>
        <w:tc>
          <w:tcPr>
            <w:tcW w:w="2861" w:type="dxa"/>
            <w:tcBorders>
              <w:tl2br w:val="nil"/>
              <w:tr2bl w:val="nil"/>
            </w:tcBorders>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开展氢循环、加压、燃烧、爆破等危险度较高的涉氢实验时，未禁止人员进入实验区。未在进入实验区的门上明显位置张贴或悬挂警示标志，未启用门禁等设施限制人员进入。</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开展氢循环、加压、燃烧、爆破等危险度较高的涉氢实验时，实验区禁止人员进入。在进入实验区的门上明显位置张贴或悬挂警示标志并启用门禁等设施限制人员进入。</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1191.3-2024）第8.1.16条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15.3.02.133</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人员类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操作行为类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科研项目未遵循从小试到中试的程序，擅自进行扩大性试验。</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实验室开展中试性质或工业放大性质的实验研究。</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科研项目应遵循从小试到中试的程序，必要时应进行扩大性试验。</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实验室不应开展中试性质或工业放大性质的实验研究。</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1191.2-2025）第7.5.9条；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1191.3-2024）第8.1.17条；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15.1.07.134</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基础资料类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风险辨识类</w:t>
            </w:r>
          </w:p>
        </w:tc>
        <w:tc>
          <w:tcPr>
            <w:tcW w:w="2861" w:type="dxa"/>
            <w:tcBorders>
              <w:tl2br w:val="nil"/>
              <w:tr2bl w:val="nil"/>
            </w:tcBorders>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新产品试制未进行安全风险评估，未落实风险管控措施。安全风险评估未分析实验所用原料、辅料、中间产品、产品和副产品的有关理化特性，未辨识实验过程中的危害因素，未提出有效的防范措施。</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新产品试制应进行安全风险评估，并落实风险管控措施。安全风险评估应分析实验所用原料、辅料、中间产品、产品和副产品的有关理化特性，辨识实验过程中的危害因素，提出有效的防范措施。</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1191.3-2024）第8.1.18条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15.3.02.135</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人员类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操作行为类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科研单位实验室首次投料及投料实验初期，项目负责人、技术负责人和安全管理人员擅离岗位。遇有异常情况，未及时停止实验并采取相应措施，确认安全后再继续实验。</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首次投料及投料实验初期，项目负责人、技术负责人和安全管理人员不得擅离岗位。遇有异常情况，应及时停止实验并采取相应措施，确认安全后再继续实验。</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1191.3-2024）第8.1.19条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15.3.02.136</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人员类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操作行为类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危险化学品的移取、称量，未根据其危险特性，在通风橱、平衡通风罩、手套箱或特定的区域进行。</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危险化学品的移取、称量，应根据其危险特性，在通风橱、平衡通风罩、手套箱或特定的区域进行。</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1191.2-2025）第7.5.4条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15.3.02.137</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人员类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操作行为类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在密闭场所使用易燃溶剂擦拭、清洗设备、部件，场所内有点火源。</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不应在密闭场所使用易燃溶剂擦拭、清洗设备、部件，场所内不应有点火源。</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第2部分：普通高等学校》（DB11/T 1191.2-2025）第7.5.6条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15.2.09.138</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监控系统类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实验设备的报警数据、设备启停状态数据未建立报警处置记录本，记录的报警未处置未闭环。</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未接入智慧实验室安全管控平台，不支持信息查询、可视化展示及多维度统计分析，未实现对实验设备的实时监测、报警管理和报警分析等功能。</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实验设备的报警数据、设备启停状态数据宜接入智慧实验室安全管控平台，支持信息查询、可视化展示及多维度统计分析，实现对实验设备的实时监测、报警管理和报警分析等功能。</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《安全生产等级评定技术规范第2部分：安全生产通用要求》（DB11/T 1322.2-2017）第3.1.7.3条；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1191.3-2024）第8.2.10条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黑体" w:cs="宋体"/>
                <w:b/>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15.2.09.139</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监控系统类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可燃、有毒气体及氧气探测器未定期检定或校准，周期超过1年。</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未按法律法规以及行业标准、安全技术规范等规定要求落实重大设施设备（包括存储剧毒、易制爆化学品，危废贮存站，备案生物实验室，涉源场所，特种设备等设施设备）定期环评、检测、监测、维保。</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气体探测器应定期检定或校准，周期应不超过1年。</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第六条（八）未按法律法规以及行业标准、安全技术规范等规定要求落实重大设施设备（包括存储剧毒、易制爆化学品，危废贮存站，备案生物实验室，涉源场所，特种设备等设施设备）定期环评、检测、监测、维保的。</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《教育系统重大事故隐患判定指南》第六条（八）；</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《可燃气体检测报警器》（JJG 693-2011）第5.5条；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 xml:space="preserve">《实验室危险化学品安全管理要求 第2部分：普通高等学校》（DB11/T 1191.2-2025）第5.1.7条e）; </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1191.3-2024）第6.1.4条</w:t>
            </w:r>
          </w:p>
        </w:tc>
        <w:tc>
          <w:tcPr>
            <w:tcW w:w="376" w:type="dxa"/>
            <w:tcBorders>
              <w:tl2br w:val="nil"/>
              <w:tr2bl w:val="nil"/>
            </w:tcBorders>
            <w:vAlign w:val="center"/>
          </w:tcPr>
          <w:p>
            <w:pPr>
              <w:widowControl/>
              <w:suppressAutoHyphens/>
              <w:adjustRightInd w:val="0"/>
              <w:snapToGrid w:val="0"/>
              <w:spacing w:after="0" w:line="240" w:lineRule="auto"/>
              <w:jc w:val="center"/>
              <w:rPr>
                <w:rFonts w:hint="eastAsia" w:ascii="仿宋_GB2312" w:hAnsi="黑体" w:cs="宋体"/>
                <w:b/>
                <w:kern w:val="0"/>
                <w:sz w:val="20"/>
                <w:szCs w:val="20"/>
              </w:rPr>
            </w:pPr>
            <w:r>
              <w:rPr>
                <w:rFonts w:hint="eastAsia" w:ascii="仿宋_GB2312" w:hAnsi="仿宋_GB2312" w:cs="仿宋_GB2312"/>
                <w:b/>
                <w:color w:val="000000" w:themeColor="text1"/>
                <w:kern w:val="0"/>
                <w:sz w:val="20"/>
                <w:szCs w:val="20"/>
                <w14:textFill>
                  <w14:solidFill>
                    <w14:schemeClr w14:val="tx1"/>
                  </w14:solidFill>
                </w14:textFill>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118" w:type="dxa"/>
            <w:gridSpan w:val="7"/>
            <w:tcBorders>
              <w:tl2br w:val="nil"/>
              <w:tr2bl w:val="nil"/>
            </w:tcBorders>
            <w:shd w:val="clear" w:color="auto" w:fill="95B3D7" w:themeFill="accent1" w:themeFillTint="99"/>
            <w:vAlign w:val="center"/>
          </w:tcPr>
          <w:p>
            <w:pPr>
              <w:widowControl/>
              <w:suppressAutoHyphens/>
              <w:adjustRightInd w:val="0"/>
              <w:snapToGrid w:val="0"/>
              <w:spacing w:after="0" w:line="240" w:lineRule="auto"/>
              <w:jc w:val="center"/>
              <w:rPr>
                <w:rFonts w:hint="eastAsia" w:ascii="仿宋_GB2312" w:hAnsi="仿宋_GB2312" w:cs="仿宋_GB2312"/>
                <w:b/>
                <w:color w:val="000000" w:themeColor="text1"/>
                <w:kern w:val="0"/>
                <w:sz w:val="20"/>
                <w:szCs w:val="20"/>
                <w14:textFill>
                  <w14:solidFill>
                    <w14:schemeClr w14:val="tx1"/>
                  </w14:solidFill>
                </w14:textFill>
              </w:rPr>
            </w:pPr>
            <w:r>
              <w:rPr>
                <w:rFonts w:hint="eastAsia" w:ascii="仿宋_GB2312" w:hAnsi="仿宋_GB2312" w:cs="仿宋_GB2312"/>
                <w:b/>
                <w:color w:val="000000"/>
                <w:kern w:val="0"/>
                <w:sz w:val="20"/>
                <w:szCs w:val="20"/>
                <w:lang w:bidi="ar"/>
              </w:rPr>
              <w:t>专用仓库、气瓶库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15.2.12.140</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易燃液体类、氧化性物质和有机过氧化物类、腐蚀类存放总量 超过规定量应设置未设置危险化学品专用仓库或气瓶库。</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下列情况应设置危险化学品专用仓库：</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a） 易燃液体类危险化学品存放总量 0.5 t以上或超过一昼夜使用量；</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b） 氧化性物质和有机过氧化物类危险化学品存放总量 0.5 t以上或超过一昼夜使用量；</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c） 腐蚀类危险化学品存放总量 1 t 以上或超过一昼夜使用量。</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d）在不违反危险化学品储存禁忌规定的情况下，单一储存室内存储的危险化学品为多品种时，按照式（1）计算，a 的值不小于 1。</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a = q1/Q1 + q2/Q2 + ...+ qn/Qn ......</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式中：q1,q2,…,qn ——每类危险化学品的实际存放量；</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Q1,Q2,…,Qn ——每类危险化学品相对应的最大存放量。</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下列情况应设置气瓶库:</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a） 易燃气体存放总量 36 Nm3（如工作压力 15 MPa 时相当于 40 L 的 6 瓶）以上或超过一昼夜使用量；</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b） 非易燃无毒气体存放总量 60 Nm3（如工作压力 15 MPa 时相当于 40 L 的 10 瓶）以上或超过一昼夜使用量；</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c）在不违反危险化学品储存禁忌规定的情况下，单一气瓶室内存储的气瓶为多品种时，按照式（1）计算，a的值不小于 1。</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a = q1/Q1 + q2/Q2 + ...+ qn/Qn ...... （1）</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式中：q1,q2,…,qn ——每类危险化学品的实际存放量；</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Q1,Q2,…,Qn ——每类危险化学品相对应的最大存放量。</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d） 一个防火分区内布置2间及以上危险化学品气瓶库时，危险化学品储存总量应合并计算，并超过1间危险化学品气瓶库的存放总量要求。</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《安全生产等级评定技术规范 第2部分：安全生产通用要求》（DB11/T 1322.2-2017）</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仿宋_GB2312" w:cs="仿宋_GB2312"/>
                <w:b/>
                <w:color w:val="000000" w:themeColor="text1"/>
                <w:kern w:val="0"/>
                <w:sz w:val="20"/>
                <w:szCs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15.4.01.141</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场所环境类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平面布置类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危险化学品仓库未独立设置。</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 xml:space="preserve">危险化学品仓库应独立设置 </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《危险化学品储存场所建设及储存安全要求》（DB11/T 755）第4.2.3条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仿宋_GB2312" w:cs="仿宋_GB2312"/>
                <w:b/>
                <w:color w:val="000000" w:themeColor="text1"/>
                <w:kern w:val="0"/>
                <w:sz w:val="20"/>
                <w:szCs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15.4.04.142</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场所环境类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作业环境类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甲类、乙类仓库内设置办公室、休息室等辅助用房；与办公室、休息室等辅助用房及其他场所贴邻；丙类、丁类仓库内的办公室、休息室等辅助用房，未采用防火门、防火窗、耐火极限低于2.00h的防火隔墙和耐火极限低于1.00h的楼板，未与其他部位分隔，未设置独立的安全出口。</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甲类、乙类仓库内不应设置办公室、休息室等辅助用房，不应与办公室、休息室等辅助用房及其他场所贴邻。丙类、丁类仓库内的办公室、休息室等辅助用房，应采用防火门、防火窗、耐火极限不低于2.00h的防火隔墙和耐火极限不低于1.00h的楼板，并与其他部位分隔，并应设置独立的安全出口。</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《危险化学品储存场所建设及储存安全要求》（DB11/T 755）第4.2.4条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仿宋_GB2312" w:cs="仿宋_GB2312"/>
                <w:b/>
                <w:color w:val="000000" w:themeColor="text1"/>
                <w:kern w:val="0"/>
                <w:sz w:val="20"/>
                <w:szCs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15.4.04.143</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场所环境类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作业环境类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仓库内的防火分区或库房之间未采用防火墙分隔，甲类、乙类库房内的防火分区或库房之间未采用无任何开口的防火墙分隔。</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仓库内的防火分区或库房之间应采用防火墙分隔，甲类、乙类库房内的防火分区或库房之间应采用无任何开口的防火墙分隔。</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《危险化学品储存场所建设及储存安全要求》（DB11/T 755）第4.2.5条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仿宋_GB2312" w:cs="仿宋_GB2312"/>
                <w:b/>
                <w:color w:val="000000" w:themeColor="text1"/>
                <w:kern w:val="0"/>
                <w:sz w:val="20"/>
                <w:szCs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15.4.04.144</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场所环境类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作业环境类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占地面积大于300m²的仓库，安全出口少于2个；仓库内每个建筑面积大于100m²的房间的疏散出口少于2个。</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占地面积大于300m²的仓库，安全出口不应少于2个；仓库内每个建筑面积大于100m²的房间的疏散出口不应少于2个。</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《危险化学品储存场所建设及储存安全要求》（DB11/T 755）第4.2.6条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仿宋_GB2312" w:cs="仿宋_GB2312"/>
                <w:b/>
                <w:color w:val="000000" w:themeColor="text1"/>
                <w:kern w:val="0"/>
                <w:sz w:val="20"/>
                <w:szCs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15.4.04.145</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场所环境类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作业环境类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危险化学品仓库门未采用具有防火、防静电、防腐、不产生火花等功能的材料制成，门未向疏散方向开启。</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危险化学品仓库门应根据危险化学品性质相应采用具有防火、防静电、防腐、不产生火花等功能的材料制成，门应向疏散方向开启。</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《危险化学品储存场所建设及储存安全要求》（DB11/T 755）第4.2.7条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仿宋_GB2312" w:cs="仿宋_GB2312"/>
                <w:b/>
                <w:color w:val="000000" w:themeColor="text1"/>
                <w:kern w:val="0"/>
                <w:sz w:val="20"/>
                <w:szCs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15.1.07.146</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基础资料类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风险辨识类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危险化学品仓库未确定爆炸危险区域。</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危险化学品仓库应根据存储的危险化学品的性质确定爆炸危险区域。</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《危险化学品储存场所建设及储存安全要求》（DB11/T 755）第4.2.8条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仿宋_GB2312" w:cs="仿宋_GB2312"/>
                <w:b/>
                <w:color w:val="000000" w:themeColor="text1"/>
                <w:kern w:val="0"/>
                <w:sz w:val="20"/>
                <w:szCs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15.2.09.147</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监控系统类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照明设施和电气设备的配电箱及电气开关未可靠接地，未安装过电压保护、过电流保护、电击防护、电气火灾监控等保护措施。</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危险化学品仓库的配电箱及照明、通风等电气设备的开关应设置在仓库外，仓库爆炸危险区域内的电气设备和输配电线路的设计、选型、安装应符合GB 3836.15、GB 50058的要求。照明设施和电气设备的配电箱及电气开关应可靠接地，安装过电压保护、过电流保护、电击防护、电气火灾监控等保护措施，仓库外的电气设备应根据安装环境条件，选择适宜的IP外壳防护等级。</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《危险化学品储存场所建设及储存安全要求》（DB11/T 755）第4.2.10条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仿宋_GB2312" w:cs="仿宋_GB2312"/>
                <w:b/>
                <w:color w:val="000000" w:themeColor="text1"/>
                <w:kern w:val="0"/>
                <w:sz w:val="20"/>
                <w:szCs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15.2.09.148</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监控系统类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电气火灾监控系统未独立组成，电气火灾监控探测器的设置影响所在场所供配电系统的正常工作。</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电气火灾监控系统应独立组成，电气火灾监控探测器的设置不应影响所在场所供配电系统的正常工作。</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《危险化学品储存场所建设及储存安全要求》（DB11/T 755）第4.2.11条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仿宋_GB2312" w:cs="仿宋_GB2312"/>
                <w:b/>
                <w:color w:val="000000" w:themeColor="text1"/>
                <w:kern w:val="0"/>
                <w:sz w:val="20"/>
                <w:szCs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15.2.09.149</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监控系统类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仓库及其出入口未设置视频监控设备。</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危险化学品仓库及其出入口应设置视频监控设备。视频监控系统建设应符合DB11/T 384（所有部分）的要求。</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《危险化学品储存场所建设及储存安全要求》（DB11/T 755）第4.2.12条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仿宋_GB2312" w:cs="仿宋_GB2312"/>
                <w:b/>
                <w:color w:val="000000" w:themeColor="text1"/>
                <w:kern w:val="0"/>
                <w:sz w:val="20"/>
                <w:szCs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15.2.09.150</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监控系统类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仓库的防雷、防静电等不符合要求。</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危险化学品仓库的防雷、防静电等不符合GB 50016、GB 50037、GB 50057、GB 12158的要求。</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《危险化学品储存场所建设及储存安全要求》（DB11/T 755）第4.2.13条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仿宋_GB2312" w:cs="仿宋_GB2312"/>
                <w:b/>
                <w:color w:val="000000" w:themeColor="text1"/>
                <w:kern w:val="0"/>
                <w:sz w:val="20"/>
                <w:szCs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15.4.04.151</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场所环境类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作业环境类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气瓶仓库围墙非三面实墙，屋顶非轻质不燃材料。</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气体经营单位的气瓶仓库围墙至少应为三面实墙，屋顶为轻质不燃材料。</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《危险化学品储存场所建设及储存安全要求》（DB11/T 755）第4.2.14条a）</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仿宋_GB2312" w:cs="仿宋_GB2312"/>
                <w:b/>
                <w:color w:val="000000" w:themeColor="text1"/>
                <w:kern w:val="0"/>
                <w:sz w:val="20"/>
                <w:szCs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15.4.04.152</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场所环境类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作业环境类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气瓶仓库门前未设置宽度不少于1m的装卸平台，未设置台阶或缓坡。</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气体经营单位的气瓶仓库门前应设置宽度不少于1m的装卸平台，并设置台阶或缓坡。</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《危险化学品储存场所建设及储存安全要求》（DB11/T 755）第4.2.14条b）</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仿宋_GB2312" w:cs="仿宋_GB2312"/>
                <w:b/>
                <w:color w:val="000000" w:themeColor="text1"/>
                <w:kern w:val="0"/>
                <w:sz w:val="20"/>
                <w:szCs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15.4.03.153</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场所环境类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标志及标识类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仓库空瓶与实瓶未分区存放，未设置标识，未应设置防倾倒链或其他防倾倒装置。</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气体经营单位的气瓶仓库空瓶与实瓶应分区存放，并设置标识。气瓶区应设置防倾倒链或其他防倾倒装置。</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《危险化学品储存场所建设及储存安全要求》（DB11/T 755）第4.2.14条c）</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仿宋_GB2312" w:cs="仿宋_GB2312"/>
                <w:b/>
                <w:color w:val="000000" w:themeColor="text1"/>
                <w:kern w:val="0"/>
                <w:sz w:val="20"/>
                <w:szCs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15.2.03.154</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辅助系统设备设施类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气瓶仓库对储存气体与空气的相对密度小于或等于0.75的气瓶仓库，库顶部未设置有通风的窗口；对储存气体与空气的相对密度大于0.75的气瓶仓库，靠近地面的墙体上未设置通风口，通风口未设有防虫网和防雨罩。</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气体经营单位的气瓶仓库对储存气体与空气的相对密度小于或等于0.75的气瓶仓库，库顶部应设置有通风的窗口；对储存气体与空气的相对密度大于0.75的气瓶仓库，靠近地面的墙体上应设置通风口，通风口应设有防虫网和防雨罩。</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《危险化学品储存场所建设及储存安全要求》（DB11/T 755）第4.2.14条d）</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仿宋_GB2312" w:cs="仿宋_GB2312"/>
                <w:b/>
                <w:color w:val="000000" w:themeColor="text1"/>
                <w:kern w:val="0"/>
                <w:sz w:val="20"/>
                <w:szCs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15.3.02.155</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人员类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操作行为类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物品入库前未见专人进行检查，未确认便准许入库；</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入库危险化学品的品名、规格、数量与入库信息或单据不一致；</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入库物品的包装不完好，标志、安全标签不规范、清晰。</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物品入库前应有专人对以下内容进行检查，确认无误后，方准许入库：</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入库危险化学品的品名、规格、数量与入库信息或单据是否一致；</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入库物品的包装是否完好，标志、安全标签是否规范、清晰。</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《危险化学品储存场所建设及储存安全要求》（DB11/T 755）第5.2.1条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仿宋_GB2312" w:cs="仿宋_GB2312"/>
                <w:b/>
                <w:color w:val="000000" w:themeColor="text1"/>
                <w:kern w:val="0"/>
                <w:sz w:val="20"/>
                <w:szCs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15.4.04.156</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场所环境类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作业环境类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库房储存物资未按照设计单位划定的堆装区域线和核定的存放量储存。</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库房储存物资应按照设计单位划定的堆装区域线和核定的存放量储存。</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《危险化学品储存场所建设及储存安全要求》（DB11/T 755）第5.2.2条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仿宋_GB2312" w:cs="仿宋_GB2312"/>
                <w:b/>
                <w:color w:val="000000" w:themeColor="text1"/>
                <w:kern w:val="0"/>
                <w:sz w:val="20"/>
                <w:szCs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15.2.03.157</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辅助系统设备设施类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库房内设置货架未采用非燃烧材料制作；物品未置于托盘上并采取固定措施；货架及其周围未设置防护措施。</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库房内设置货架堆放物品时，货架应采用非燃烧材料制作，物品应置于托盘上并采取固定措施；装载应根据供应商规定的加载方式进行，单元荷载不应大于额定荷载；货架及其周围应设置防护措施，不应遮挡、占压消防设备、安全设施、安全标志和人员疏散通道。</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《危险化学品储存场所建设及储存安全要求》（DB11/T 755）第5.2.3条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仿宋_GB2312" w:cs="仿宋_GB2312"/>
                <w:b/>
                <w:color w:val="000000" w:themeColor="text1"/>
                <w:kern w:val="0"/>
                <w:sz w:val="20"/>
                <w:szCs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15.3.02.158</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人员类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操作行为类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仓库的储存、装卸搬运与堆码、出入库作业、在库管理、个体防护、安全管理、人员与培训不符合要求。</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危险化学品经营企业危险化学品仓库的储存、装卸搬运与堆码、出入库作业、在库管理、个体防护、安全管理、人员与培训应符合GB 15603的有关规定。</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《危险化学品储存场所建设及储存安全要求》（DB11/T 755）第5.2.4条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仿宋_GB2312" w:cs="仿宋_GB2312"/>
                <w:b/>
                <w:color w:val="000000" w:themeColor="text1"/>
                <w:kern w:val="0"/>
                <w:sz w:val="20"/>
                <w:szCs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15.3.02.159</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人员类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操作行为类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气瓶仓库的作业人员、劳动保护、气瓶搬运及装卸、气瓶储存不符合要求。</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气瓶仓库的作业人员、劳动保护、气瓶搬运及装卸、气瓶储存应符合GB/T 34525的要求。</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《气瓶搬运、装卸、储存和使用安全规定》（GB/T 34525-2017）;</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《危险化学品储存场所建设及储存安全要求》（DB11/T 755）第5.2.7条</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仿宋_GB2312" w:cs="仿宋_GB2312"/>
                <w:b/>
                <w:color w:val="000000" w:themeColor="text1"/>
                <w:kern w:val="0"/>
                <w:sz w:val="20"/>
                <w:szCs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118" w:type="dxa"/>
            <w:gridSpan w:val="7"/>
            <w:tcBorders>
              <w:tl2br w:val="nil"/>
              <w:tr2bl w:val="nil"/>
            </w:tcBorders>
            <w:shd w:val="clear" w:color="auto" w:fill="95B3D7" w:themeFill="accent1" w:themeFillTint="99"/>
            <w:vAlign w:val="center"/>
          </w:tcPr>
          <w:p>
            <w:pPr>
              <w:suppressAutoHyphens/>
              <w:autoSpaceDE w:val="0"/>
              <w:autoSpaceDN w:val="0"/>
              <w:adjustRightInd w:val="0"/>
              <w:snapToGrid w:val="0"/>
              <w:spacing w:after="0" w:line="240" w:lineRule="auto"/>
              <w:jc w:val="center"/>
              <w:rPr>
                <w:rFonts w:hint="eastAsia" w:ascii="仿宋_GB2312" w:hAnsi="仿宋_GB2312" w:cs="仿宋_GB2312"/>
                <w:b/>
                <w:color w:val="000000" w:themeColor="text1"/>
                <w:kern w:val="0"/>
                <w:sz w:val="20"/>
                <w:szCs w:val="20"/>
                <w14:textFill>
                  <w14:solidFill>
                    <w14:schemeClr w14:val="tx1"/>
                  </w14:solidFill>
                </w14:textFill>
              </w:rPr>
            </w:pPr>
            <w:r>
              <w:rPr>
                <w:rFonts w:hint="eastAsia" w:ascii="仿宋_GB2312" w:hAnsi="仿宋_GB2312" w:cs="仿宋_GB2312"/>
                <w:b/>
                <w:color w:val="000000"/>
                <w:kern w:val="0"/>
                <w:sz w:val="20"/>
                <w:szCs w:val="20"/>
                <w:lang w:bidi="ar"/>
              </w:rPr>
              <w:t>危险化学品储罐（区）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15.2.03.160</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设备设施及物料类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辅助系统设备设施类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储罐储存危险化学品时，其储存的要求不符合GB 50016、DB11/T 833等标准的要求。液氧站的储存要求不符合GB 50030要求。氢气的储存要求不符合GB 4962和GB 50177的要求。</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储罐储存危险化学品时，其储存的要求尚应符合GB 50016、DB11/T 833等标准的要求。液氧站的储存要求应符合GB 50030要求。氢气的储存要求尚应符合GB 4962和GB 50177的要求。</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1191.3-2024）第6.8.1、6.8.2条；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《建筑设计防火规范（2018年版）》（GB 50016-2014）;</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《危险化学品地上储罐区安全要求》（DB11/T 833-2019）;</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《氧气站设计规范》（GB 50030-2013）;</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《氢气使用安全技术规程》（GB 4962-2008）;</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《氢气站设计规范》（GB 50177-2005）；</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仿宋_GB2312" w:cs="仿宋_GB2312"/>
                <w:b/>
                <w:color w:val="000000" w:themeColor="text1"/>
                <w:kern w:val="0"/>
                <w:sz w:val="20"/>
                <w:szCs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71"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15.3.02.161</w:t>
            </w:r>
          </w:p>
        </w:tc>
        <w:tc>
          <w:tcPr>
            <w:tcW w:w="1064"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人员类</w:t>
            </w:r>
          </w:p>
        </w:tc>
        <w:tc>
          <w:tcPr>
            <w:tcW w:w="1089" w:type="dxa"/>
            <w:tcBorders>
              <w:tl2br w:val="nil"/>
              <w:tr2bl w:val="nil"/>
            </w:tcBorders>
            <w:vAlign w:val="center"/>
          </w:tcPr>
          <w:p>
            <w:pPr>
              <w:suppressAutoHyphens/>
              <w:autoSpaceDE w:val="0"/>
              <w:autoSpaceDN w:val="0"/>
              <w:adjustRightInd w:val="0"/>
              <w:snapToGrid w:val="0"/>
              <w:spacing w:after="0" w:line="240" w:lineRule="auto"/>
              <w:jc w:val="center"/>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操作行为类</w:t>
            </w:r>
          </w:p>
        </w:tc>
        <w:tc>
          <w:tcPr>
            <w:tcW w:w="2861"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固定式氢气储罐、氢气管道等设备，不满足GB 4962、GB 50516 的规定，未定期开展点检和维护保养并留存记录。</w:t>
            </w:r>
          </w:p>
        </w:tc>
        <w:tc>
          <w:tcPr>
            <w:tcW w:w="3889"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固定式氢气储罐、氢气管道等设备，除满足GB 4962、GB 50516 的规定外，还需定期开展点检和维护保养并留存记录。</w:t>
            </w:r>
          </w:p>
        </w:tc>
        <w:tc>
          <w:tcPr>
            <w:tcW w:w="3868" w:type="dxa"/>
            <w:tcBorders>
              <w:tl2br w:val="nil"/>
              <w:tr2bl w:val="nil"/>
            </w:tcBorders>
            <w:vAlign w:val="center"/>
          </w:tcPr>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《实验室危险化学品安全管理要求 第3部分：科研单位》（DB11/T 1191.3-2024）第7.3.10条；</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《氢气使用安全技术规程》（GB 4962-2008）；</w:t>
            </w:r>
          </w:p>
          <w:p>
            <w:pPr>
              <w:suppressAutoHyphens/>
              <w:autoSpaceDE w:val="0"/>
              <w:autoSpaceDN w:val="0"/>
              <w:adjustRightInd w:val="0"/>
              <w:snapToGrid w:val="0"/>
              <w:spacing w:after="0" w:line="240" w:lineRule="auto"/>
              <w:rPr>
                <w:rFonts w:hint="eastAsia" w:ascii="仿宋_GB2312" w:hAnsi="仿宋_GB2312" w:cs="仿宋_GB2312"/>
                <w:color w:val="000000" w:themeColor="text1"/>
                <w:sz w:val="20"/>
                <w:szCs w:val="20"/>
                <w14:textFill>
                  <w14:solidFill>
                    <w14:schemeClr w14:val="tx1"/>
                  </w14:solidFill>
                </w14:textFill>
              </w:rPr>
            </w:pPr>
            <w:r>
              <w:rPr>
                <w:rFonts w:hint="eastAsia" w:ascii="仿宋_GB2312" w:hAnsi="仿宋_GB2312" w:cs="仿宋_GB2312"/>
                <w:color w:val="000000" w:themeColor="text1"/>
                <w:sz w:val="20"/>
                <w:szCs w:val="20"/>
                <w14:textFill>
                  <w14:solidFill>
                    <w14:schemeClr w14:val="tx1"/>
                  </w14:solidFill>
                </w14:textFill>
              </w:rPr>
              <w:t>《加氢站技术规范（2021年版）》（GB 50516-2010）</w:t>
            </w:r>
          </w:p>
        </w:tc>
        <w:tc>
          <w:tcPr>
            <w:tcW w:w="376" w:type="dxa"/>
            <w:tcBorders>
              <w:tl2br w:val="nil"/>
              <w:tr2bl w:val="nil"/>
            </w:tcBorders>
          </w:tcPr>
          <w:p>
            <w:pPr>
              <w:widowControl/>
              <w:suppressAutoHyphens/>
              <w:adjustRightInd w:val="0"/>
              <w:snapToGrid w:val="0"/>
              <w:spacing w:after="0" w:line="240" w:lineRule="auto"/>
              <w:jc w:val="center"/>
              <w:rPr>
                <w:rFonts w:hint="eastAsia" w:ascii="仿宋_GB2312" w:hAnsi="仿宋_GB2312" w:cs="仿宋_GB2312"/>
                <w:b/>
                <w:color w:val="000000" w:themeColor="text1"/>
                <w:kern w:val="0"/>
                <w:sz w:val="20"/>
                <w:szCs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4118" w:type="dxa"/>
            <w:gridSpan w:val="7"/>
            <w:tcBorders>
              <w:tl2br w:val="nil"/>
              <w:tr2bl w:val="nil"/>
            </w:tcBorders>
          </w:tcPr>
          <w:p>
            <w:pPr>
              <w:pStyle w:val="73"/>
              <w:adjustRightInd w:val="0"/>
              <w:snapToGrid w:val="0"/>
              <w:spacing w:before="0" w:beforeLines="0" w:after="0" w:afterLines="0" w:line="240" w:lineRule="auto"/>
              <w:outlineLvl w:val="9"/>
              <w:rPr>
                <w:rFonts w:hint="eastAsia" w:ascii="仿宋_GB2312" w:hAnsi="仿宋_GB2312" w:eastAsia="仿宋_GB2312" w:cs="仿宋_GB2312"/>
                <w:color w:val="000000" w:themeColor="text1"/>
                <w:kern w:val="2"/>
                <w:sz w:val="20"/>
                <w:szCs w:val="20"/>
                <w14:textFill>
                  <w14:solidFill>
                    <w14:schemeClr w14:val="tx1"/>
                  </w14:solidFill>
                </w14:textFill>
              </w:rPr>
            </w:pPr>
            <w:r>
              <w:rPr>
                <w:rFonts w:hint="eastAsia" w:ascii="仿宋_GB2312" w:hAnsi="仿宋_GB2312" w:eastAsia="仿宋_GB2312" w:cs="仿宋_GB2312"/>
                <w:color w:val="000000" w:themeColor="text1"/>
                <w:kern w:val="2"/>
                <w:sz w:val="20"/>
                <w:szCs w:val="20"/>
                <w14:textFill>
                  <w14:solidFill>
                    <w14:schemeClr w14:val="tx1"/>
                  </w14:solidFill>
                </w14:textFill>
              </w:rPr>
              <w:t>注：★1：</w:t>
            </w:r>
            <w:r>
              <w:rPr>
                <w:rFonts w:hint="eastAsia" w:ascii="仿宋_GB2312" w:hAnsi="仿宋_GB2312" w:eastAsia="仿宋_GB2312" w:cs="仿宋_GB2312"/>
                <w:color w:val="000000" w:themeColor="text1"/>
                <w:kern w:val="2"/>
                <w:sz w:val="20"/>
                <w:szCs w:val="20"/>
                <w:lang w:eastAsia="zh-CN"/>
                <w14:textFill>
                  <w14:solidFill>
                    <w14:schemeClr w14:val="tx1"/>
                  </w14:solidFill>
                </w14:textFill>
              </w:rPr>
              <w:t>化工和医药制造企业适用</w:t>
            </w:r>
            <w:r>
              <w:rPr>
                <w:rFonts w:hint="eastAsia" w:ascii="仿宋_GB2312" w:hAnsi="仿宋_GB2312" w:eastAsia="仿宋_GB2312" w:cs="仿宋_GB2312"/>
                <w:color w:val="000000" w:themeColor="text1"/>
                <w:kern w:val="2"/>
                <w:sz w:val="20"/>
                <w:szCs w:val="20"/>
                <w14:textFill>
                  <w14:solidFill>
                    <w14:schemeClr w14:val="tx1"/>
                  </w14:solidFill>
                </w14:textFill>
              </w:rPr>
              <w:t>《化工和危险化学品生产经营企业重大生产安全事故隐患判定准则（AQ3067-2026）》；</w:t>
            </w:r>
          </w:p>
          <w:p>
            <w:pPr>
              <w:pStyle w:val="73"/>
              <w:adjustRightInd w:val="0"/>
              <w:snapToGrid w:val="0"/>
              <w:spacing w:before="0" w:beforeLines="0" w:after="0" w:afterLines="0" w:line="240" w:lineRule="auto"/>
              <w:ind w:firstLine="400" w:firstLineChars="200"/>
              <w:outlineLvl w:val="9"/>
              <w:rPr>
                <w:rFonts w:hint="eastAsia" w:ascii="仿宋_GB2312" w:hAnsi="黑体" w:eastAsia="仿宋_GB2312"/>
                <w:sz w:val="20"/>
                <w:szCs w:val="20"/>
              </w:rPr>
            </w:pPr>
            <w:r>
              <w:rPr>
                <w:rFonts w:hint="eastAsia" w:ascii="仿宋_GB2312" w:hAnsi="仿宋_GB2312" w:eastAsia="仿宋_GB2312" w:cs="仿宋_GB2312"/>
                <w:color w:val="000000" w:themeColor="text1"/>
                <w:kern w:val="2"/>
                <w:sz w:val="20"/>
                <w:szCs w:val="20"/>
                <w14:textFill>
                  <w14:solidFill>
                    <w14:schemeClr w14:val="tx1"/>
                  </w14:solidFill>
                </w14:textFill>
              </w:rPr>
              <w:t>★2：《教育系统重大事故隐患判定指南》。</w:t>
            </w:r>
          </w:p>
        </w:tc>
      </w:tr>
    </w:tbl>
    <w:p>
      <w:pPr>
        <w:pStyle w:val="3"/>
        <w:ind w:left="0" w:leftChars="0"/>
        <w:rPr>
          <w:rFonts w:hint="eastAsia"/>
        </w:rPr>
      </w:pPr>
    </w:p>
    <w:p>
      <w:pPr>
        <w:rPr>
          <w:b/>
          <w:bCs/>
        </w:rPr>
      </w:pPr>
    </w:p>
    <w:sectPr>
      <w:pgSz w:w="16838" w:h="11906" w:orient="landscape"/>
      <w:pgMar w:top="1800" w:right="1440" w:bottom="1800" w:left="144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等线">
    <w:altName w:val="汉仪中宋简"/>
    <w:panose1 w:val="02010600030101010101"/>
    <w:charset w:val="86"/>
    <w:family w:val="auto"/>
    <w:pitch w:val="default"/>
    <w:sig w:usb0="00000000" w:usb1="00000000" w:usb2="00000016" w:usb3="00000000" w:csb0="0004000F" w:csb1="00000000"/>
  </w:font>
  <w:font w:name="微软雅黑">
    <w:altName w:val="方正黑体_GBK"/>
    <w:panose1 w:val="020B0503020204020204"/>
    <w:charset w:val="86"/>
    <w:family w:val="swiss"/>
    <w:pitch w:val="default"/>
    <w:sig w:usb0="00000000" w:usb1="00000000" w:usb2="00000016" w:usb3="00000000" w:csb0="0004001F" w:csb1="00000000"/>
  </w:font>
  <w:font w:name="Segoe UI">
    <w:altName w:val="Noto Music"/>
    <w:panose1 w:val="020B0502040204020203"/>
    <w:charset w:val="00"/>
    <w:family w:val="swiss"/>
    <w:pitch w:val="default"/>
    <w:sig w:usb0="00000000" w:usb1="00000000" w:usb2="00000009" w:usb3="00000000" w:csb0="200001FF" w:csb1="00000000"/>
  </w:font>
  <w:font w:name="Calibri Light">
    <w:altName w:val="DejaVu Sans"/>
    <w:panose1 w:val="020F0302020204030204"/>
    <w:charset w:val="00"/>
    <w:family w:val="swiss"/>
    <w:pitch w:val="default"/>
    <w:sig w:usb0="00000000" w:usb1="00000000" w:usb2="00000009" w:usb3="00000000" w:csb0="200001FF" w:csb1="00000000"/>
  </w:font>
  <w:font w:name="方正小标宋简体">
    <w:altName w:val="方正小标宋_GBK"/>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Impact">
    <w:panose1 w:val="020B0806030902050204"/>
    <w:charset w:val="00"/>
    <w:family w:val="auto"/>
    <w:pitch w:val="default"/>
    <w:sig w:usb0="00000287" w:usb1="00000000" w:usb2="00000000" w:usb3="00000000" w:csb0="2000009F" w:csb1="DFD70000"/>
  </w:font>
  <w:font w:name="方正小标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09885035"/>
                          </w:sdtPr>
                          <w:sdtContent>
                            <w:p>
                              <w:pPr>
                                <w:pStyle w:val="8"/>
                                <w:jc w:val="center"/>
                              </w:pPr>
                            </w:p>
                          </w:sdtContent>
                        </w:sdt>
                        <w:p>
                          <w:pPr>
                            <w:pStyle w:val="2"/>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sdt>
                    <w:sdtPr>
                      <w:id w:val="509885035"/>
                    </w:sdtPr>
                    <w:sdtContent>
                      <w:p>
                        <w:pPr>
                          <w:pStyle w:val="8"/>
                          <w:jc w:val="center"/>
                        </w:pPr>
                      </w:p>
                    </w:sdtContent>
                  </w:sdt>
                  <w:p>
                    <w:pPr>
                      <w:pStyle w:val="2"/>
                    </w:pP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sdt>
      <w:sdtPr>
        <w:id w:val="147479924"/>
      </w:sdtPr>
      <w:sdtContent/>
    </w:sdt>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32"/>
                              <w:szCs w:val="22"/>
                            </w:rPr>
                            <w:id w:val="147483172"/>
                          </w:sdtPr>
                          <w:sdtEndPr>
                            <w:rPr>
                              <w:sz w:val="32"/>
                              <w:szCs w:val="22"/>
                            </w:rPr>
                          </w:sdtEndPr>
                          <w:sdtContent>
                            <w:p>
                              <w:pPr>
                                <w:pStyle w:val="8"/>
                                <w:jc w:val="center"/>
                                <w:rPr>
                                  <w:sz w:val="32"/>
                                  <w:szCs w:val="22"/>
                                </w:rPr>
                              </w:pPr>
                              <w:r>
                                <w:fldChar w:fldCharType="begin"/>
                              </w:r>
                              <w:r>
                                <w:instrText xml:space="preserve">PAGE   \* MERGEFORMAT</w:instrText>
                              </w:r>
                              <w:r>
                                <w:fldChar w:fldCharType="separate"/>
                              </w:r>
                              <w:r>
                                <w:rPr>
                                  <w:lang w:val="zh-CN"/>
                                </w:rPr>
                                <w:t>2</w:t>
                              </w:r>
                              <w:r>
                                <w:fldChar w:fldCharType="end"/>
                              </w:r>
                            </w:p>
                          </w:sdtContent>
                        </w:sdt>
                        <w:p>
                          <w:pPr>
                            <w:pStyle w:val="2"/>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sdt>
                    <w:sdtPr>
                      <w:rPr>
                        <w:sz w:val="32"/>
                        <w:szCs w:val="22"/>
                      </w:rPr>
                      <w:id w:val="147483172"/>
                    </w:sdtPr>
                    <w:sdtEndPr>
                      <w:rPr>
                        <w:sz w:val="32"/>
                        <w:szCs w:val="22"/>
                      </w:rPr>
                    </w:sdtEndPr>
                    <w:sdtContent>
                      <w:p>
                        <w:pPr>
                          <w:pStyle w:val="8"/>
                          <w:jc w:val="center"/>
                          <w:rPr>
                            <w:sz w:val="32"/>
                            <w:szCs w:val="22"/>
                          </w:rPr>
                        </w:pPr>
                        <w:r>
                          <w:fldChar w:fldCharType="begin"/>
                        </w:r>
                        <w:r>
                          <w:instrText xml:space="preserve">PAGE   \* MERGEFORMAT</w:instrText>
                        </w:r>
                        <w:r>
                          <w:fldChar w:fldCharType="separate"/>
                        </w:r>
                        <w:r>
                          <w:rPr>
                            <w:lang w:val="zh-CN"/>
                          </w:rPr>
                          <w:t>2</w:t>
                        </w:r>
                        <w:r>
                          <w:fldChar w:fldCharType="end"/>
                        </w:r>
                      </w:p>
                    </w:sdtContent>
                  </w:sdt>
                  <w:p>
                    <w:pPr>
                      <w:pStyle w:val="2"/>
                    </w:pPr>
                  </w:p>
                </w:txbxContent>
              </v:textbox>
            </v:shape>
          </w:pict>
        </mc:Fallback>
      </mc:AlternateContent>
    </w:r>
  </w:p>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sdt>
      <w:sdtPr>
        <w:id w:val="147460999"/>
      </w:sdtPr>
      <w:sdtContent/>
    </w:sdt>
  </w:p>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EB9792"/>
    <w:multiLevelType w:val="singleLevel"/>
    <w:tmpl w:val="4EEB979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60"/>
  <w:drawingGridVerticalSpacing w:val="435"/>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774"/>
    <w:rsid w:val="0000585E"/>
    <w:rsid w:val="00022EF3"/>
    <w:rsid w:val="0002516F"/>
    <w:rsid w:val="000338F5"/>
    <w:rsid w:val="00057913"/>
    <w:rsid w:val="000601FA"/>
    <w:rsid w:val="0006467C"/>
    <w:rsid w:val="0007095F"/>
    <w:rsid w:val="000714EA"/>
    <w:rsid w:val="00073FEC"/>
    <w:rsid w:val="00075F29"/>
    <w:rsid w:val="00077197"/>
    <w:rsid w:val="00080840"/>
    <w:rsid w:val="00083886"/>
    <w:rsid w:val="00094420"/>
    <w:rsid w:val="000966A4"/>
    <w:rsid w:val="000B3913"/>
    <w:rsid w:val="000B3C47"/>
    <w:rsid w:val="000B6514"/>
    <w:rsid w:val="000F7D86"/>
    <w:rsid w:val="0010157C"/>
    <w:rsid w:val="00101744"/>
    <w:rsid w:val="001275C4"/>
    <w:rsid w:val="00176067"/>
    <w:rsid w:val="00182191"/>
    <w:rsid w:val="00191717"/>
    <w:rsid w:val="00191975"/>
    <w:rsid w:val="00197FA0"/>
    <w:rsid w:val="001A5CF5"/>
    <w:rsid w:val="001D37B4"/>
    <w:rsid w:val="001D61BF"/>
    <w:rsid w:val="001E0778"/>
    <w:rsid w:val="001E2CD1"/>
    <w:rsid w:val="001E35C3"/>
    <w:rsid w:val="001E3D35"/>
    <w:rsid w:val="001E3D98"/>
    <w:rsid w:val="001E3E50"/>
    <w:rsid w:val="001E4E09"/>
    <w:rsid w:val="001F64FF"/>
    <w:rsid w:val="002024DD"/>
    <w:rsid w:val="00216228"/>
    <w:rsid w:val="00230724"/>
    <w:rsid w:val="002372DA"/>
    <w:rsid w:val="00240C68"/>
    <w:rsid w:val="00256C1A"/>
    <w:rsid w:val="00262F66"/>
    <w:rsid w:val="00296779"/>
    <w:rsid w:val="002A2AB8"/>
    <w:rsid w:val="002A3DAC"/>
    <w:rsid w:val="002A46E5"/>
    <w:rsid w:val="002C664A"/>
    <w:rsid w:val="002D2363"/>
    <w:rsid w:val="002E5157"/>
    <w:rsid w:val="002E7A32"/>
    <w:rsid w:val="002F0873"/>
    <w:rsid w:val="002F444B"/>
    <w:rsid w:val="00302EB7"/>
    <w:rsid w:val="00310B16"/>
    <w:rsid w:val="0033115F"/>
    <w:rsid w:val="00332D49"/>
    <w:rsid w:val="0034227F"/>
    <w:rsid w:val="00352DE9"/>
    <w:rsid w:val="00364148"/>
    <w:rsid w:val="00365361"/>
    <w:rsid w:val="003864B2"/>
    <w:rsid w:val="003B2429"/>
    <w:rsid w:val="003B2FD9"/>
    <w:rsid w:val="003B6A15"/>
    <w:rsid w:val="003C56C0"/>
    <w:rsid w:val="003D6D0E"/>
    <w:rsid w:val="003E165B"/>
    <w:rsid w:val="003E670B"/>
    <w:rsid w:val="003F5253"/>
    <w:rsid w:val="003F7E00"/>
    <w:rsid w:val="00414917"/>
    <w:rsid w:val="004163D6"/>
    <w:rsid w:val="00422125"/>
    <w:rsid w:val="00423F09"/>
    <w:rsid w:val="00436003"/>
    <w:rsid w:val="0044154F"/>
    <w:rsid w:val="00441A4B"/>
    <w:rsid w:val="0044344B"/>
    <w:rsid w:val="0044391A"/>
    <w:rsid w:val="00457536"/>
    <w:rsid w:val="00464302"/>
    <w:rsid w:val="00466937"/>
    <w:rsid w:val="004816AF"/>
    <w:rsid w:val="0049424D"/>
    <w:rsid w:val="004B1BDC"/>
    <w:rsid w:val="004B2397"/>
    <w:rsid w:val="004D22EF"/>
    <w:rsid w:val="004E3D2A"/>
    <w:rsid w:val="0050091F"/>
    <w:rsid w:val="00506639"/>
    <w:rsid w:val="00514CA7"/>
    <w:rsid w:val="00520424"/>
    <w:rsid w:val="00523D7A"/>
    <w:rsid w:val="00531F5B"/>
    <w:rsid w:val="005548A1"/>
    <w:rsid w:val="00554BE2"/>
    <w:rsid w:val="00556B75"/>
    <w:rsid w:val="00557368"/>
    <w:rsid w:val="005667CC"/>
    <w:rsid w:val="0057742E"/>
    <w:rsid w:val="0058579E"/>
    <w:rsid w:val="00587830"/>
    <w:rsid w:val="00593BF4"/>
    <w:rsid w:val="005B4C69"/>
    <w:rsid w:val="005C068B"/>
    <w:rsid w:val="005C555F"/>
    <w:rsid w:val="005E0CD1"/>
    <w:rsid w:val="005E3CE3"/>
    <w:rsid w:val="00620CDC"/>
    <w:rsid w:val="006262DE"/>
    <w:rsid w:val="00643D29"/>
    <w:rsid w:val="00652328"/>
    <w:rsid w:val="006528D0"/>
    <w:rsid w:val="00656315"/>
    <w:rsid w:val="00667DBF"/>
    <w:rsid w:val="00673531"/>
    <w:rsid w:val="00675A29"/>
    <w:rsid w:val="00683D19"/>
    <w:rsid w:val="00687696"/>
    <w:rsid w:val="00690F38"/>
    <w:rsid w:val="00695D8C"/>
    <w:rsid w:val="006B03BC"/>
    <w:rsid w:val="006B495B"/>
    <w:rsid w:val="006B5005"/>
    <w:rsid w:val="006B6E88"/>
    <w:rsid w:val="006C075D"/>
    <w:rsid w:val="006D2F4C"/>
    <w:rsid w:val="006E2F65"/>
    <w:rsid w:val="006E7C63"/>
    <w:rsid w:val="006F3C88"/>
    <w:rsid w:val="00701615"/>
    <w:rsid w:val="007057DF"/>
    <w:rsid w:val="00714C82"/>
    <w:rsid w:val="0072357A"/>
    <w:rsid w:val="0073161D"/>
    <w:rsid w:val="007344E7"/>
    <w:rsid w:val="00745F48"/>
    <w:rsid w:val="00760FFE"/>
    <w:rsid w:val="00790A9A"/>
    <w:rsid w:val="007A007F"/>
    <w:rsid w:val="007A5749"/>
    <w:rsid w:val="007B4E60"/>
    <w:rsid w:val="007D080B"/>
    <w:rsid w:val="007F6319"/>
    <w:rsid w:val="00802913"/>
    <w:rsid w:val="00806CEF"/>
    <w:rsid w:val="00835872"/>
    <w:rsid w:val="00844779"/>
    <w:rsid w:val="0085427B"/>
    <w:rsid w:val="00862388"/>
    <w:rsid w:val="00862EBE"/>
    <w:rsid w:val="0087338D"/>
    <w:rsid w:val="008A12B6"/>
    <w:rsid w:val="008A4383"/>
    <w:rsid w:val="008A77EB"/>
    <w:rsid w:val="008B05CB"/>
    <w:rsid w:val="008B1B5B"/>
    <w:rsid w:val="008B6F09"/>
    <w:rsid w:val="008D4956"/>
    <w:rsid w:val="008F45A1"/>
    <w:rsid w:val="00937786"/>
    <w:rsid w:val="00955343"/>
    <w:rsid w:val="00966BE8"/>
    <w:rsid w:val="00967D1F"/>
    <w:rsid w:val="00967D74"/>
    <w:rsid w:val="00990690"/>
    <w:rsid w:val="009932E1"/>
    <w:rsid w:val="0099767D"/>
    <w:rsid w:val="009B37ED"/>
    <w:rsid w:val="00A105EB"/>
    <w:rsid w:val="00A20F88"/>
    <w:rsid w:val="00A219E4"/>
    <w:rsid w:val="00A26A12"/>
    <w:rsid w:val="00A33470"/>
    <w:rsid w:val="00A63968"/>
    <w:rsid w:val="00A66C63"/>
    <w:rsid w:val="00A670DA"/>
    <w:rsid w:val="00A94D03"/>
    <w:rsid w:val="00AA066E"/>
    <w:rsid w:val="00AC294B"/>
    <w:rsid w:val="00AC4F14"/>
    <w:rsid w:val="00AD0B86"/>
    <w:rsid w:val="00AD2A2E"/>
    <w:rsid w:val="00AE62DA"/>
    <w:rsid w:val="00AF25F7"/>
    <w:rsid w:val="00B21D59"/>
    <w:rsid w:val="00B2476C"/>
    <w:rsid w:val="00B255DF"/>
    <w:rsid w:val="00B25C80"/>
    <w:rsid w:val="00B279F7"/>
    <w:rsid w:val="00B365F5"/>
    <w:rsid w:val="00B42311"/>
    <w:rsid w:val="00B4627D"/>
    <w:rsid w:val="00B743AD"/>
    <w:rsid w:val="00B76940"/>
    <w:rsid w:val="00B91EF5"/>
    <w:rsid w:val="00BC5CE5"/>
    <w:rsid w:val="00BD1CE1"/>
    <w:rsid w:val="00BD36CD"/>
    <w:rsid w:val="00BF3743"/>
    <w:rsid w:val="00C24A16"/>
    <w:rsid w:val="00C30B11"/>
    <w:rsid w:val="00C35E25"/>
    <w:rsid w:val="00C4062E"/>
    <w:rsid w:val="00C456AD"/>
    <w:rsid w:val="00C45F59"/>
    <w:rsid w:val="00C97E17"/>
    <w:rsid w:val="00CA14B9"/>
    <w:rsid w:val="00CA475E"/>
    <w:rsid w:val="00CA611C"/>
    <w:rsid w:val="00CB1F0D"/>
    <w:rsid w:val="00CC3A1C"/>
    <w:rsid w:val="00CD47E4"/>
    <w:rsid w:val="00CF2601"/>
    <w:rsid w:val="00CF7129"/>
    <w:rsid w:val="00D1620C"/>
    <w:rsid w:val="00D54104"/>
    <w:rsid w:val="00D71817"/>
    <w:rsid w:val="00D71DCB"/>
    <w:rsid w:val="00D7638B"/>
    <w:rsid w:val="00D84EF4"/>
    <w:rsid w:val="00D924C2"/>
    <w:rsid w:val="00DB73A9"/>
    <w:rsid w:val="00DD3F98"/>
    <w:rsid w:val="00DE1DD3"/>
    <w:rsid w:val="00DE7443"/>
    <w:rsid w:val="00DF5619"/>
    <w:rsid w:val="00DF56A8"/>
    <w:rsid w:val="00E008E8"/>
    <w:rsid w:val="00E00C31"/>
    <w:rsid w:val="00E128D1"/>
    <w:rsid w:val="00E359A5"/>
    <w:rsid w:val="00E46C6D"/>
    <w:rsid w:val="00E5268B"/>
    <w:rsid w:val="00E54395"/>
    <w:rsid w:val="00E56542"/>
    <w:rsid w:val="00E6311D"/>
    <w:rsid w:val="00E72DF4"/>
    <w:rsid w:val="00E86FCD"/>
    <w:rsid w:val="00EA3EC3"/>
    <w:rsid w:val="00EB07DC"/>
    <w:rsid w:val="00EB349E"/>
    <w:rsid w:val="00EC297C"/>
    <w:rsid w:val="00EC7E97"/>
    <w:rsid w:val="00ED2B55"/>
    <w:rsid w:val="00ED5A72"/>
    <w:rsid w:val="00F043F8"/>
    <w:rsid w:val="00F05752"/>
    <w:rsid w:val="00F05D03"/>
    <w:rsid w:val="00F341AE"/>
    <w:rsid w:val="00F41827"/>
    <w:rsid w:val="00F42F9D"/>
    <w:rsid w:val="00F603F1"/>
    <w:rsid w:val="00F64D19"/>
    <w:rsid w:val="00F72136"/>
    <w:rsid w:val="00F7685E"/>
    <w:rsid w:val="00F839C0"/>
    <w:rsid w:val="00FA4984"/>
    <w:rsid w:val="00FB20C0"/>
    <w:rsid w:val="00FB7AAC"/>
    <w:rsid w:val="00FC7366"/>
    <w:rsid w:val="00FD3626"/>
    <w:rsid w:val="00FE5A31"/>
    <w:rsid w:val="01560A8F"/>
    <w:rsid w:val="019E2F78"/>
    <w:rsid w:val="01F64958"/>
    <w:rsid w:val="03BD10F7"/>
    <w:rsid w:val="0657329C"/>
    <w:rsid w:val="06734B80"/>
    <w:rsid w:val="077010BF"/>
    <w:rsid w:val="079B5FAE"/>
    <w:rsid w:val="07EC6998"/>
    <w:rsid w:val="09364AD8"/>
    <w:rsid w:val="09D97492"/>
    <w:rsid w:val="0A791D37"/>
    <w:rsid w:val="0C333335"/>
    <w:rsid w:val="0CCB5802"/>
    <w:rsid w:val="0E1359C3"/>
    <w:rsid w:val="104939B2"/>
    <w:rsid w:val="131A1DA0"/>
    <w:rsid w:val="13637D2A"/>
    <w:rsid w:val="1579D7BA"/>
    <w:rsid w:val="15A43DFF"/>
    <w:rsid w:val="168D7598"/>
    <w:rsid w:val="16C1163C"/>
    <w:rsid w:val="17051824"/>
    <w:rsid w:val="178C1BF8"/>
    <w:rsid w:val="17A56B63"/>
    <w:rsid w:val="1A47343B"/>
    <w:rsid w:val="1DC00253"/>
    <w:rsid w:val="1DF53C97"/>
    <w:rsid w:val="1EC87CAF"/>
    <w:rsid w:val="1ECF49D4"/>
    <w:rsid w:val="1FBD5089"/>
    <w:rsid w:val="216B61F7"/>
    <w:rsid w:val="21E85FCA"/>
    <w:rsid w:val="220C4615"/>
    <w:rsid w:val="22681AF0"/>
    <w:rsid w:val="25416343"/>
    <w:rsid w:val="25576C8D"/>
    <w:rsid w:val="255F7C66"/>
    <w:rsid w:val="26A646AE"/>
    <w:rsid w:val="26D85A0C"/>
    <w:rsid w:val="27FF9F33"/>
    <w:rsid w:val="285F4B0C"/>
    <w:rsid w:val="29B13146"/>
    <w:rsid w:val="2AD4583F"/>
    <w:rsid w:val="2B8F395A"/>
    <w:rsid w:val="2CBE6B86"/>
    <w:rsid w:val="2CCB4CE1"/>
    <w:rsid w:val="2F0B3832"/>
    <w:rsid w:val="300F1E22"/>
    <w:rsid w:val="3118172F"/>
    <w:rsid w:val="31474F63"/>
    <w:rsid w:val="32F8204D"/>
    <w:rsid w:val="330B55E8"/>
    <w:rsid w:val="35A40002"/>
    <w:rsid w:val="36405F7D"/>
    <w:rsid w:val="3706762C"/>
    <w:rsid w:val="37EDFA33"/>
    <w:rsid w:val="38482701"/>
    <w:rsid w:val="3BF0289A"/>
    <w:rsid w:val="3BFFDE1E"/>
    <w:rsid w:val="3D472CC4"/>
    <w:rsid w:val="3E4F0392"/>
    <w:rsid w:val="3E6622F9"/>
    <w:rsid w:val="3FDF3E1C"/>
    <w:rsid w:val="418A4596"/>
    <w:rsid w:val="43123412"/>
    <w:rsid w:val="43621049"/>
    <w:rsid w:val="449F6B7A"/>
    <w:rsid w:val="44F53E14"/>
    <w:rsid w:val="4616052D"/>
    <w:rsid w:val="461C0B94"/>
    <w:rsid w:val="46B1432D"/>
    <w:rsid w:val="483237F4"/>
    <w:rsid w:val="485B09F4"/>
    <w:rsid w:val="48BC5937"/>
    <w:rsid w:val="49EB2F34"/>
    <w:rsid w:val="4A7F0686"/>
    <w:rsid w:val="4A8A4D28"/>
    <w:rsid w:val="4B4E0741"/>
    <w:rsid w:val="4D5428AC"/>
    <w:rsid w:val="4DEC8C0B"/>
    <w:rsid w:val="4F157342"/>
    <w:rsid w:val="4FEE47C1"/>
    <w:rsid w:val="53194404"/>
    <w:rsid w:val="549D0BD7"/>
    <w:rsid w:val="54E72F1D"/>
    <w:rsid w:val="55602218"/>
    <w:rsid w:val="55BC4589"/>
    <w:rsid w:val="55D41DE6"/>
    <w:rsid w:val="55DD7699"/>
    <w:rsid w:val="578F20E6"/>
    <w:rsid w:val="57D01D17"/>
    <w:rsid w:val="57DEAF4C"/>
    <w:rsid w:val="58450D79"/>
    <w:rsid w:val="598633F7"/>
    <w:rsid w:val="5A15089C"/>
    <w:rsid w:val="5ACF703A"/>
    <w:rsid w:val="5B7D1677"/>
    <w:rsid w:val="5B9E1213"/>
    <w:rsid w:val="5BA869CE"/>
    <w:rsid w:val="5BF733C7"/>
    <w:rsid w:val="5C976331"/>
    <w:rsid w:val="5D0631CD"/>
    <w:rsid w:val="5D335644"/>
    <w:rsid w:val="5D363379"/>
    <w:rsid w:val="5D620399"/>
    <w:rsid w:val="5D7C3961"/>
    <w:rsid w:val="5E8B0E53"/>
    <w:rsid w:val="5F5226F9"/>
    <w:rsid w:val="5FEF7FFE"/>
    <w:rsid w:val="5FFFC8FD"/>
    <w:rsid w:val="60145700"/>
    <w:rsid w:val="60255718"/>
    <w:rsid w:val="618F69A0"/>
    <w:rsid w:val="624C0186"/>
    <w:rsid w:val="62B40FD5"/>
    <w:rsid w:val="62BC3405"/>
    <w:rsid w:val="64795C7D"/>
    <w:rsid w:val="65FFE588"/>
    <w:rsid w:val="6732665A"/>
    <w:rsid w:val="674943E2"/>
    <w:rsid w:val="67BF9FE3"/>
    <w:rsid w:val="682D467F"/>
    <w:rsid w:val="68CD6E3C"/>
    <w:rsid w:val="68E32614"/>
    <w:rsid w:val="69472BA3"/>
    <w:rsid w:val="6A8B2F63"/>
    <w:rsid w:val="6AD42215"/>
    <w:rsid w:val="6ADA943D"/>
    <w:rsid w:val="6AEA7C8A"/>
    <w:rsid w:val="6AEB57B0"/>
    <w:rsid w:val="6B502ACE"/>
    <w:rsid w:val="6BFA65EF"/>
    <w:rsid w:val="6BFF3B80"/>
    <w:rsid w:val="6CEDC98A"/>
    <w:rsid w:val="6D356FF5"/>
    <w:rsid w:val="6D5749E0"/>
    <w:rsid w:val="6E1F40EF"/>
    <w:rsid w:val="6F66605F"/>
    <w:rsid w:val="6FBCE294"/>
    <w:rsid w:val="70860455"/>
    <w:rsid w:val="70FF41D4"/>
    <w:rsid w:val="726411F2"/>
    <w:rsid w:val="72E7E842"/>
    <w:rsid w:val="73B9017B"/>
    <w:rsid w:val="74447854"/>
    <w:rsid w:val="75063912"/>
    <w:rsid w:val="754750EA"/>
    <w:rsid w:val="75D977E0"/>
    <w:rsid w:val="75FB29A8"/>
    <w:rsid w:val="76004817"/>
    <w:rsid w:val="7650507B"/>
    <w:rsid w:val="765D3A06"/>
    <w:rsid w:val="77147E3D"/>
    <w:rsid w:val="77BFA6DE"/>
    <w:rsid w:val="77DF7124"/>
    <w:rsid w:val="782F0063"/>
    <w:rsid w:val="787E547C"/>
    <w:rsid w:val="791E4907"/>
    <w:rsid w:val="795E631D"/>
    <w:rsid w:val="796F5A37"/>
    <w:rsid w:val="79F418AB"/>
    <w:rsid w:val="7A3957C3"/>
    <w:rsid w:val="7A9E283F"/>
    <w:rsid w:val="7BCD065D"/>
    <w:rsid w:val="7BFDB278"/>
    <w:rsid w:val="7C3D5117"/>
    <w:rsid w:val="7D9EDBDF"/>
    <w:rsid w:val="7E424CBA"/>
    <w:rsid w:val="7E5FBE10"/>
    <w:rsid w:val="7E6EAEE0"/>
    <w:rsid w:val="7F373604"/>
    <w:rsid w:val="7F426DD6"/>
    <w:rsid w:val="7FB7A0B4"/>
    <w:rsid w:val="7FBE8EE6"/>
    <w:rsid w:val="7FCB5182"/>
    <w:rsid w:val="7FDD1460"/>
    <w:rsid w:val="9601B890"/>
    <w:rsid w:val="976D7FA2"/>
    <w:rsid w:val="9F37FFCA"/>
    <w:rsid w:val="A8FFFD52"/>
    <w:rsid w:val="B7E5C91F"/>
    <w:rsid w:val="C9D372CA"/>
    <w:rsid w:val="CFFD180D"/>
    <w:rsid w:val="DAF26BBC"/>
    <w:rsid w:val="DBFFD6F9"/>
    <w:rsid w:val="DDBDF7D8"/>
    <w:rsid w:val="DF7FFD54"/>
    <w:rsid w:val="DFDFDF7E"/>
    <w:rsid w:val="DFE94E46"/>
    <w:rsid w:val="E7F72CBD"/>
    <w:rsid w:val="EDAB5F4E"/>
    <w:rsid w:val="F1FF0D4C"/>
    <w:rsid w:val="F3BF72CD"/>
    <w:rsid w:val="F4FDACE8"/>
    <w:rsid w:val="F7FFAA41"/>
    <w:rsid w:val="F9DF059D"/>
    <w:rsid w:val="FAAF4822"/>
    <w:rsid w:val="FB0A7CA1"/>
    <w:rsid w:val="FCED7C12"/>
    <w:rsid w:val="FD6F4489"/>
    <w:rsid w:val="FDBDEAB7"/>
    <w:rsid w:val="FEEBF2C0"/>
    <w:rsid w:val="FF9F3F4C"/>
    <w:rsid w:val="FF9FCA52"/>
    <w:rsid w:val="FFD675DA"/>
    <w:rsid w:val="FFFB9803"/>
    <w:rsid w:val="FFFF0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360" w:lineRule="auto"/>
      <w:jc w:val="both"/>
    </w:pPr>
    <w:rPr>
      <w:rFonts w:eastAsia="仿宋_GB2312" w:asciiTheme="minorHAnsi" w:hAnsiTheme="minorHAnsi" w:cstheme="minorBidi"/>
      <w:kern w:val="2"/>
      <w:sz w:val="32"/>
      <w:szCs w:val="22"/>
      <w:lang w:val="en-US" w:eastAsia="zh-CN" w:bidi="ar-SA"/>
    </w:rPr>
  </w:style>
  <w:style w:type="paragraph" w:styleId="4">
    <w:name w:val="heading 1"/>
    <w:basedOn w:val="1"/>
    <w:next w:val="1"/>
    <w:link w:val="17"/>
    <w:qFormat/>
    <w:uiPriority w:val="0"/>
    <w:pPr>
      <w:keepNext/>
      <w:keepLines/>
      <w:spacing w:before="120" w:after="120"/>
      <w:outlineLvl w:val="0"/>
    </w:pPr>
    <w:rPr>
      <w:b/>
      <w:bCs/>
      <w:kern w:val="44"/>
      <w:sz w:val="44"/>
      <w:szCs w:val="44"/>
    </w:rPr>
  </w:style>
  <w:style w:type="paragraph" w:styleId="5">
    <w:name w:val="heading 2"/>
    <w:basedOn w:val="1"/>
    <w:next w:val="1"/>
    <w:link w:val="21"/>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6">
    <w:name w:val="heading 3"/>
    <w:basedOn w:val="1"/>
    <w:next w:val="1"/>
    <w:link w:val="22"/>
    <w:semiHidden/>
    <w:unhideWhenUsed/>
    <w:qFormat/>
    <w:uiPriority w:val="0"/>
    <w:pPr>
      <w:keepNext/>
      <w:keepLines/>
      <w:spacing w:before="260" w:after="260" w:line="415" w:lineRule="auto"/>
      <w:jc w:val="left"/>
      <w:outlineLvl w:val="2"/>
    </w:pPr>
    <w:rPr>
      <w:rFonts w:ascii="Times New Roman" w:hAnsi="Times New Roman" w:eastAsia="Times New Roman" w:cs="Times New Roman"/>
      <w:b/>
      <w:bCs/>
      <w:color w:val="000000"/>
      <w:kern w:val="0"/>
      <w:szCs w:val="32"/>
      <w:lang w:eastAsia="en-US" w:bidi="en-US"/>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99"/>
    <w:pPr>
      <w:ind w:firstLine="420" w:firstLineChars="200"/>
    </w:pPr>
    <w:rPr>
      <w:rFonts w:eastAsiaTheme="minorEastAsia"/>
      <w:kern w:val="0"/>
    </w:rPr>
  </w:style>
  <w:style w:type="paragraph" w:styleId="3">
    <w:name w:val="Body Text Indent"/>
    <w:basedOn w:val="1"/>
    <w:next w:val="2"/>
    <w:qFormat/>
    <w:uiPriority w:val="0"/>
    <w:pPr>
      <w:spacing w:after="120"/>
      <w:ind w:left="420" w:leftChars="200"/>
    </w:pPr>
  </w:style>
  <w:style w:type="paragraph" w:styleId="7">
    <w:name w:val="annotation text"/>
    <w:basedOn w:val="1"/>
    <w:semiHidden/>
    <w:unhideWhenUsed/>
    <w:qFormat/>
    <w:uiPriority w:val="99"/>
    <w:pPr>
      <w:jc w:val="left"/>
    </w:pPr>
  </w:style>
  <w:style w:type="paragraph" w:styleId="8">
    <w:name w:val="footer"/>
    <w:basedOn w:val="1"/>
    <w:link w:val="19"/>
    <w:unhideWhenUsed/>
    <w:qFormat/>
    <w:uiPriority w:val="0"/>
    <w:pPr>
      <w:tabs>
        <w:tab w:val="center" w:pos="4153"/>
        <w:tab w:val="right" w:pos="8306"/>
      </w:tabs>
      <w:snapToGrid w:val="0"/>
      <w:spacing w:line="240" w:lineRule="auto"/>
      <w:jc w:val="left"/>
    </w:pPr>
    <w:rPr>
      <w:sz w:val="18"/>
      <w:szCs w:val="18"/>
    </w:rPr>
  </w:style>
  <w:style w:type="paragraph" w:styleId="9">
    <w:name w:val="header"/>
    <w:basedOn w:val="1"/>
    <w:link w:val="18"/>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0">
    <w:name w:val="Normal (Web)"/>
    <w:basedOn w:val="1"/>
    <w:unhideWhenUsed/>
    <w:qFormat/>
    <w:uiPriority w:val="99"/>
    <w:pPr>
      <w:widowControl/>
      <w:spacing w:before="100" w:beforeAutospacing="1" w:after="100" w:afterAutospacing="1" w:line="240" w:lineRule="auto"/>
      <w:jc w:val="left"/>
    </w:pPr>
    <w:rPr>
      <w:rFonts w:ascii="宋体" w:hAnsi="宋体" w:eastAsia="宋体" w:cs="宋体"/>
      <w:kern w:val="0"/>
      <w:sz w:val="24"/>
      <w:szCs w:val="24"/>
    </w:rPr>
  </w:style>
  <w:style w:type="paragraph" w:styleId="11">
    <w:name w:val="Body Text First Indent 2"/>
    <w:basedOn w:val="3"/>
    <w:qFormat/>
    <w:uiPriority w:val="0"/>
    <w:pPr>
      <w:spacing w:after="0"/>
      <w:ind w:firstLine="420" w:firstLineChars="200"/>
    </w:pPr>
  </w:style>
  <w:style w:type="table" w:styleId="13">
    <w:name w:val="Table Grid"/>
    <w:basedOn w:val="12"/>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semiHidden/>
    <w:unhideWhenUsed/>
    <w:qFormat/>
    <w:uiPriority w:val="0"/>
    <w:rPr>
      <w:color w:val="954F72"/>
      <w:u w:val="single"/>
    </w:rPr>
  </w:style>
  <w:style w:type="character" w:styleId="16">
    <w:name w:val="Hyperlink"/>
    <w:basedOn w:val="14"/>
    <w:semiHidden/>
    <w:unhideWhenUsed/>
    <w:qFormat/>
    <w:uiPriority w:val="0"/>
    <w:rPr>
      <w:color w:val="0563C1"/>
      <w:u w:val="single"/>
    </w:rPr>
  </w:style>
  <w:style w:type="character" w:customStyle="1" w:styleId="17">
    <w:name w:val="标题 1 字符"/>
    <w:basedOn w:val="14"/>
    <w:link w:val="4"/>
    <w:qFormat/>
    <w:uiPriority w:val="0"/>
    <w:rPr>
      <w:rFonts w:eastAsia="仿宋_GB2312"/>
      <w:b/>
      <w:bCs/>
      <w:kern w:val="44"/>
      <w:sz w:val="44"/>
      <w:szCs w:val="44"/>
    </w:rPr>
  </w:style>
  <w:style w:type="character" w:customStyle="1" w:styleId="18">
    <w:name w:val="页眉 字符"/>
    <w:basedOn w:val="14"/>
    <w:link w:val="9"/>
    <w:qFormat/>
    <w:uiPriority w:val="0"/>
    <w:rPr>
      <w:rFonts w:eastAsia="仿宋_GB2312"/>
      <w:sz w:val="18"/>
      <w:szCs w:val="18"/>
    </w:rPr>
  </w:style>
  <w:style w:type="character" w:customStyle="1" w:styleId="19">
    <w:name w:val="页脚 字符"/>
    <w:basedOn w:val="14"/>
    <w:link w:val="8"/>
    <w:qFormat/>
    <w:uiPriority w:val="0"/>
    <w:rPr>
      <w:rFonts w:eastAsia="仿宋_GB2312"/>
      <w:sz w:val="18"/>
      <w:szCs w:val="18"/>
    </w:rPr>
  </w:style>
  <w:style w:type="paragraph" w:styleId="20">
    <w:name w:val="List Paragraph"/>
    <w:basedOn w:val="1"/>
    <w:qFormat/>
    <w:uiPriority w:val="34"/>
    <w:pPr>
      <w:ind w:firstLine="420" w:firstLineChars="200"/>
    </w:pPr>
  </w:style>
  <w:style w:type="character" w:customStyle="1" w:styleId="21">
    <w:name w:val="标题 2 字符"/>
    <w:basedOn w:val="14"/>
    <w:link w:val="5"/>
    <w:qFormat/>
    <w:uiPriority w:val="0"/>
    <w:rPr>
      <w:rFonts w:asciiTheme="majorHAnsi" w:hAnsiTheme="majorHAnsi" w:eastAsiaTheme="majorEastAsia" w:cstheme="majorBidi"/>
      <w:b/>
      <w:bCs/>
      <w:sz w:val="32"/>
      <w:szCs w:val="32"/>
    </w:rPr>
  </w:style>
  <w:style w:type="character" w:customStyle="1" w:styleId="22">
    <w:name w:val="标题 3 字符"/>
    <w:basedOn w:val="14"/>
    <w:link w:val="6"/>
    <w:semiHidden/>
    <w:qFormat/>
    <w:uiPriority w:val="0"/>
    <w:rPr>
      <w:rFonts w:ascii="Times New Roman" w:hAnsi="Times New Roman" w:eastAsia="Times New Roman" w:cs="Times New Roman"/>
      <w:b/>
      <w:bCs/>
      <w:color w:val="000000"/>
      <w:kern w:val="0"/>
      <w:sz w:val="32"/>
      <w:szCs w:val="32"/>
      <w:lang w:eastAsia="en-US" w:bidi="en-US"/>
    </w:rPr>
  </w:style>
  <w:style w:type="paragraph" w:customStyle="1" w:styleId="23">
    <w:name w:val="msonormal"/>
    <w:basedOn w:val="1"/>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paragraph" w:customStyle="1" w:styleId="24">
    <w:name w:val="font5"/>
    <w:basedOn w:val="1"/>
    <w:qFormat/>
    <w:uiPriority w:val="0"/>
    <w:pPr>
      <w:widowControl/>
      <w:spacing w:before="100" w:beforeAutospacing="1" w:after="100" w:afterAutospacing="1" w:line="240" w:lineRule="auto"/>
      <w:jc w:val="left"/>
    </w:pPr>
    <w:rPr>
      <w:rFonts w:ascii="等线" w:hAnsi="等线" w:eastAsia="等线" w:cs="宋体"/>
      <w:kern w:val="0"/>
      <w:sz w:val="18"/>
      <w:szCs w:val="18"/>
    </w:rPr>
  </w:style>
  <w:style w:type="paragraph" w:customStyle="1" w:styleId="25">
    <w:name w:val="font6"/>
    <w:basedOn w:val="1"/>
    <w:qFormat/>
    <w:uiPriority w:val="0"/>
    <w:pPr>
      <w:widowControl/>
      <w:spacing w:before="100" w:beforeAutospacing="1" w:after="100" w:afterAutospacing="1" w:line="240" w:lineRule="auto"/>
      <w:jc w:val="left"/>
    </w:pPr>
    <w:rPr>
      <w:rFonts w:ascii="仿宋_GB2312" w:hAnsi="宋体" w:cs="宋体"/>
      <w:color w:val="000000"/>
      <w:kern w:val="0"/>
      <w:sz w:val="20"/>
      <w:szCs w:val="20"/>
    </w:rPr>
  </w:style>
  <w:style w:type="paragraph" w:customStyle="1" w:styleId="26">
    <w:name w:val="font7"/>
    <w:basedOn w:val="1"/>
    <w:qFormat/>
    <w:uiPriority w:val="0"/>
    <w:pPr>
      <w:widowControl/>
      <w:spacing w:before="100" w:beforeAutospacing="1" w:after="100" w:afterAutospacing="1" w:line="240" w:lineRule="auto"/>
      <w:jc w:val="left"/>
    </w:pPr>
    <w:rPr>
      <w:rFonts w:ascii="仿宋_GB2312" w:hAnsi="宋体" w:cs="宋体"/>
      <w:color w:val="000000"/>
      <w:kern w:val="0"/>
      <w:sz w:val="20"/>
      <w:szCs w:val="20"/>
    </w:rPr>
  </w:style>
  <w:style w:type="paragraph" w:customStyle="1" w:styleId="27">
    <w:name w:val="font8"/>
    <w:basedOn w:val="1"/>
    <w:qFormat/>
    <w:uiPriority w:val="0"/>
    <w:pPr>
      <w:widowControl/>
      <w:spacing w:before="100" w:beforeAutospacing="1" w:after="100" w:afterAutospacing="1" w:line="240" w:lineRule="auto"/>
      <w:jc w:val="left"/>
    </w:pPr>
    <w:rPr>
      <w:rFonts w:ascii="微软雅黑" w:hAnsi="微软雅黑" w:eastAsia="微软雅黑" w:cs="宋体"/>
      <w:color w:val="000000"/>
      <w:kern w:val="0"/>
      <w:sz w:val="20"/>
      <w:szCs w:val="20"/>
    </w:rPr>
  </w:style>
  <w:style w:type="paragraph" w:customStyle="1" w:styleId="28">
    <w:name w:val="font9"/>
    <w:basedOn w:val="1"/>
    <w:qFormat/>
    <w:uiPriority w:val="0"/>
    <w:pPr>
      <w:widowControl/>
      <w:spacing w:before="100" w:beforeAutospacing="1" w:after="100" w:afterAutospacing="1" w:line="240" w:lineRule="auto"/>
      <w:jc w:val="left"/>
    </w:pPr>
    <w:rPr>
      <w:rFonts w:ascii="仿宋_GB2312" w:hAnsi="宋体" w:cs="宋体"/>
      <w:b/>
      <w:bCs/>
      <w:color w:val="000000"/>
      <w:kern w:val="0"/>
      <w:sz w:val="20"/>
      <w:szCs w:val="20"/>
    </w:rPr>
  </w:style>
  <w:style w:type="paragraph" w:customStyle="1" w:styleId="2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eastAsia="宋体" w:cs="宋体"/>
      <w:kern w:val="0"/>
      <w:sz w:val="24"/>
      <w:szCs w:val="24"/>
    </w:rPr>
  </w:style>
  <w:style w:type="paragraph" w:customStyle="1" w:styleId="3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仿宋_GB2312" w:hAnsi="宋体" w:cs="宋体"/>
      <w:color w:val="000000"/>
      <w:kern w:val="0"/>
      <w:sz w:val="20"/>
      <w:szCs w:val="20"/>
    </w:rPr>
  </w:style>
  <w:style w:type="paragraph" w:customStyle="1" w:styleId="31">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仿宋_GB2312" w:hAnsi="宋体" w:cs="宋体"/>
      <w:color w:val="000000"/>
      <w:kern w:val="0"/>
      <w:sz w:val="20"/>
      <w:szCs w:val="20"/>
    </w:rPr>
  </w:style>
  <w:style w:type="paragraph" w:customStyle="1" w:styleId="3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仿宋_GB2312" w:hAnsi="宋体" w:cs="宋体"/>
      <w:kern w:val="0"/>
      <w:sz w:val="20"/>
      <w:szCs w:val="20"/>
    </w:rPr>
  </w:style>
  <w:style w:type="paragraph" w:customStyle="1" w:styleId="3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仿宋_GB2312" w:hAnsi="宋体" w:cs="宋体"/>
      <w:color w:val="000000"/>
      <w:kern w:val="0"/>
      <w:sz w:val="20"/>
      <w:szCs w:val="20"/>
    </w:rPr>
  </w:style>
  <w:style w:type="paragraph" w:customStyle="1" w:styleId="34">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ascii="仿宋_GB2312" w:hAnsi="宋体" w:cs="宋体"/>
      <w:color w:val="000000"/>
      <w:kern w:val="0"/>
      <w:sz w:val="20"/>
      <w:szCs w:val="20"/>
    </w:rPr>
  </w:style>
  <w:style w:type="paragraph" w:customStyle="1" w:styleId="3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_GB2312" w:hAnsi="宋体" w:cs="宋体"/>
      <w:kern w:val="0"/>
      <w:sz w:val="20"/>
      <w:szCs w:val="20"/>
    </w:rPr>
  </w:style>
  <w:style w:type="paragraph" w:customStyle="1" w:styleId="36">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仿宋_GB2312" w:hAnsi="宋体" w:cs="宋体"/>
      <w:color w:val="000000"/>
      <w:kern w:val="0"/>
      <w:sz w:val="20"/>
      <w:szCs w:val="20"/>
    </w:rPr>
  </w:style>
  <w:style w:type="paragraph" w:customStyle="1" w:styleId="3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仿宋_GB2312" w:hAnsi="宋体" w:cs="宋体"/>
      <w:kern w:val="0"/>
      <w:sz w:val="20"/>
      <w:szCs w:val="20"/>
    </w:rPr>
  </w:style>
  <w:style w:type="paragraph" w:customStyle="1" w:styleId="3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_GB2312" w:hAnsi="宋体" w:cs="宋体"/>
      <w:color w:val="000000"/>
      <w:kern w:val="0"/>
      <w:sz w:val="20"/>
      <w:szCs w:val="20"/>
    </w:rPr>
  </w:style>
  <w:style w:type="paragraph" w:customStyle="1" w:styleId="3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仿宋_GB2312" w:hAnsi="宋体" w:cs="宋体"/>
      <w:kern w:val="0"/>
      <w:sz w:val="20"/>
      <w:szCs w:val="20"/>
    </w:rPr>
  </w:style>
  <w:style w:type="paragraph" w:customStyle="1" w:styleId="40">
    <w:name w:val="xl76"/>
    <w:basedOn w:val="1"/>
    <w:qFormat/>
    <w:uiPriority w:val="0"/>
    <w:pPr>
      <w:widowControl/>
      <w:spacing w:before="100" w:beforeAutospacing="1" w:after="100" w:afterAutospacing="1" w:line="240" w:lineRule="auto"/>
      <w:jc w:val="left"/>
    </w:pPr>
    <w:rPr>
      <w:rFonts w:ascii="仿宋_GB2312" w:hAnsi="宋体" w:cs="宋体"/>
      <w:kern w:val="0"/>
      <w:sz w:val="20"/>
      <w:szCs w:val="20"/>
    </w:rPr>
  </w:style>
  <w:style w:type="paragraph" w:customStyle="1" w:styleId="41">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pPr>
    <w:rPr>
      <w:rFonts w:ascii="仿宋_GB2312" w:hAnsi="宋体" w:cs="宋体"/>
      <w:kern w:val="0"/>
      <w:sz w:val="20"/>
      <w:szCs w:val="20"/>
    </w:rPr>
  </w:style>
  <w:style w:type="paragraph" w:customStyle="1" w:styleId="42">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E7E6E6"/>
      <w:spacing w:before="100" w:beforeAutospacing="1" w:after="100" w:afterAutospacing="1" w:line="240" w:lineRule="auto"/>
      <w:jc w:val="center"/>
      <w:textAlignment w:val="center"/>
    </w:pPr>
    <w:rPr>
      <w:rFonts w:ascii="宋体" w:hAnsi="宋体" w:eastAsia="宋体" w:cs="宋体"/>
      <w:kern w:val="0"/>
      <w:sz w:val="24"/>
      <w:szCs w:val="24"/>
    </w:rPr>
  </w:style>
  <w:style w:type="paragraph" w:customStyle="1" w:styleId="43">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仿宋_GB2312" w:hAnsi="宋体" w:cs="宋体"/>
      <w:kern w:val="0"/>
      <w:sz w:val="20"/>
      <w:szCs w:val="20"/>
    </w:rPr>
  </w:style>
  <w:style w:type="paragraph" w:customStyle="1" w:styleId="44">
    <w:name w:val="xl80"/>
    <w:basedOn w:val="1"/>
    <w:qFormat/>
    <w:uiPriority w:val="0"/>
    <w:pPr>
      <w:widowControl/>
      <w:spacing w:before="100" w:beforeAutospacing="1" w:after="100" w:afterAutospacing="1" w:line="240" w:lineRule="auto"/>
      <w:jc w:val="center"/>
    </w:pPr>
    <w:rPr>
      <w:rFonts w:ascii="宋体" w:hAnsi="宋体" w:eastAsia="宋体" w:cs="宋体"/>
      <w:kern w:val="0"/>
      <w:sz w:val="24"/>
      <w:szCs w:val="24"/>
    </w:rPr>
  </w:style>
  <w:style w:type="paragraph" w:customStyle="1" w:styleId="4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eastAsia="宋体" w:cs="宋体"/>
      <w:kern w:val="0"/>
      <w:sz w:val="24"/>
      <w:szCs w:val="24"/>
    </w:rPr>
  </w:style>
  <w:style w:type="paragraph" w:customStyle="1" w:styleId="4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eastAsia="宋体" w:cs="宋体"/>
      <w:color w:val="000000"/>
      <w:kern w:val="0"/>
      <w:szCs w:val="32"/>
    </w:rPr>
  </w:style>
  <w:style w:type="paragraph" w:customStyle="1" w:styleId="4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eastAsia="宋体" w:cs="宋体"/>
      <w:kern w:val="0"/>
      <w:sz w:val="24"/>
      <w:szCs w:val="24"/>
    </w:rPr>
  </w:style>
  <w:style w:type="paragraph" w:customStyle="1" w:styleId="48">
    <w:name w:val="xl84"/>
    <w:basedOn w:val="1"/>
    <w:qFormat/>
    <w:uiPriority w:val="0"/>
    <w:pPr>
      <w:widowControl/>
      <w:spacing w:before="100" w:beforeAutospacing="1" w:after="100" w:afterAutospacing="1" w:line="240" w:lineRule="auto"/>
      <w:jc w:val="left"/>
      <w:textAlignment w:val="center"/>
    </w:pPr>
    <w:rPr>
      <w:rFonts w:ascii="宋体" w:hAnsi="宋体" w:eastAsia="宋体" w:cs="宋体"/>
      <w:kern w:val="0"/>
      <w:sz w:val="24"/>
      <w:szCs w:val="24"/>
    </w:rPr>
  </w:style>
  <w:style w:type="paragraph" w:customStyle="1" w:styleId="4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eastAsia="宋体" w:cs="宋体"/>
      <w:color w:val="000000"/>
      <w:kern w:val="0"/>
      <w:szCs w:val="32"/>
    </w:rPr>
  </w:style>
  <w:style w:type="paragraph" w:customStyle="1" w:styleId="5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eastAsia="宋体" w:cs="宋体"/>
      <w:kern w:val="0"/>
      <w:sz w:val="24"/>
      <w:szCs w:val="24"/>
    </w:rPr>
  </w:style>
  <w:style w:type="paragraph" w:customStyle="1" w:styleId="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eastAsia="宋体" w:cs="宋体"/>
      <w:kern w:val="0"/>
      <w:sz w:val="24"/>
      <w:szCs w:val="24"/>
    </w:rPr>
  </w:style>
  <w:style w:type="paragraph" w:customStyle="1" w:styleId="5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仿宋_GB2312" w:hAnsi="宋体" w:cs="宋体"/>
      <w:b/>
      <w:bCs/>
      <w:color w:val="000000"/>
      <w:kern w:val="0"/>
      <w:sz w:val="20"/>
      <w:szCs w:val="20"/>
    </w:rPr>
  </w:style>
  <w:style w:type="paragraph" w:customStyle="1" w:styleId="53">
    <w:name w:val="xl89"/>
    <w:basedOn w:val="1"/>
    <w:qFormat/>
    <w:uiPriority w:val="0"/>
    <w:pPr>
      <w:widowControl/>
      <w:pBdr>
        <w:bottom w:val="single" w:color="auto" w:sz="8" w:space="0"/>
        <w:right w:val="single" w:color="auto" w:sz="8" w:space="0"/>
      </w:pBdr>
      <w:shd w:val="clear" w:color="000000" w:fill="FFFFFF"/>
      <w:spacing w:before="100" w:beforeAutospacing="1" w:after="100" w:afterAutospacing="1" w:line="240" w:lineRule="auto"/>
      <w:jc w:val="center"/>
      <w:textAlignment w:val="center"/>
    </w:pPr>
    <w:rPr>
      <w:rFonts w:ascii="仿宋_GB2312" w:hAnsi="宋体" w:cs="宋体"/>
      <w:kern w:val="0"/>
      <w:sz w:val="20"/>
      <w:szCs w:val="20"/>
    </w:rPr>
  </w:style>
  <w:style w:type="paragraph" w:customStyle="1" w:styleId="54">
    <w:name w:val="xl90"/>
    <w:basedOn w:val="1"/>
    <w:qFormat/>
    <w:uiPriority w:val="0"/>
    <w:pPr>
      <w:widowControl/>
      <w:pBdr>
        <w:bottom w:val="single" w:color="auto" w:sz="8" w:space="0"/>
        <w:right w:val="single" w:color="auto" w:sz="8" w:space="0"/>
      </w:pBdr>
      <w:shd w:val="clear" w:color="000000" w:fill="FFFFFF"/>
      <w:spacing w:before="100" w:beforeAutospacing="1" w:after="100" w:afterAutospacing="1" w:line="240" w:lineRule="auto"/>
      <w:textAlignment w:val="center"/>
    </w:pPr>
    <w:rPr>
      <w:rFonts w:ascii="仿宋_GB2312" w:hAnsi="宋体" w:cs="宋体"/>
      <w:kern w:val="0"/>
      <w:sz w:val="20"/>
      <w:szCs w:val="20"/>
    </w:rPr>
  </w:style>
  <w:style w:type="character" w:customStyle="1" w:styleId="55">
    <w:name w:val="Heading #1|1_"/>
    <w:basedOn w:val="14"/>
    <w:link w:val="56"/>
    <w:qFormat/>
    <w:locked/>
    <w:uiPriority w:val="0"/>
    <w:rPr>
      <w:rFonts w:ascii="宋体" w:hAnsi="宋体" w:eastAsia="宋体" w:cs="宋体"/>
      <w:b/>
      <w:bCs/>
      <w:lang w:val="zh-TW" w:eastAsia="zh-TW" w:bidi="zh-TW"/>
    </w:rPr>
  </w:style>
  <w:style w:type="paragraph" w:customStyle="1" w:styleId="56">
    <w:name w:val="Heading #1|1"/>
    <w:basedOn w:val="1"/>
    <w:link w:val="55"/>
    <w:qFormat/>
    <w:uiPriority w:val="0"/>
    <w:pPr>
      <w:spacing w:after="210" w:line="240" w:lineRule="auto"/>
      <w:jc w:val="center"/>
      <w:outlineLvl w:val="0"/>
    </w:pPr>
    <w:rPr>
      <w:rFonts w:ascii="宋体" w:hAnsi="宋体" w:eastAsia="宋体" w:cs="宋体"/>
      <w:b/>
      <w:bCs/>
      <w:sz w:val="21"/>
      <w:lang w:val="zh-TW" w:eastAsia="zh-TW" w:bidi="zh-TW"/>
    </w:rPr>
  </w:style>
  <w:style w:type="character" w:customStyle="1" w:styleId="57">
    <w:name w:val="Header or footer|2_"/>
    <w:basedOn w:val="14"/>
    <w:link w:val="58"/>
    <w:qFormat/>
    <w:locked/>
    <w:uiPriority w:val="0"/>
  </w:style>
  <w:style w:type="paragraph" w:customStyle="1" w:styleId="58">
    <w:name w:val="Header or footer|2"/>
    <w:basedOn w:val="1"/>
    <w:link w:val="57"/>
    <w:qFormat/>
    <w:uiPriority w:val="0"/>
    <w:pPr>
      <w:spacing w:line="240" w:lineRule="auto"/>
      <w:jc w:val="left"/>
    </w:pPr>
    <w:rPr>
      <w:rFonts w:eastAsiaTheme="minorEastAsia"/>
      <w:sz w:val="21"/>
    </w:rPr>
  </w:style>
  <w:style w:type="character" w:customStyle="1" w:styleId="59">
    <w:name w:val="Body text|1_"/>
    <w:basedOn w:val="14"/>
    <w:link w:val="60"/>
    <w:qFormat/>
    <w:locked/>
    <w:uiPriority w:val="0"/>
    <w:rPr>
      <w:rFonts w:ascii="宋体" w:hAnsi="宋体" w:eastAsia="宋体" w:cs="宋体"/>
      <w:lang w:val="zh-TW" w:eastAsia="zh-TW" w:bidi="zh-TW"/>
    </w:rPr>
  </w:style>
  <w:style w:type="paragraph" w:customStyle="1" w:styleId="60">
    <w:name w:val="Body text|1"/>
    <w:basedOn w:val="1"/>
    <w:link w:val="59"/>
    <w:qFormat/>
    <w:uiPriority w:val="0"/>
    <w:pPr>
      <w:spacing w:after="220" w:line="240" w:lineRule="auto"/>
      <w:jc w:val="left"/>
    </w:pPr>
    <w:rPr>
      <w:rFonts w:ascii="宋体" w:hAnsi="宋体" w:eastAsia="宋体" w:cs="宋体"/>
      <w:sz w:val="21"/>
      <w:lang w:val="zh-TW" w:eastAsia="zh-TW" w:bidi="zh-TW"/>
    </w:rPr>
  </w:style>
  <w:style w:type="character" w:customStyle="1" w:styleId="61">
    <w:name w:val="Other|1_"/>
    <w:basedOn w:val="14"/>
    <w:link w:val="62"/>
    <w:qFormat/>
    <w:locked/>
    <w:uiPriority w:val="0"/>
    <w:rPr>
      <w:rFonts w:ascii="宋体" w:hAnsi="宋体" w:eastAsia="宋体" w:cs="宋体"/>
      <w:sz w:val="18"/>
      <w:szCs w:val="18"/>
      <w:lang w:val="zh-TW" w:eastAsia="zh-TW" w:bidi="zh-TW"/>
    </w:rPr>
  </w:style>
  <w:style w:type="paragraph" w:customStyle="1" w:styleId="62">
    <w:name w:val="Other|1"/>
    <w:basedOn w:val="1"/>
    <w:link w:val="61"/>
    <w:qFormat/>
    <w:uiPriority w:val="0"/>
    <w:pPr>
      <w:spacing w:line="240" w:lineRule="auto"/>
      <w:jc w:val="left"/>
    </w:pPr>
    <w:rPr>
      <w:rFonts w:ascii="宋体" w:hAnsi="宋体" w:eastAsia="宋体" w:cs="宋体"/>
      <w:sz w:val="18"/>
      <w:szCs w:val="18"/>
      <w:lang w:val="zh-TW" w:eastAsia="zh-TW" w:bidi="zh-TW"/>
    </w:rPr>
  </w:style>
  <w:style w:type="character" w:customStyle="1" w:styleId="63">
    <w:name w:val="Table caption|1_"/>
    <w:basedOn w:val="14"/>
    <w:link w:val="64"/>
    <w:qFormat/>
    <w:locked/>
    <w:uiPriority w:val="0"/>
    <w:rPr>
      <w:rFonts w:ascii="宋体" w:hAnsi="宋体" w:eastAsia="宋体" w:cs="宋体"/>
      <w:sz w:val="18"/>
      <w:szCs w:val="18"/>
      <w:lang w:val="zh-TW" w:eastAsia="zh-TW" w:bidi="zh-TW"/>
    </w:rPr>
  </w:style>
  <w:style w:type="paragraph" w:customStyle="1" w:styleId="64">
    <w:name w:val="Table caption|1"/>
    <w:basedOn w:val="1"/>
    <w:link w:val="63"/>
    <w:qFormat/>
    <w:uiPriority w:val="0"/>
    <w:pPr>
      <w:spacing w:line="240" w:lineRule="auto"/>
      <w:jc w:val="left"/>
    </w:pPr>
    <w:rPr>
      <w:rFonts w:ascii="宋体" w:hAnsi="宋体" w:eastAsia="宋体" w:cs="宋体"/>
      <w:sz w:val="18"/>
      <w:szCs w:val="18"/>
      <w:lang w:val="zh-TW" w:eastAsia="zh-TW" w:bidi="zh-TW"/>
    </w:rPr>
  </w:style>
  <w:style w:type="paragraph" w:customStyle="1" w:styleId="65">
    <w:name w:val="Table Paragraph"/>
    <w:basedOn w:val="1"/>
    <w:qFormat/>
    <w:uiPriority w:val="0"/>
    <w:pPr>
      <w:autoSpaceDE w:val="0"/>
      <w:autoSpaceDN w:val="0"/>
      <w:adjustRightInd w:val="0"/>
      <w:spacing w:line="240" w:lineRule="auto"/>
      <w:ind w:firstLine="200" w:firstLineChars="200"/>
      <w:jc w:val="left"/>
    </w:pPr>
    <w:rPr>
      <w:rFonts w:ascii="Segoe UI" w:hAnsi="Segoe UI" w:eastAsia="宋体" w:cs="Times New Roman"/>
      <w:color w:val="000000"/>
      <w:kern w:val="0"/>
      <w:sz w:val="24"/>
      <w:szCs w:val="24"/>
    </w:rPr>
  </w:style>
  <w:style w:type="paragraph" w:customStyle="1" w:styleId="66">
    <w:name w:val="msonospacing"/>
    <w:basedOn w:val="1"/>
    <w:qFormat/>
    <w:uiPriority w:val="0"/>
    <w:pPr>
      <w:spacing w:line="240" w:lineRule="auto"/>
      <w:ind w:firstLine="200" w:firstLineChars="200"/>
      <w:jc w:val="left"/>
    </w:pPr>
    <w:rPr>
      <w:rFonts w:ascii="Calibri" w:hAnsi="Calibri" w:eastAsia="宋体" w:cs="Times New Roman"/>
      <w:color w:val="000000"/>
      <w:sz w:val="21"/>
    </w:rPr>
  </w:style>
  <w:style w:type="character" w:customStyle="1" w:styleId="67">
    <w:name w:val="页脚 字符1"/>
    <w:basedOn w:val="14"/>
    <w:qFormat/>
    <w:locked/>
    <w:uiPriority w:val="0"/>
    <w:rPr>
      <w:rFonts w:ascii="Times New Roman" w:hAnsi="Times New Roman" w:eastAsia="Times New Roman" w:cs="Times New Roman"/>
      <w:color w:val="000000"/>
      <w:kern w:val="0"/>
      <w:sz w:val="18"/>
      <w:szCs w:val="24"/>
      <w:lang w:eastAsia="en-US" w:bidi="en-US"/>
    </w:rPr>
  </w:style>
  <w:style w:type="character" w:customStyle="1" w:styleId="68">
    <w:name w:val="标题 1 字符1"/>
    <w:basedOn w:val="14"/>
    <w:qFormat/>
    <w:locked/>
    <w:uiPriority w:val="0"/>
    <w:rPr>
      <w:rFonts w:ascii="Times New Roman" w:hAnsi="Times New Roman" w:eastAsia="Times New Roman" w:cs="Times New Roman"/>
      <w:b/>
      <w:color w:val="000000"/>
      <w:kern w:val="44"/>
      <w:sz w:val="44"/>
      <w:szCs w:val="24"/>
      <w:lang w:eastAsia="en-US" w:bidi="en-US"/>
    </w:rPr>
  </w:style>
  <w:style w:type="character" w:customStyle="1" w:styleId="69">
    <w:name w:val="页眉 字符1"/>
    <w:basedOn w:val="14"/>
    <w:qFormat/>
    <w:locked/>
    <w:uiPriority w:val="0"/>
    <w:rPr>
      <w:rFonts w:ascii="Times New Roman" w:hAnsi="Times New Roman" w:eastAsia="Times New Roman" w:cs="Times New Roman"/>
      <w:color w:val="000000"/>
      <w:kern w:val="0"/>
      <w:sz w:val="18"/>
      <w:szCs w:val="24"/>
      <w:lang w:eastAsia="en-US" w:bidi="en-US"/>
    </w:rPr>
  </w:style>
  <w:style w:type="character" w:customStyle="1" w:styleId="70">
    <w:name w:val="标题 2 字符1"/>
    <w:basedOn w:val="14"/>
    <w:semiHidden/>
    <w:qFormat/>
    <w:locked/>
    <w:uiPriority w:val="0"/>
    <w:rPr>
      <w:rFonts w:ascii="Calibri Light" w:hAnsi="Calibri Light" w:eastAsia="黑体" w:cs="Times New Roman"/>
      <w:bCs/>
      <w:color w:val="000000"/>
      <w:sz w:val="28"/>
      <w:szCs w:val="32"/>
    </w:rPr>
  </w:style>
  <w:style w:type="character" w:customStyle="1" w:styleId="71">
    <w:name w:val="font81"/>
    <w:qFormat/>
    <w:uiPriority w:val="0"/>
    <w:rPr>
      <w:rFonts w:hint="eastAsia" w:ascii="宋体" w:hAnsi="宋体" w:eastAsia="宋体" w:cs="宋体"/>
      <w:color w:val="000000"/>
      <w:sz w:val="20"/>
      <w:szCs w:val="20"/>
      <w:u w:val="none"/>
    </w:rPr>
  </w:style>
  <w:style w:type="character" w:customStyle="1" w:styleId="72">
    <w:name w:val="font01"/>
    <w:basedOn w:val="14"/>
    <w:qFormat/>
    <w:uiPriority w:val="0"/>
    <w:rPr>
      <w:rFonts w:ascii="Calibri" w:hAnsi="Calibri" w:cs="Calibri"/>
      <w:color w:val="000000"/>
      <w:sz w:val="20"/>
      <w:szCs w:val="20"/>
      <w:u w:val="none"/>
    </w:rPr>
  </w:style>
  <w:style w:type="paragraph" w:customStyle="1" w:styleId="73">
    <w:name w:val="一级条标题"/>
    <w:next w:val="1"/>
    <w:qFormat/>
    <w:uiPriority w:val="0"/>
    <w:pPr>
      <w:spacing w:before="156" w:beforeLines="50" w:after="156" w:afterLines="50" w:line="278" w:lineRule="auto"/>
      <w:outlineLvl w:val="2"/>
    </w:pPr>
    <w:rPr>
      <w:rFonts w:ascii="黑体" w:hAnsi="Times New Roman" w:eastAsia="黑体" w:cs="Times New Roman"/>
      <w:sz w:val="21"/>
      <w:szCs w:val="21"/>
      <w:lang w:val="en-US" w:eastAsia="zh-CN" w:bidi="ar-SA"/>
    </w:rPr>
  </w:style>
  <w:style w:type="paragraph" w:customStyle="1" w:styleId="74">
    <w:name w:val="标准文件_一级无标题"/>
    <w:basedOn w:val="1"/>
    <w:qFormat/>
    <w:uiPriority w:val="0"/>
    <w:pPr>
      <w:widowControl/>
      <w:tabs>
        <w:tab w:val="left" w:pos="3402"/>
      </w:tabs>
      <w:spacing w:before="156" w:beforeLines="50" w:after="156" w:afterLines="50" w:line="278" w:lineRule="auto"/>
    </w:pPr>
    <w:rPr>
      <w:rFonts w:ascii="宋体" w:hAnsi="Times New Roman"/>
      <w:kern w:val="0"/>
      <w:szCs w:val="20"/>
    </w:rPr>
  </w:style>
  <w:style w:type="character" w:customStyle="1" w:styleId="75">
    <w:name w:val="font41"/>
    <w:basedOn w:val="14"/>
    <w:qFormat/>
    <w:uiPriority w:val="0"/>
    <w:rPr>
      <w:rFonts w:hint="eastAsia" w:ascii="宋体" w:hAnsi="宋体" w:eastAsia="宋体" w:cs="宋体"/>
      <w:b/>
      <w:bCs/>
      <w:color w:val="000000"/>
      <w:sz w:val="22"/>
      <w:szCs w:val="22"/>
      <w:u w:val="none"/>
    </w:rPr>
  </w:style>
  <w:style w:type="character" w:customStyle="1" w:styleId="76">
    <w:name w:val="font61"/>
    <w:basedOn w:val="14"/>
    <w:qFormat/>
    <w:uiPriority w:val="0"/>
    <w:rPr>
      <w:rFonts w:hint="eastAsia" w:ascii="宋体" w:hAnsi="宋体" w:eastAsia="宋体" w:cs="宋体"/>
      <w:color w:val="000000"/>
      <w:sz w:val="22"/>
      <w:szCs w:val="22"/>
      <w:u w:val="none"/>
    </w:rPr>
  </w:style>
  <w:style w:type="character" w:customStyle="1" w:styleId="77">
    <w:name w:val="font21"/>
    <w:basedOn w:val="14"/>
    <w:qFormat/>
    <w:uiPriority w:val="0"/>
    <w:rPr>
      <w:rFonts w:hint="eastAsia" w:ascii="宋体" w:hAnsi="宋体" w:eastAsia="宋体" w:cs="宋体"/>
      <w:color w:val="000000"/>
      <w:sz w:val="21"/>
      <w:szCs w:val="21"/>
      <w:u w:val="none"/>
    </w:rPr>
  </w:style>
  <w:style w:type="character" w:customStyle="1" w:styleId="78">
    <w:name w:val="font111"/>
    <w:basedOn w:val="14"/>
    <w:qFormat/>
    <w:uiPriority w:val="0"/>
    <w:rPr>
      <w:rFonts w:ascii="Calibri" w:hAnsi="Calibri" w:cs="Calibri"/>
      <w:color w:val="000000"/>
      <w:sz w:val="22"/>
      <w:szCs w:val="22"/>
      <w:u w:val="none"/>
    </w:rPr>
  </w:style>
  <w:style w:type="paragraph" w:customStyle="1" w:styleId="79">
    <w:name w:val="Revision"/>
    <w:hidden/>
    <w:unhideWhenUsed/>
    <w:qFormat/>
    <w:uiPriority w:val="99"/>
    <w:pPr>
      <w:spacing w:after="0" w:line="240" w:lineRule="auto"/>
    </w:pPr>
    <w:rPr>
      <w:rFonts w:eastAsia="仿宋_GB2312" w:asciiTheme="minorHAnsi" w:hAnsiTheme="minorHAnsi" w:cstheme="minorBidi"/>
      <w:kern w:val="2"/>
      <w:sz w:val="32"/>
      <w:szCs w:val="22"/>
      <w:lang w:val="en-US" w:eastAsia="zh-CN" w:bidi="ar-SA"/>
    </w:rPr>
  </w:style>
  <w:style w:type="paragraph" w:customStyle="1" w:styleId="8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glossaryDocument" Target="glossary/document.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7a88afc-316a-43a5-aae2-2ace1abe422b}"/>
        <w:style w:val=""/>
        <w:category>
          <w:name w:val="常规"/>
          <w:gallery w:val="placeholder"/>
        </w:category>
        <w:types>
          <w:type w:val="bbPlcHdr"/>
        </w:types>
        <w:behaviors>
          <w:behavior w:val="content"/>
        </w:behaviors>
        <w:description w:val=""/>
        <w:guid w:val="{b7a88afc-316a-43a5-aae2-2ace1abe422b}"/>
      </w:docPartPr>
      <w:docPartBody>
        <w:p>
          <w:r>
            <w:rPr>
              <w:color w:val="808080"/>
            </w:rPr>
            <w:t>单击此处输入文字。</w:t>
          </w:r>
        </w:p>
      </w:docPartBody>
    </w:docPart>
    <w:docPart>
      <w:docPartPr>
        <w:name w:val="{0cf8e3ca-2c94-4fa8-a0de-8abc75922ad7}"/>
        <w:style w:val=""/>
        <w:category>
          <w:name w:val="常规"/>
          <w:gallery w:val="placeholder"/>
        </w:category>
        <w:types>
          <w:type w:val="bbPlcHdr"/>
        </w:types>
        <w:behaviors>
          <w:behavior w:val="content"/>
        </w:behaviors>
        <w:description w:val=""/>
        <w:guid w:val="{0cf8e3ca-2c94-4fa8-a0de-8abc75922ad7}"/>
      </w:docPartPr>
      <w:docPartBody>
        <w:p>
          <w:r>
            <w:rPr>
              <w:color w:val="808080"/>
            </w:rPr>
            <w:t>单击此处输入文字。</w:t>
          </w:r>
        </w:p>
      </w:docPartBody>
    </w:docPart>
    <w:docPart>
      <w:docPartPr>
        <w:name w:val="{aff331d9-def3-4239-aaf2-3e3908aadbf4}"/>
        <w:style w:val=""/>
        <w:category>
          <w:name w:val="常规"/>
          <w:gallery w:val="placeholder"/>
        </w:category>
        <w:types>
          <w:type w:val="bbPlcHdr"/>
        </w:types>
        <w:behaviors>
          <w:behavior w:val="content"/>
        </w:behaviors>
        <w:description w:val=""/>
        <w:guid w:val="{aff331d9-def3-4239-aaf2-3e3908aadbf4}"/>
      </w:docPartPr>
      <w:docPartBody>
        <w:p>
          <w:r>
            <w:rPr>
              <w:color w:val="808080"/>
            </w:rPr>
            <w:t>单击此处输入文字。</w:t>
          </w:r>
        </w:p>
      </w:docPartBody>
    </w:docPart>
    <w:docPart>
      <w:docPartPr>
        <w:name w:val="{f4bce23a-48d8-427c-bdff-c980ae9cf6c2}"/>
        <w:style w:val=""/>
        <w:category>
          <w:name w:val="常规"/>
          <w:gallery w:val="placeholder"/>
        </w:category>
        <w:types>
          <w:type w:val="bbPlcHdr"/>
        </w:types>
        <w:behaviors>
          <w:behavior w:val="content"/>
        </w:behaviors>
        <w:description w:val=""/>
        <w:guid w:val="{f4bce23a-48d8-427c-bdff-c980ae9cf6c2}"/>
      </w:docPartPr>
      <w:docPartBody>
        <w:p>
          <w:r>
            <w:rPr>
              <w:color w:val="808080"/>
            </w:rPr>
            <w:t>单击此处输入文字。</w:t>
          </w:r>
        </w:p>
      </w:docPartBody>
    </w:docPart>
    <w:docPart>
      <w:docPartPr>
        <w:name w:val="{e1ef8190-4a8a-404a-aab0-d8cb7dcc8b8a}"/>
        <w:style w:val=""/>
        <w:category>
          <w:name w:val="常规"/>
          <w:gallery w:val="placeholder"/>
        </w:category>
        <w:types>
          <w:type w:val="bbPlcHdr"/>
        </w:types>
        <w:behaviors>
          <w:behavior w:val="content"/>
        </w:behaviors>
        <w:description w:val=""/>
        <w:guid w:val="{e1ef8190-4a8a-404a-aab0-d8cb7dcc8b8a}"/>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151</Pages>
  <Words>3954</Words>
  <Characters>4174</Characters>
  <Lines>1011</Lines>
  <Paragraphs>284</Paragraphs>
  <TotalTime>8</TotalTime>
  <ScaleCrop>false</ScaleCrop>
  <LinksUpToDate>false</LinksUpToDate>
  <CharactersWithSpaces>4204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2026-03-14T20:12:00Z</dcterms:created>
  <dc:creator>白 yq</dc:creator>
  <cp:lastModifiedBy>uos</cp:lastModifiedBy>
  <cp:lastPrinted>2026-03-15T16:25:00Z</cp:lastPrinted>
  <dcterms:modified xsi:type="dcterms:W3CDTF">2026-04-16T14:31:47Z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TemplateDocerSaveRecord">
    <vt:lpwstr>eyJoZGlkIjoiOTdlMGJjMjIzOGRkMmMyOGViNDgyYjU1YjczNjdjMjYiLCJ1c2VySWQiOiI3NzU3OTIxOTIifQ==</vt:lpwstr>
  </property>
  <property fmtid="{D5CDD505-2E9C-101B-9397-08002B2CF9AE}" pid="4" name="ICV">
    <vt:lpwstr>0665DACC1121483C8E3F15184E58286B_12</vt:lpwstr>
  </property>
</Properties>
</file>