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30"/>
          <w:szCs w:val="30"/>
        </w:rPr>
      </w:pPr>
    </w:p>
    <w:p>
      <w:pPr>
        <w:jc w:val="center"/>
        <w:rPr>
          <w:b/>
          <w:bCs/>
          <w:sz w:val="30"/>
          <w:szCs w:val="30"/>
        </w:rPr>
      </w:pPr>
    </w:p>
    <w:p>
      <w:pPr>
        <w:autoSpaceDE w:val="0"/>
        <w:autoSpaceDN w:val="0"/>
        <w:adjustRightInd w:val="0"/>
        <w:spacing w:line="760" w:lineRule="exact"/>
        <w:jc w:val="center"/>
        <w:rPr>
          <w:rFonts w:eastAsiaTheme="minorEastAsia"/>
          <w:b/>
          <w:bCs/>
          <w:color w:val="0E0909"/>
          <w:kern w:val="0"/>
          <w:sz w:val="44"/>
          <w:szCs w:val="44"/>
        </w:rPr>
      </w:pPr>
      <w:bookmarkStart w:id="0" w:name="_Hlk161575443"/>
      <w:r>
        <w:rPr>
          <w:rFonts w:eastAsiaTheme="minorEastAsia"/>
          <w:b/>
          <w:bCs/>
          <w:color w:val="0E0909"/>
          <w:kern w:val="0"/>
          <w:sz w:val="44"/>
          <w:szCs w:val="44"/>
        </w:rPr>
        <w:t>2023年北京朝阳科学家会客厅活动项目</w:t>
      </w:r>
    </w:p>
    <w:p>
      <w:pPr>
        <w:autoSpaceDE w:val="0"/>
        <w:autoSpaceDN w:val="0"/>
        <w:adjustRightInd w:val="0"/>
        <w:spacing w:line="760" w:lineRule="exact"/>
        <w:jc w:val="center"/>
        <w:rPr>
          <w:rFonts w:eastAsiaTheme="minorEastAsia"/>
          <w:b/>
          <w:bCs/>
          <w:color w:val="0E0909"/>
          <w:kern w:val="0"/>
          <w:sz w:val="44"/>
          <w:szCs w:val="44"/>
        </w:rPr>
      </w:pPr>
      <w:r>
        <w:rPr>
          <w:rFonts w:eastAsiaTheme="minorEastAsia"/>
          <w:b/>
          <w:bCs/>
          <w:color w:val="0E0909"/>
          <w:kern w:val="0"/>
          <w:sz w:val="44"/>
          <w:szCs w:val="44"/>
        </w:rPr>
        <w:t>绩效评价报告</w:t>
      </w:r>
      <w:bookmarkEnd w:id="0"/>
    </w:p>
    <w:p>
      <w:pPr>
        <w:autoSpaceDE w:val="0"/>
        <w:autoSpaceDN w:val="0"/>
        <w:adjustRightInd w:val="0"/>
        <w:spacing w:line="760" w:lineRule="exact"/>
        <w:jc w:val="left"/>
        <w:rPr>
          <w:rFonts w:eastAsiaTheme="minorEastAsia"/>
          <w:color w:val="4D4C49"/>
          <w:kern w:val="0"/>
          <w:sz w:val="28"/>
          <w:szCs w:val="28"/>
        </w:rPr>
      </w:pPr>
    </w:p>
    <w:p>
      <w:pPr>
        <w:autoSpaceDE w:val="0"/>
        <w:autoSpaceDN w:val="0"/>
        <w:adjustRightInd w:val="0"/>
        <w:spacing w:line="760" w:lineRule="exact"/>
        <w:jc w:val="left"/>
        <w:rPr>
          <w:rFonts w:eastAsiaTheme="minorEastAsia"/>
          <w:color w:val="4D4C49"/>
          <w:kern w:val="0"/>
          <w:sz w:val="28"/>
          <w:szCs w:val="28"/>
        </w:rPr>
      </w:pPr>
    </w:p>
    <w:p>
      <w:pPr>
        <w:autoSpaceDE w:val="0"/>
        <w:autoSpaceDN w:val="0"/>
        <w:adjustRightInd w:val="0"/>
        <w:spacing w:line="760" w:lineRule="exact"/>
        <w:jc w:val="left"/>
        <w:rPr>
          <w:rFonts w:eastAsiaTheme="minorEastAsia"/>
          <w:color w:val="4D4C49"/>
          <w:kern w:val="0"/>
          <w:sz w:val="28"/>
          <w:szCs w:val="28"/>
        </w:rPr>
      </w:pPr>
    </w:p>
    <w:p>
      <w:pPr>
        <w:autoSpaceDE w:val="0"/>
        <w:autoSpaceDN w:val="0"/>
        <w:adjustRightInd w:val="0"/>
        <w:spacing w:line="760" w:lineRule="exact"/>
        <w:ind w:firstLine="1120" w:firstLineChars="400"/>
        <w:jc w:val="left"/>
        <w:rPr>
          <w:rFonts w:eastAsiaTheme="minorEastAsia"/>
          <w:color w:val="3E3D3A"/>
          <w:kern w:val="0"/>
          <w:sz w:val="28"/>
          <w:szCs w:val="28"/>
        </w:rPr>
      </w:pPr>
      <w:r>
        <w:rPr>
          <w:rFonts w:eastAsiaTheme="minorEastAsia"/>
          <w:color w:val="4D4C49"/>
          <w:kern w:val="0"/>
          <w:sz w:val="28"/>
          <w:szCs w:val="28"/>
        </w:rPr>
        <w:t>项目名称</w:t>
      </w:r>
      <w:r>
        <w:rPr>
          <w:rFonts w:eastAsiaTheme="minorEastAsia"/>
          <w:color w:val="0E0909"/>
          <w:kern w:val="0"/>
          <w:sz w:val="28"/>
          <w:szCs w:val="28"/>
        </w:rPr>
        <w:t>：</w:t>
      </w:r>
      <w:r>
        <w:rPr>
          <w:rFonts w:eastAsiaTheme="minorEastAsia"/>
          <w:color w:val="3E3D3A"/>
          <w:kern w:val="0"/>
          <w:sz w:val="28"/>
          <w:szCs w:val="28"/>
        </w:rPr>
        <w:t>2023年北京朝阳科学家会客厅活动</w:t>
      </w:r>
    </w:p>
    <w:p>
      <w:pPr>
        <w:autoSpaceDE w:val="0"/>
        <w:autoSpaceDN w:val="0"/>
        <w:adjustRightInd w:val="0"/>
        <w:spacing w:line="760" w:lineRule="exact"/>
        <w:ind w:firstLine="1120" w:firstLineChars="400"/>
        <w:jc w:val="left"/>
        <w:rPr>
          <w:rFonts w:eastAsiaTheme="minorEastAsia"/>
          <w:color w:val="3E3D3A"/>
          <w:kern w:val="0"/>
          <w:sz w:val="28"/>
          <w:szCs w:val="28"/>
        </w:rPr>
      </w:pPr>
      <w:r>
        <w:rPr>
          <w:rFonts w:eastAsiaTheme="minorEastAsia"/>
          <w:color w:val="4D4C49"/>
          <w:kern w:val="0"/>
          <w:sz w:val="28"/>
          <w:szCs w:val="28"/>
        </w:rPr>
        <w:t>项目单位</w:t>
      </w:r>
      <w:r>
        <w:rPr>
          <w:rFonts w:eastAsiaTheme="minorEastAsia"/>
          <w:color w:val="0E0909"/>
          <w:kern w:val="0"/>
          <w:sz w:val="28"/>
          <w:szCs w:val="28"/>
        </w:rPr>
        <w:t>：</w:t>
      </w:r>
      <w:bookmarkStart w:id="1" w:name="_Hlk161575557"/>
      <w:r>
        <w:rPr>
          <w:rFonts w:eastAsiaTheme="minorEastAsia"/>
          <w:color w:val="3E3D3A"/>
          <w:kern w:val="0"/>
          <w:sz w:val="28"/>
          <w:szCs w:val="28"/>
        </w:rPr>
        <w:t>北京市朝阳区科学技术协会</w:t>
      </w:r>
      <w:bookmarkEnd w:id="1"/>
    </w:p>
    <w:p>
      <w:pPr>
        <w:autoSpaceDE w:val="0"/>
        <w:autoSpaceDN w:val="0"/>
        <w:adjustRightInd w:val="0"/>
        <w:spacing w:line="760" w:lineRule="exact"/>
        <w:ind w:firstLine="1120" w:firstLineChars="400"/>
        <w:jc w:val="left"/>
        <w:rPr>
          <w:rFonts w:eastAsiaTheme="minorEastAsia"/>
          <w:color w:val="3E3D3A"/>
          <w:kern w:val="0"/>
          <w:sz w:val="28"/>
          <w:szCs w:val="28"/>
        </w:rPr>
      </w:pPr>
      <w:bookmarkStart w:id="2" w:name="_Hlk161904443"/>
      <w:r>
        <w:rPr>
          <w:rFonts w:eastAsiaTheme="minorEastAsia"/>
          <w:color w:val="3E3D3A"/>
          <w:kern w:val="0"/>
          <w:sz w:val="28"/>
          <w:szCs w:val="28"/>
        </w:rPr>
        <w:t>承办单位：北京市朝阳区企业联合会</w:t>
      </w:r>
      <w:bookmarkEnd w:id="2"/>
    </w:p>
    <w:p>
      <w:pPr>
        <w:autoSpaceDE w:val="0"/>
        <w:autoSpaceDN w:val="0"/>
        <w:adjustRightInd w:val="0"/>
        <w:spacing w:line="760" w:lineRule="exact"/>
        <w:ind w:firstLine="1120" w:firstLineChars="400"/>
        <w:jc w:val="left"/>
        <w:rPr>
          <w:rFonts w:eastAsiaTheme="minorEastAsia"/>
          <w:color w:val="3E3D3A"/>
          <w:kern w:val="0"/>
          <w:sz w:val="28"/>
          <w:szCs w:val="28"/>
        </w:rPr>
      </w:pPr>
      <w:r>
        <w:rPr>
          <w:rFonts w:eastAsiaTheme="minorEastAsia"/>
          <w:color w:val="4D4C49"/>
          <w:kern w:val="0"/>
          <w:sz w:val="28"/>
          <w:szCs w:val="28"/>
        </w:rPr>
        <w:t>主管部门</w:t>
      </w:r>
      <w:r>
        <w:rPr>
          <w:rFonts w:eastAsiaTheme="minorEastAsia"/>
          <w:color w:val="0E0909"/>
          <w:kern w:val="0"/>
          <w:sz w:val="28"/>
          <w:szCs w:val="28"/>
        </w:rPr>
        <w:t>：</w:t>
      </w:r>
      <w:r>
        <w:rPr>
          <w:rFonts w:hint="eastAsia" w:eastAsiaTheme="minorEastAsia"/>
          <w:color w:val="3E3D3A"/>
          <w:kern w:val="0"/>
          <w:sz w:val="28"/>
          <w:szCs w:val="28"/>
          <w:lang w:eastAsia="zh-CN"/>
        </w:rPr>
        <w:t>北京市朝阳区科学技术协会</w:t>
      </w:r>
      <w:bookmarkStart w:id="67" w:name="_GoBack"/>
      <w:bookmarkEnd w:id="67"/>
    </w:p>
    <w:p>
      <w:pPr>
        <w:autoSpaceDE w:val="0"/>
        <w:autoSpaceDN w:val="0"/>
        <w:adjustRightInd w:val="0"/>
        <w:spacing w:line="760" w:lineRule="exact"/>
        <w:ind w:firstLine="1120" w:firstLineChars="400"/>
        <w:jc w:val="left"/>
        <w:rPr>
          <w:rFonts w:eastAsiaTheme="minorEastAsia"/>
          <w:color w:val="0E0909"/>
          <w:kern w:val="0"/>
          <w:sz w:val="28"/>
          <w:szCs w:val="28"/>
        </w:rPr>
      </w:pPr>
      <w:r>
        <w:rPr>
          <w:rFonts w:eastAsiaTheme="minorEastAsia"/>
          <w:color w:val="4D4C49"/>
          <w:kern w:val="0"/>
          <w:sz w:val="28"/>
          <w:szCs w:val="28"/>
        </w:rPr>
        <w:t>评价类型</w:t>
      </w:r>
      <w:r>
        <w:rPr>
          <w:rFonts w:eastAsiaTheme="minorEastAsia"/>
          <w:color w:val="201E1B"/>
          <w:kern w:val="0"/>
          <w:sz w:val="28"/>
          <w:szCs w:val="28"/>
        </w:rPr>
        <w:t>：</w:t>
      </w:r>
      <w:r>
        <w:rPr>
          <w:rFonts w:eastAsiaTheme="minorEastAsia"/>
          <w:color w:val="4D4C49"/>
          <w:kern w:val="0"/>
          <w:sz w:val="28"/>
          <w:szCs w:val="28"/>
        </w:rPr>
        <w:t xml:space="preserve">事前评价口    </w:t>
      </w:r>
      <w:r>
        <w:rPr>
          <w:rFonts w:eastAsiaTheme="minorEastAsia"/>
          <w:color w:val="3E3D3A"/>
          <w:kern w:val="0"/>
          <w:sz w:val="28"/>
          <w:szCs w:val="28"/>
        </w:rPr>
        <w:t>事中评价口    事后评价</w:t>
      </w:r>
      <w:bookmarkStart w:id="3" w:name="_Hlk161574667"/>
      <w:r>
        <w:rPr>
          <w:rFonts w:eastAsiaTheme="minorEastAsia"/>
          <w:color w:val="0E0909"/>
          <w:kern w:val="0"/>
          <w:sz w:val="28"/>
          <w:szCs w:val="28"/>
        </w:rPr>
        <w:t>■</w:t>
      </w:r>
      <w:bookmarkEnd w:id="3"/>
    </w:p>
    <w:p>
      <w:pPr>
        <w:tabs>
          <w:tab w:val="left" w:pos="8647"/>
        </w:tabs>
        <w:autoSpaceDE w:val="0"/>
        <w:autoSpaceDN w:val="0"/>
        <w:adjustRightInd w:val="0"/>
        <w:spacing w:line="760" w:lineRule="exact"/>
        <w:ind w:firstLine="1120" w:firstLineChars="400"/>
        <w:jc w:val="left"/>
        <w:rPr>
          <w:rFonts w:eastAsiaTheme="minorEastAsia"/>
          <w:color w:val="4D4C49"/>
          <w:kern w:val="0"/>
          <w:sz w:val="28"/>
          <w:szCs w:val="28"/>
        </w:rPr>
      </w:pPr>
      <w:r>
        <w:rPr>
          <w:rFonts w:eastAsiaTheme="minorEastAsia"/>
          <w:color w:val="4D4C49"/>
          <w:kern w:val="0"/>
          <w:sz w:val="28"/>
          <w:szCs w:val="28"/>
        </w:rPr>
        <w:t>评价方式</w:t>
      </w:r>
      <w:r>
        <w:rPr>
          <w:rFonts w:eastAsiaTheme="minorEastAsia"/>
          <w:color w:val="201E1B"/>
          <w:kern w:val="0"/>
          <w:sz w:val="28"/>
          <w:szCs w:val="28"/>
        </w:rPr>
        <w:t>：</w:t>
      </w:r>
      <w:r>
        <w:rPr>
          <w:rFonts w:eastAsiaTheme="minorEastAsia"/>
          <w:color w:val="3E3D3A"/>
          <w:kern w:val="0"/>
          <w:sz w:val="28"/>
          <w:szCs w:val="28"/>
        </w:rPr>
        <w:t>部门（单位）绩效自评</w:t>
      </w:r>
      <w:r>
        <w:rPr>
          <w:rFonts w:eastAsiaTheme="minorEastAsia"/>
          <w:color w:val="0E0909"/>
          <w:kern w:val="0"/>
          <w:sz w:val="28"/>
          <w:szCs w:val="28"/>
        </w:rPr>
        <w:t xml:space="preserve">■      </w:t>
      </w:r>
      <w:r>
        <w:rPr>
          <w:rFonts w:eastAsiaTheme="minorEastAsia"/>
          <w:color w:val="4D4C49"/>
          <w:kern w:val="0"/>
          <w:sz w:val="28"/>
          <w:szCs w:val="28"/>
        </w:rPr>
        <w:t>财政部门组织评价口</w:t>
      </w:r>
    </w:p>
    <w:p>
      <w:pPr>
        <w:spacing w:line="760" w:lineRule="exact"/>
        <w:ind w:firstLine="1120" w:firstLineChars="400"/>
        <w:rPr>
          <w:rFonts w:eastAsiaTheme="minorEastAsia"/>
          <w:b/>
          <w:bCs/>
          <w:sz w:val="28"/>
          <w:szCs w:val="28"/>
        </w:rPr>
      </w:pPr>
      <w:r>
        <w:rPr>
          <w:rFonts w:eastAsiaTheme="minorEastAsia"/>
          <w:color w:val="4D4C49"/>
          <w:kern w:val="0"/>
          <w:sz w:val="28"/>
          <w:szCs w:val="28"/>
        </w:rPr>
        <w:t>评价机构</w:t>
      </w:r>
      <w:r>
        <w:rPr>
          <w:rFonts w:eastAsiaTheme="minorEastAsia"/>
          <w:color w:val="0E0909"/>
          <w:kern w:val="0"/>
          <w:sz w:val="28"/>
          <w:szCs w:val="28"/>
        </w:rPr>
        <w:t>：</w:t>
      </w:r>
      <w:r>
        <w:rPr>
          <w:rFonts w:eastAsiaTheme="minorEastAsia"/>
          <w:color w:val="4D4C49"/>
          <w:kern w:val="0"/>
          <w:sz w:val="28"/>
          <w:szCs w:val="28"/>
        </w:rPr>
        <w:t>中介机构</w:t>
      </w:r>
      <w:r>
        <w:rPr>
          <w:rFonts w:eastAsiaTheme="minorEastAsia"/>
          <w:color w:val="0E0909"/>
          <w:kern w:val="0"/>
          <w:sz w:val="28"/>
          <w:szCs w:val="28"/>
        </w:rPr>
        <w:t xml:space="preserve">■  </w:t>
      </w:r>
      <w:r>
        <w:rPr>
          <w:rFonts w:eastAsiaTheme="minorEastAsia"/>
          <w:color w:val="4D4C49"/>
          <w:kern w:val="0"/>
          <w:sz w:val="28"/>
          <w:szCs w:val="28"/>
        </w:rPr>
        <w:t>部门（单位）评价组</w:t>
      </w:r>
      <w:bookmarkStart w:id="4" w:name="_Hlk161574876"/>
      <w:r>
        <w:rPr>
          <w:rFonts w:eastAsiaTheme="minorEastAsia"/>
          <w:color w:val="4D4C49"/>
          <w:kern w:val="0"/>
          <w:sz w:val="28"/>
          <w:szCs w:val="28"/>
        </w:rPr>
        <w:t>口</w:t>
      </w:r>
      <w:bookmarkEnd w:id="4"/>
      <w:r>
        <w:rPr>
          <w:rFonts w:eastAsiaTheme="minorEastAsia"/>
          <w:color w:val="4D4C49"/>
          <w:kern w:val="0"/>
          <w:sz w:val="28"/>
          <w:szCs w:val="28"/>
        </w:rPr>
        <w:t xml:space="preserve">  财政评价组</w:t>
      </w:r>
      <w:bookmarkStart w:id="5" w:name="_Hlk161574710"/>
      <w:r>
        <w:rPr>
          <w:rFonts w:eastAsiaTheme="minorEastAsia"/>
          <w:color w:val="4D4C49"/>
          <w:kern w:val="0"/>
          <w:sz w:val="28"/>
          <w:szCs w:val="28"/>
        </w:rPr>
        <w:t>口</w:t>
      </w:r>
    </w:p>
    <w:bookmarkEnd w:id="5"/>
    <w:p>
      <w:pPr>
        <w:spacing w:line="760" w:lineRule="exact"/>
        <w:jc w:val="center"/>
        <w:rPr>
          <w:rFonts w:eastAsiaTheme="minorEastAsia"/>
          <w:b/>
          <w:bCs/>
          <w:sz w:val="28"/>
          <w:szCs w:val="28"/>
        </w:rPr>
      </w:pPr>
    </w:p>
    <w:p>
      <w:pPr>
        <w:spacing w:line="760" w:lineRule="exact"/>
        <w:jc w:val="center"/>
        <w:rPr>
          <w:rFonts w:eastAsiaTheme="minorEastAsia"/>
          <w:b/>
          <w:bCs/>
          <w:sz w:val="28"/>
          <w:szCs w:val="28"/>
        </w:rPr>
      </w:pPr>
    </w:p>
    <w:p>
      <w:pPr>
        <w:spacing w:line="760" w:lineRule="exact"/>
        <w:jc w:val="center"/>
        <w:rPr>
          <w:rFonts w:eastAsiaTheme="minorEastAsia"/>
          <w:b/>
          <w:bCs/>
          <w:sz w:val="28"/>
          <w:szCs w:val="28"/>
        </w:rPr>
      </w:pPr>
    </w:p>
    <w:p>
      <w:pPr>
        <w:spacing w:line="760" w:lineRule="exact"/>
        <w:jc w:val="center"/>
        <w:rPr>
          <w:rFonts w:eastAsiaTheme="minorEastAsia"/>
          <w:sz w:val="28"/>
          <w:szCs w:val="28"/>
        </w:rPr>
      </w:pPr>
      <w:r>
        <w:rPr>
          <w:rFonts w:eastAsiaTheme="minorEastAsia"/>
          <w:sz w:val="28"/>
          <w:szCs w:val="28"/>
        </w:rPr>
        <w:t>北京</w:t>
      </w:r>
      <w:r>
        <w:rPr>
          <w:rFonts w:hint="eastAsia" w:eastAsiaTheme="minorEastAsia"/>
          <w:sz w:val="28"/>
          <w:szCs w:val="28"/>
          <w:lang w:eastAsia="zh-CN"/>
        </w:rPr>
        <w:t>市朝阳区科学技术协会</w:t>
      </w:r>
    </w:p>
    <w:p>
      <w:pPr>
        <w:spacing w:line="760" w:lineRule="exact"/>
        <w:jc w:val="center"/>
        <w:rPr>
          <w:rFonts w:eastAsiaTheme="minorEastAsia"/>
          <w:sz w:val="28"/>
          <w:szCs w:val="28"/>
        </w:rPr>
        <w:sectPr>
          <w:footerReference r:id="rId3" w:type="default"/>
          <w:footerReference r:id="rId4" w:type="even"/>
          <w:pgSz w:w="11906" w:h="16838"/>
          <w:pgMar w:top="1134" w:right="1416" w:bottom="1418" w:left="1418" w:header="737" w:footer="710" w:gutter="0"/>
          <w:pgNumType w:start="0"/>
          <w:cols w:space="720" w:num="1"/>
          <w:titlePg/>
          <w:docGrid w:type="lines" w:linePitch="312" w:charSpace="0"/>
        </w:sectPr>
      </w:pPr>
      <w:r>
        <w:rPr>
          <w:rFonts w:eastAsiaTheme="minorEastAsia"/>
          <w:sz w:val="28"/>
          <w:szCs w:val="28"/>
        </w:rPr>
        <w:t>二</w:t>
      </w:r>
      <w:r>
        <w:rPr>
          <w:rFonts w:asciiTheme="minorEastAsia" w:hAnsiTheme="minorEastAsia" w:eastAsiaTheme="minorEastAsia"/>
          <w:sz w:val="24"/>
        </w:rPr>
        <w:t>○</w:t>
      </w:r>
      <w:r>
        <w:rPr>
          <w:rFonts w:eastAsiaTheme="minorEastAsia"/>
          <w:sz w:val="28"/>
          <w:szCs w:val="28"/>
        </w:rPr>
        <w:t>二四年三月</w:t>
      </w:r>
    </w:p>
    <w:p>
      <w:pPr>
        <w:jc w:val="center"/>
        <w:rPr>
          <w:b/>
          <w:sz w:val="44"/>
          <w:szCs w:val="44"/>
        </w:rPr>
      </w:pPr>
    </w:p>
    <w:p>
      <w:pPr>
        <w:jc w:val="center"/>
        <w:rPr>
          <w:rFonts w:eastAsiaTheme="minorEastAsia"/>
          <w:b/>
          <w:sz w:val="32"/>
          <w:szCs w:val="32"/>
        </w:rPr>
      </w:pPr>
      <w:r>
        <w:rPr>
          <w:rFonts w:eastAsiaTheme="minorEastAsia"/>
          <w:b/>
          <w:sz w:val="32"/>
          <w:szCs w:val="32"/>
        </w:rPr>
        <w:t>目  录</w:t>
      </w:r>
    </w:p>
    <w:p>
      <w:pPr>
        <w:jc w:val="center"/>
        <w:rPr>
          <w:rFonts w:eastAsiaTheme="minorEastAsia"/>
          <w:b/>
          <w:sz w:val="36"/>
          <w:szCs w:val="36"/>
        </w:rPr>
      </w:pPr>
    </w:p>
    <w:p>
      <w:pPr>
        <w:pStyle w:val="20"/>
        <w:tabs>
          <w:tab w:val="right" w:leader="dot" w:pos="9062"/>
        </w:tabs>
        <w:rPr>
          <w:rFonts w:ascii="Times New Roman" w:hAnsi="Times New Roman" w:cs="Times New Roman" w:eastAsiaTheme="minorEastAsia"/>
          <w:b w:val="0"/>
          <w:bCs w:val="0"/>
          <w:caps w:val="0"/>
          <w:sz w:val="28"/>
          <w:szCs w:val="28"/>
          <w14:ligatures w14:val="standardContextual"/>
        </w:rPr>
      </w:pPr>
      <w:r>
        <w:rPr>
          <w:rFonts w:ascii="Times New Roman" w:hAnsi="Times New Roman" w:cs="Times New Roman" w:eastAsiaTheme="minorEastAsia"/>
          <w:color w:val="0C0A08"/>
          <w:kern w:val="0"/>
          <w:sz w:val="28"/>
          <w:szCs w:val="28"/>
        </w:rPr>
        <w:fldChar w:fldCharType="begin"/>
      </w:r>
      <w:r>
        <w:rPr>
          <w:rFonts w:ascii="Times New Roman" w:hAnsi="Times New Roman" w:cs="Times New Roman" w:eastAsiaTheme="minorEastAsia"/>
          <w:color w:val="0C0A08"/>
          <w:kern w:val="0"/>
          <w:sz w:val="28"/>
          <w:szCs w:val="28"/>
        </w:rPr>
        <w:instrText xml:space="preserve"> TOC \o "1-3" \h \z \u </w:instrText>
      </w:r>
      <w:r>
        <w:rPr>
          <w:rFonts w:ascii="Times New Roman" w:hAnsi="Times New Roman" w:cs="Times New Roman" w:eastAsiaTheme="minorEastAsia"/>
          <w:color w:val="0C0A08"/>
          <w:kern w:val="0"/>
          <w:sz w:val="28"/>
          <w:szCs w:val="28"/>
        </w:rPr>
        <w:fldChar w:fldCharType="separate"/>
      </w:r>
      <w:r>
        <w:fldChar w:fldCharType="begin"/>
      </w:r>
      <w:r>
        <w:instrText xml:space="preserve"> HYPERLINK \l "_Toc162339081" </w:instrText>
      </w:r>
      <w:r>
        <w:fldChar w:fldCharType="separate"/>
      </w:r>
      <w:r>
        <w:rPr>
          <w:rStyle w:val="27"/>
          <w:rFonts w:ascii="Times New Roman" w:hAnsi="Times New Roman" w:cs="Times New Roman" w:eastAsiaTheme="minorEastAsia"/>
          <w:sz w:val="28"/>
          <w:szCs w:val="28"/>
        </w:rPr>
        <w:t>一、项目概述</w:t>
      </w:r>
      <w:r>
        <w:rPr>
          <w:rFonts w:ascii="Times New Roman" w:hAnsi="Times New Roman" w:cs="Times New Roman" w:eastAsiaTheme="minorEastAsia"/>
          <w:sz w:val="28"/>
          <w:szCs w:val="28"/>
        </w:rPr>
        <w:tab/>
      </w:r>
      <w:r>
        <w:rPr>
          <w:rFonts w:ascii="Times New Roman" w:hAnsi="Times New Roman" w:cs="Times New Roman" w:eastAsiaTheme="minorEastAsia"/>
          <w:sz w:val="28"/>
          <w:szCs w:val="28"/>
        </w:rPr>
        <w:fldChar w:fldCharType="begin"/>
      </w:r>
      <w:r>
        <w:rPr>
          <w:rFonts w:ascii="Times New Roman" w:hAnsi="Times New Roman" w:cs="Times New Roman" w:eastAsiaTheme="minorEastAsia"/>
          <w:sz w:val="28"/>
          <w:szCs w:val="28"/>
        </w:rPr>
        <w:instrText xml:space="preserve"> PAGEREF _Toc162339081 \h </w:instrText>
      </w:r>
      <w:r>
        <w:rPr>
          <w:rFonts w:ascii="Times New Roman" w:hAnsi="Times New Roman" w:cs="Times New Roman" w:eastAsiaTheme="minorEastAsia"/>
          <w:sz w:val="28"/>
          <w:szCs w:val="28"/>
        </w:rPr>
        <w:fldChar w:fldCharType="separate"/>
      </w:r>
      <w:r>
        <w:rPr>
          <w:rFonts w:ascii="Times New Roman" w:hAnsi="Times New Roman" w:cs="Times New Roman" w:eastAsiaTheme="minorEastAsia"/>
          <w:sz w:val="28"/>
          <w:szCs w:val="28"/>
        </w:rPr>
        <w:t>1</w:t>
      </w:r>
      <w:r>
        <w:rPr>
          <w:rFonts w:ascii="Times New Roman" w:hAnsi="Times New Roman" w:cs="Times New Roman" w:eastAsiaTheme="minorEastAsia"/>
          <w:sz w:val="28"/>
          <w:szCs w:val="28"/>
        </w:rPr>
        <w:fldChar w:fldCharType="end"/>
      </w:r>
      <w:r>
        <w:rPr>
          <w:rFonts w:ascii="Times New Roman" w:hAnsi="Times New Roman" w:cs="Times New Roman" w:eastAsiaTheme="minorEastAsia"/>
          <w:sz w:val="28"/>
          <w:szCs w:val="28"/>
        </w:rPr>
        <w:fldChar w:fldCharType="end"/>
      </w:r>
    </w:p>
    <w:p>
      <w:pPr>
        <w:pStyle w:val="23"/>
        <w:tabs>
          <w:tab w:val="right" w:leader="dot" w:pos="9062"/>
        </w:tabs>
        <w:rPr>
          <w:rFonts w:ascii="Times New Roman" w:hAnsi="Times New Roman" w:cs="Times New Roman" w:eastAsiaTheme="minorEastAsia"/>
          <w:smallCaps w:val="0"/>
          <w:sz w:val="28"/>
          <w:szCs w:val="28"/>
          <w14:ligatures w14:val="standardContextual"/>
        </w:rPr>
      </w:pPr>
      <w:r>
        <w:fldChar w:fldCharType="begin"/>
      </w:r>
      <w:r>
        <w:instrText xml:space="preserve"> HYPERLINK \l "_Toc162339082" </w:instrText>
      </w:r>
      <w:r>
        <w:fldChar w:fldCharType="separate"/>
      </w:r>
      <w:r>
        <w:rPr>
          <w:rStyle w:val="27"/>
          <w:rFonts w:ascii="Times New Roman" w:hAnsi="Times New Roman" w:cs="Times New Roman" w:eastAsiaTheme="minorEastAsia"/>
          <w:sz w:val="28"/>
          <w:szCs w:val="28"/>
        </w:rPr>
        <w:t>（一）项目概况</w:t>
      </w:r>
      <w:r>
        <w:rPr>
          <w:rFonts w:ascii="Times New Roman" w:hAnsi="Times New Roman" w:cs="Times New Roman" w:eastAsiaTheme="minorEastAsia"/>
          <w:sz w:val="28"/>
          <w:szCs w:val="28"/>
        </w:rPr>
        <w:tab/>
      </w:r>
      <w:r>
        <w:rPr>
          <w:rFonts w:ascii="Times New Roman" w:hAnsi="Times New Roman" w:cs="Times New Roman" w:eastAsiaTheme="minorEastAsia"/>
          <w:sz w:val="28"/>
          <w:szCs w:val="28"/>
        </w:rPr>
        <w:fldChar w:fldCharType="begin"/>
      </w:r>
      <w:r>
        <w:rPr>
          <w:rFonts w:ascii="Times New Roman" w:hAnsi="Times New Roman" w:cs="Times New Roman" w:eastAsiaTheme="minorEastAsia"/>
          <w:sz w:val="28"/>
          <w:szCs w:val="28"/>
        </w:rPr>
        <w:instrText xml:space="preserve"> PAGEREF _Toc162339082 \h </w:instrText>
      </w:r>
      <w:r>
        <w:rPr>
          <w:rFonts w:ascii="Times New Roman" w:hAnsi="Times New Roman" w:cs="Times New Roman" w:eastAsiaTheme="minorEastAsia"/>
          <w:sz w:val="28"/>
          <w:szCs w:val="28"/>
        </w:rPr>
        <w:fldChar w:fldCharType="separate"/>
      </w:r>
      <w:r>
        <w:rPr>
          <w:rFonts w:ascii="Times New Roman" w:hAnsi="Times New Roman" w:cs="Times New Roman" w:eastAsiaTheme="minorEastAsia"/>
          <w:sz w:val="28"/>
          <w:szCs w:val="28"/>
        </w:rPr>
        <w:t>1</w:t>
      </w:r>
      <w:r>
        <w:rPr>
          <w:rFonts w:ascii="Times New Roman" w:hAnsi="Times New Roman" w:cs="Times New Roman" w:eastAsiaTheme="minorEastAsia"/>
          <w:sz w:val="28"/>
          <w:szCs w:val="28"/>
        </w:rPr>
        <w:fldChar w:fldCharType="end"/>
      </w:r>
      <w:r>
        <w:rPr>
          <w:rFonts w:ascii="Times New Roman" w:hAnsi="Times New Roman" w:cs="Times New Roman" w:eastAsiaTheme="minorEastAsia"/>
          <w:sz w:val="28"/>
          <w:szCs w:val="28"/>
        </w:rPr>
        <w:fldChar w:fldCharType="end"/>
      </w:r>
    </w:p>
    <w:p>
      <w:pPr>
        <w:pStyle w:val="23"/>
        <w:tabs>
          <w:tab w:val="right" w:leader="dot" w:pos="9062"/>
        </w:tabs>
        <w:rPr>
          <w:rFonts w:ascii="Times New Roman" w:hAnsi="Times New Roman" w:cs="Times New Roman" w:eastAsiaTheme="minorEastAsia"/>
          <w:smallCaps w:val="0"/>
          <w:sz w:val="28"/>
          <w:szCs w:val="28"/>
          <w14:ligatures w14:val="standardContextual"/>
        </w:rPr>
      </w:pPr>
      <w:r>
        <w:fldChar w:fldCharType="begin"/>
      </w:r>
      <w:r>
        <w:instrText xml:space="preserve"> HYPERLINK \l "_Toc162339083" </w:instrText>
      </w:r>
      <w:r>
        <w:fldChar w:fldCharType="separate"/>
      </w:r>
      <w:r>
        <w:rPr>
          <w:rStyle w:val="27"/>
          <w:rFonts w:ascii="Times New Roman" w:hAnsi="Times New Roman" w:cs="Times New Roman" w:eastAsiaTheme="minorEastAsia"/>
          <w:sz w:val="28"/>
          <w:szCs w:val="28"/>
        </w:rPr>
        <w:t>（二）项目资金情况</w:t>
      </w:r>
      <w:r>
        <w:rPr>
          <w:rFonts w:ascii="Times New Roman" w:hAnsi="Times New Roman" w:cs="Times New Roman" w:eastAsiaTheme="minorEastAsia"/>
          <w:sz w:val="28"/>
          <w:szCs w:val="28"/>
        </w:rPr>
        <w:tab/>
      </w:r>
      <w:r>
        <w:rPr>
          <w:rFonts w:ascii="Times New Roman" w:hAnsi="Times New Roman" w:cs="Times New Roman" w:eastAsiaTheme="minorEastAsia"/>
          <w:sz w:val="28"/>
          <w:szCs w:val="28"/>
        </w:rPr>
        <w:fldChar w:fldCharType="begin"/>
      </w:r>
      <w:r>
        <w:rPr>
          <w:rFonts w:ascii="Times New Roman" w:hAnsi="Times New Roman" w:cs="Times New Roman" w:eastAsiaTheme="minorEastAsia"/>
          <w:sz w:val="28"/>
          <w:szCs w:val="28"/>
        </w:rPr>
        <w:instrText xml:space="preserve"> PAGEREF _Toc162339083 \h </w:instrText>
      </w:r>
      <w:r>
        <w:rPr>
          <w:rFonts w:ascii="Times New Roman" w:hAnsi="Times New Roman" w:cs="Times New Roman" w:eastAsiaTheme="minorEastAsia"/>
          <w:sz w:val="28"/>
          <w:szCs w:val="28"/>
        </w:rPr>
        <w:fldChar w:fldCharType="separate"/>
      </w:r>
      <w:r>
        <w:rPr>
          <w:rFonts w:ascii="Times New Roman" w:hAnsi="Times New Roman" w:cs="Times New Roman" w:eastAsiaTheme="minorEastAsia"/>
          <w:sz w:val="28"/>
          <w:szCs w:val="28"/>
        </w:rPr>
        <w:t>2</w:t>
      </w:r>
      <w:r>
        <w:rPr>
          <w:rFonts w:ascii="Times New Roman" w:hAnsi="Times New Roman" w:cs="Times New Roman" w:eastAsiaTheme="minorEastAsia"/>
          <w:sz w:val="28"/>
          <w:szCs w:val="28"/>
        </w:rPr>
        <w:fldChar w:fldCharType="end"/>
      </w:r>
      <w:r>
        <w:rPr>
          <w:rFonts w:ascii="Times New Roman" w:hAnsi="Times New Roman" w:cs="Times New Roman" w:eastAsiaTheme="minorEastAsia"/>
          <w:sz w:val="28"/>
          <w:szCs w:val="28"/>
        </w:rPr>
        <w:fldChar w:fldCharType="end"/>
      </w:r>
    </w:p>
    <w:p>
      <w:pPr>
        <w:pStyle w:val="23"/>
        <w:tabs>
          <w:tab w:val="right" w:leader="dot" w:pos="9062"/>
        </w:tabs>
        <w:rPr>
          <w:rFonts w:ascii="Times New Roman" w:hAnsi="Times New Roman" w:cs="Times New Roman" w:eastAsiaTheme="minorEastAsia"/>
          <w:smallCaps w:val="0"/>
          <w:sz w:val="28"/>
          <w:szCs w:val="28"/>
          <w14:ligatures w14:val="standardContextual"/>
        </w:rPr>
      </w:pPr>
      <w:r>
        <w:fldChar w:fldCharType="begin"/>
      </w:r>
      <w:r>
        <w:instrText xml:space="preserve"> HYPERLINK \l "_Toc162339084" </w:instrText>
      </w:r>
      <w:r>
        <w:fldChar w:fldCharType="separate"/>
      </w:r>
      <w:r>
        <w:rPr>
          <w:rStyle w:val="27"/>
          <w:rFonts w:ascii="Times New Roman" w:hAnsi="Times New Roman" w:cs="Times New Roman" w:eastAsiaTheme="minorEastAsia"/>
          <w:sz w:val="28"/>
          <w:szCs w:val="28"/>
        </w:rPr>
        <w:t>（三）绩效目标</w:t>
      </w:r>
      <w:r>
        <w:rPr>
          <w:rFonts w:ascii="Times New Roman" w:hAnsi="Times New Roman" w:cs="Times New Roman" w:eastAsiaTheme="minorEastAsia"/>
          <w:sz w:val="28"/>
          <w:szCs w:val="28"/>
        </w:rPr>
        <w:tab/>
      </w:r>
      <w:r>
        <w:rPr>
          <w:rFonts w:ascii="Times New Roman" w:hAnsi="Times New Roman" w:cs="Times New Roman" w:eastAsiaTheme="minorEastAsia"/>
          <w:sz w:val="28"/>
          <w:szCs w:val="28"/>
        </w:rPr>
        <w:fldChar w:fldCharType="begin"/>
      </w:r>
      <w:r>
        <w:rPr>
          <w:rFonts w:ascii="Times New Roman" w:hAnsi="Times New Roman" w:cs="Times New Roman" w:eastAsiaTheme="minorEastAsia"/>
          <w:sz w:val="28"/>
          <w:szCs w:val="28"/>
        </w:rPr>
        <w:instrText xml:space="preserve"> PAGEREF _Toc162339084 \h </w:instrText>
      </w:r>
      <w:r>
        <w:rPr>
          <w:rFonts w:ascii="Times New Roman" w:hAnsi="Times New Roman" w:cs="Times New Roman" w:eastAsiaTheme="minorEastAsia"/>
          <w:sz w:val="28"/>
          <w:szCs w:val="28"/>
        </w:rPr>
        <w:fldChar w:fldCharType="separate"/>
      </w:r>
      <w:r>
        <w:rPr>
          <w:rFonts w:ascii="Times New Roman" w:hAnsi="Times New Roman" w:cs="Times New Roman" w:eastAsiaTheme="minorEastAsia"/>
          <w:sz w:val="28"/>
          <w:szCs w:val="28"/>
        </w:rPr>
        <w:t>2</w:t>
      </w:r>
      <w:r>
        <w:rPr>
          <w:rFonts w:ascii="Times New Roman" w:hAnsi="Times New Roman" w:cs="Times New Roman" w:eastAsiaTheme="minorEastAsia"/>
          <w:sz w:val="28"/>
          <w:szCs w:val="28"/>
        </w:rPr>
        <w:fldChar w:fldCharType="end"/>
      </w:r>
      <w:r>
        <w:rPr>
          <w:rFonts w:ascii="Times New Roman" w:hAnsi="Times New Roman" w:cs="Times New Roman" w:eastAsiaTheme="minorEastAsia"/>
          <w:sz w:val="28"/>
          <w:szCs w:val="28"/>
        </w:rPr>
        <w:fldChar w:fldCharType="end"/>
      </w:r>
    </w:p>
    <w:p>
      <w:pPr>
        <w:pStyle w:val="20"/>
        <w:tabs>
          <w:tab w:val="right" w:leader="dot" w:pos="9062"/>
        </w:tabs>
        <w:rPr>
          <w:rFonts w:ascii="Times New Roman" w:hAnsi="Times New Roman" w:cs="Times New Roman" w:eastAsiaTheme="minorEastAsia"/>
          <w:b w:val="0"/>
          <w:bCs w:val="0"/>
          <w:caps w:val="0"/>
          <w:sz w:val="28"/>
          <w:szCs w:val="28"/>
          <w14:ligatures w14:val="standardContextual"/>
        </w:rPr>
      </w:pPr>
      <w:r>
        <w:fldChar w:fldCharType="begin"/>
      </w:r>
      <w:r>
        <w:instrText xml:space="preserve"> HYPERLINK \l "_Toc162339085" </w:instrText>
      </w:r>
      <w:r>
        <w:fldChar w:fldCharType="separate"/>
      </w:r>
      <w:r>
        <w:rPr>
          <w:rStyle w:val="27"/>
          <w:rFonts w:ascii="Times New Roman" w:hAnsi="Times New Roman" w:cs="Times New Roman" w:eastAsiaTheme="minorEastAsia"/>
          <w:sz w:val="28"/>
          <w:szCs w:val="28"/>
        </w:rPr>
        <w:t>二、评价工作简述</w:t>
      </w:r>
      <w:r>
        <w:rPr>
          <w:rFonts w:ascii="Times New Roman" w:hAnsi="Times New Roman" w:cs="Times New Roman" w:eastAsiaTheme="minorEastAsia"/>
          <w:sz w:val="28"/>
          <w:szCs w:val="28"/>
        </w:rPr>
        <w:tab/>
      </w:r>
      <w:r>
        <w:rPr>
          <w:rFonts w:ascii="Times New Roman" w:hAnsi="Times New Roman" w:cs="Times New Roman" w:eastAsiaTheme="minorEastAsia"/>
          <w:sz w:val="28"/>
          <w:szCs w:val="28"/>
        </w:rPr>
        <w:fldChar w:fldCharType="begin"/>
      </w:r>
      <w:r>
        <w:rPr>
          <w:rFonts w:ascii="Times New Roman" w:hAnsi="Times New Roman" w:cs="Times New Roman" w:eastAsiaTheme="minorEastAsia"/>
          <w:sz w:val="28"/>
          <w:szCs w:val="28"/>
        </w:rPr>
        <w:instrText xml:space="preserve"> PAGEREF _Toc162339085 \h </w:instrText>
      </w:r>
      <w:r>
        <w:rPr>
          <w:rFonts w:ascii="Times New Roman" w:hAnsi="Times New Roman" w:cs="Times New Roman" w:eastAsiaTheme="minorEastAsia"/>
          <w:sz w:val="28"/>
          <w:szCs w:val="28"/>
        </w:rPr>
        <w:fldChar w:fldCharType="separate"/>
      </w:r>
      <w:r>
        <w:rPr>
          <w:rFonts w:ascii="Times New Roman" w:hAnsi="Times New Roman" w:cs="Times New Roman" w:eastAsiaTheme="minorEastAsia"/>
          <w:sz w:val="28"/>
          <w:szCs w:val="28"/>
        </w:rPr>
        <w:t>4</w:t>
      </w:r>
      <w:r>
        <w:rPr>
          <w:rFonts w:ascii="Times New Roman" w:hAnsi="Times New Roman" w:cs="Times New Roman" w:eastAsiaTheme="minorEastAsia"/>
          <w:sz w:val="28"/>
          <w:szCs w:val="28"/>
        </w:rPr>
        <w:fldChar w:fldCharType="end"/>
      </w:r>
      <w:r>
        <w:rPr>
          <w:rFonts w:ascii="Times New Roman" w:hAnsi="Times New Roman" w:cs="Times New Roman" w:eastAsiaTheme="minorEastAsia"/>
          <w:sz w:val="28"/>
          <w:szCs w:val="28"/>
        </w:rPr>
        <w:fldChar w:fldCharType="end"/>
      </w:r>
    </w:p>
    <w:p>
      <w:pPr>
        <w:pStyle w:val="23"/>
        <w:tabs>
          <w:tab w:val="right" w:leader="dot" w:pos="9062"/>
        </w:tabs>
        <w:rPr>
          <w:rFonts w:ascii="Times New Roman" w:hAnsi="Times New Roman" w:cs="Times New Roman" w:eastAsiaTheme="minorEastAsia"/>
          <w:smallCaps w:val="0"/>
          <w:sz w:val="28"/>
          <w:szCs w:val="28"/>
          <w14:ligatures w14:val="standardContextual"/>
        </w:rPr>
      </w:pPr>
      <w:r>
        <w:fldChar w:fldCharType="begin"/>
      </w:r>
      <w:r>
        <w:instrText xml:space="preserve"> HYPERLINK \l "_Toc162339086" </w:instrText>
      </w:r>
      <w:r>
        <w:fldChar w:fldCharType="separate"/>
      </w:r>
      <w:r>
        <w:rPr>
          <w:rStyle w:val="27"/>
          <w:rFonts w:ascii="Times New Roman" w:hAnsi="Times New Roman" w:cs="Times New Roman" w:eastAsiaTheme="minorEastAsia"/>
          <w:sz w:val="28"/>
          <w:szCs w:val="28"/>
        </w:rPr>
        <w:t>（一）基本情况</w:t>
      </w:r>
      <w:r>
        <w:rPr>
          <w:rFonts w:ascii="Times New Roman" w:hAnsi="Times New Roman" w:cs="Times New Roman" w:eastAsiaTheme="minorEastAsia"/>
          <w:sz w:val="28"/>
          <w:szCs w:val="28"/>
        </w:rPr>
        <w:tab/>
      </w:r>
      <w:r>
        <w:rPr>
          <w:rFonts w:ascii="Times New Roman" w:hAnsi="Times New Roman" w:cs="Times New Roman" w:eastAsiaTheme="minorEastAsia"/>
          <w:sz w:val="28"/>
          <w:szCs w:val="28"/>
        </w:rPr>
        <w:fldChar w:fldCharType="begin"/>
      </w:r>
      <w:r>
        <w:rPr>
          <w:rFonts w:ascii="Times New Roman" w:hAnsi="Times New Roman" w:cs="Times New Roman" w:eastAsiaTheme="minorEastAsia"/>
          <w:sz w:val="28"/>
          <w:szCs w:val="28"/>
        </w:rPr>
        <w:instrText xml:space="preserve"> PAGEREF _Toc162339086 \h </w:instrText>
      </w:r>
      <w:r>
        <w:rPr>
          <w:rFonts w:ascii="Times New Roman" w:hAnsi="Times New Roman" w:cs="Times New Roman" w:eastAsiaTheme="minorEastAsia"/>
          <w:sz w:val="28"/>
          <w:szCs w:val="28"/>
        </w:rPr>
        <w:fldChar w:fldCharType="separate"/>
      </w:r>
      <w:r>
        <w:rPr>
          <w:rFonts w:ascii="Times New Roman" w:hAnsi="Times New Roman" w:cs="Times New Roman" w:eastAsiaTheme="minorEastAsia"/>
          <w:sz w:val="28"/>
          <w:szCs w:val="28"/>
        </w:rPr>
        <w:t>4</w:t>
      </w:r>
      <w:r>
        <w:rPr>
          <w:rFonts w:ascii="Times New Roman" w:hAnsi="Times New Roman" w:cs="Times New Roman" w:eastAsiaTheme="minorEastAsia"/>
          <w:sz w:val="28"/>
          <w:szCs w:val="28"/>
        </w:rPr>
        <w:fldChar w:fldCharType="end"/>
      </w:r>
      <w:r>
        <w:rPr>
          <w:rFonts w:ascii="Times New Roman" w:hAnsi="Times New Roman" w:cs="Times New Roman" w:eastAsiaTheme="minorEastAsia"/>
          <w:sz w:val="28"/>
          <w:szCs w:val="28"/>
        </w:rPr>
        <w:fldChar w:fldCharType="end"/>
      </w:r>
    </w:p>
    <w:p>
      <w:pPr>
        <w:pStyle w:val="23"/>
        <w:tabs>
          <w:tab w:val="right" w:leader="dot" w:pos="9062"/>
        </w:tabs>
        <w:rPr>
          <w:rFonts w:ascii="Times New Roman" w:hAnsi="Times New Roman" w:cs="Times New Roman" w:eastAsiaTheme="minorEastAsia"/>
          <w:smallCaps w:val="0"/>
          <w:sz w:val="28"/>
          <w:szCs w:val="28"/>
          <w14:ligatures w14:val="standardContextual"/>
        </w:rPr>
      </w:pPr>
      <w:r>
        <w:fldChar w:fldCharType="begin"/>
      </w:r>
      <w:r>
        <w:instrText xml:space="preserve"> HYPERLINK \l "_Toc162339087" </w:instrText>
      </w:r>
      <w:r>
        <w:fldChar w:fldCharType="separate"/>
      </w:r>
      <w:r>
        <w:rPr>
          <w:rStyle w:val="27"/>
          <w:rFonts w:ascii="Times New Roman" w:hAnsi="Times New Roman" w:cs="Times New Roman" w:eastAsiaTheme="minorEastAsia"/>
          <w:sz w:val="28"/>
          <w:szCs w:val="28"/>
        </w:rPr>
        <w:t>（二）评价组织实施</w:t>
      </w:r>
      <w:r>
        <w:rPr>
          <w:rFonts w:ascii="Times New Roman" w:hAnsi="Times New Roman" w:cs="Times New Roman" w:eastAsiaTheme="minorEastAsia"/>
          <w:sz w:val="28"/>
          <w:szCs w:val="28"/>
        </w:rPr>
        <w:tab/>
      </w:r>
      <w:r>
        <w:rPr>
          <w:rFonts w:ascii="Times New Roman" w:hAnsi="Times New Roman" w:cs="Times New Roman" w:eastAsiaTheme="minorEastAsia"/>
          <w:sz w:val="28"/>
          <w:szCs w:val="28"/>
        </w:rPr>
        <w:fldChar w:fldCharType="begin"/>
      </w:r>
      <w:r>
        <w:rPr>
          <w:rFonts w:ascii="Times New Roman" w:hAnsi="Times New Roman" w:cs="Times New Roman" w:eastAsiaTheme="minorEastAsia"/>
          <w:sz w:val="28"/>
          <w:szCs w:val="28"/>
        </w:rPr>
        <w:instrText xml:space="preserve"> PAGEREF _Toc162339087 \h </w:instrText>
      </w:r>
      <w:r>
        <w:rPr>
          <w:rFonts w:ascii="Times New Roman" w:hAnsi="Times New Roman" w:cs="Times New Roman" w:eastAsiaTheme="minorEastAsia"/>
          <w:sz w:val="28"/>
          <w:szCs w:val="28"/>
        </w:rPr>
        <w:fldChar w:fldCharType="separate"/>
      </w:r>
      <w:r>
        <w:rPr>
          <w:rFonts w:ascii="Times New Roman" w:hAnsi="Times New Roman" w:cs="Times New Roman" w:eastAsiaTheme="minorEastAsia"/>
          <w:sz w:val="28"/>
          <w:szCs w:val="28"/>
        </w:rPr>
        <w:t>5</w:t>
      </w:r>
      <w:r>
        <w:rPr>
          <w:rFonts w:ascii="Times New Roman" w:hAnsi="Times New Roman" w:cs="Times New Roman" w:eastAsiaTheme="minorEastAsia"/>
          <w:sz w:val="28"/>
          <w:szCs w:val="28"/>
        </w:rPr>
        <w:fldChar w:fldCharType="end"/>
      </w:r>
      <w:r>
        <w:rPr>
          <w:rFonts w:ascii="Times New Roman" w:hAnsi="Times New Roman" w:cs="Times New Roman" w:eastAsiaTheme="minorEastAsia"/>
          <w:sz w:val="28"/>
          <w:szCs w:val="28"/>
        </w:rPr>
        <w:fldChar w:fldCharType="end"/>
      </w:r>
    </w:p>
    <w:p>
      <w:pPr>
        <w:pStyle w:val="20"/>
        <w:tabs>
          <w:tab w:val="right" w:leader="dot" w:pos="9062"/>
        </w:tabs>
        <w:rPr>
          <w:rFonts w:ascii="Times New Roman" w:hAnsi="Times New Roman" w:cs="Times New Roman" w:eastAsiaTheme="minorEastAsia"/>
          <w:b w:val="0"/>
          <w:bCs w:val="0"/>
          <w:caps w:val="0"/>
          <w:sz w:val="28"/>
          <w:szCs w:val="28"/>
          <w14:ligatures w14:val="standardContextual"/>
        </w:rPr>
      </w:pPr>
      <w:r>
        <w:fldChar w:fldCharType="begin"/>
      </w:r>
      <w:r>
        <w:instrText xml:space="preserve"> HYPERLINK \l "_Toc162339088" </w:instrText>
      </w:r>
      <w:r>
        <w:fldChar w:fldCharType="separate"/>
      </w:r>
      <w:r>
        <w:rPr>
          <w:rStyle w:val="27"/>
          <w:rFonts w:ascii="Times New Roman" w:hAnsi="Times New Roman" w:cs="Times New Roman" w:eastAsiaTheme="minorEastAsia"/>
          <w:sz w:val="28"/>
          <w:szCs w:val="28"/>
        </w:rPr>
        <w:t>三、绩效评价分析</w:t>
      </w:r>
      <w:r>
        <w:rPr>
          <w:rFonts w:ascii="Times New Roman" w:hAnsi="Times New Roman" w:cs="Times New Roman" w:eastAsiaTheme="minorEastAsia"/>
          <w:sz w:val="28"/>
          <w:szCs w:val="28"/>
        </w:rPr>
        <w:tab/>
      </w:r>
      <w:r>
        <w:rPr>
          <w:rFonts w:ascii="Times New Roman" w:hAnsi="Times New Roman" w:cs="Times New Roman" w:eastAsiaTheme="minorEastAsia"/>
          <w:sz w:val="28"/>
          <w:szCs w:val="28"/>
        </w:rPr>
        <w:fldChar w:fldCharType="begin"/>
      </w:r>
      <w:r>
        <w:rPr>
          <w:rFonts w:ascii="Times New Roman" w:hAnsi="Times New Roman" w:cs="Times New Roman" w:eastAsiaTheme="minorEastAsia"/>
          <w:sz w:val="28"/>
          <w:szCs w:val="28"/>
        </w:rPr>
        <w:instrText xml:space="preserve"> PAGEREF _Toc162339088 \h </w:instrText>
      </w:r>
      <w:r>
        <w:rPr>
          <w:rFonts w:ascii="Times New Roman" w:hAnsi="Times New Roman" w:cs="Times New Roman" w:eastAsiaTheme="minorEastAsia"/>
          <w:sz w:val="28"/>
          <w:szCs w:val="28"/>
        </w:rPr>
        <w:fldChar w:fldCharType="separate"/>
      </w:r>
      <w:r>
        <w:rPr>
          <w:rFonts w:ascii="Times New Roman" w:hAnsi="Times New Roman" w:cs="Times New Roman" w:eastAsiaTheme="minorEastAsia"/>
          <w:sz w:val="28"/>
          <w:szCs w:val="28"/>
        </w:rPr>
        <w:t>5</w:t>
      </w:r>
      <w:r>
        <w:rPr>
          <w:rFonts w:ascii="Times New Roman" w:hAnsi="Times New Roman" w:cs="Times New Roman" w:eastAsiaTheme="minorEastAsia"/>
          <w:sz w:val="28"/>
          <w:szCs w:val="28"/>
        </w:rPr>
        <w:fldChar w:fldCharType="end"/>
      </w:r>
      <w:r>
        <w:rPr>
          <w:rFonts w:ascii="Times New Roman" w:hAnsi="Times New Roman" w:cs="Times New Roman" w:eastAsiaTheme="minorEastAsia"/>
          <w:sz w:val="28"/>
          <w:szCs w:val="28"/>
        </w:rPr>
        <w:fldChar w:fldCharType="end"/>
      </w:r>
    </w:p>
    <w:p>
      <w:pPr>
        <w:pStyle w:val="23"/>
        <w:tabs>
          <w:tab w:val="right" w:leader="dot" w:pos="9062"/>
        </w:tabs>
        <w:rPr>
          <w:rFonts w:ascii="Times New Roman" w:hAnsi="Times New Roman" w:cs="Times New Roman" w:eastAsiaTheme="minorEastAsia"/>
          <w:smallCaps w:val="0"/>
          <w:sz w:val="28"/>
          <w:szCs w:val="28"/>
          <w14:ligatures w14:val="standardContextual"/>
        </w:rPr>
      </w:pPr>
      <w:r>
        <w:fldChar w:fldCharType="begin"/>
      </w:r>
      <w:r>
        <w:instrText xml:space="preserve"> HYPERLINK \l "_Toc162339089" </w:instrText>
      </w:r>
      <w:r>
        <w:fldChar w:fldCharType="separate"/>
      </w:r>
      <w:r>
        <w:rPr>
          <w:rStyle w:val="27"/>
          <w:rFonts w:ascii="Times New Roman" w:hAnsi="Times New Roman" w:cs="Times New Roman" w:eastAsiaTheme="minorEastAsia"/>
          <w:sz w:val="28"/>
          <w:szCs w:val="28"/>
        </w:rPr>
        <w:t>（一）项目绩效目标评价分析</w:t>
      </w:r>
      <w:r>
        <w:rPr>
          <w:rFonts w:ascii="Times New Roman" w:hAnsi="Times New Roman" w:cs="Times New Roman" w:eastAsiaTheme="minorEastAsia"/>
          <w:sz w:val="28"/>
          <w:szCs w:val="28"/>
        </w:rPr>
        <w:tab/>
      </w:r>
      <w:r>
        <w:rPr>
          <w:rFonts w:ascii="Times New Roman" w:hAnsi="Times New Roman" w:cs="Times New Roman" w:eastAsiaTheme="minorEastAsia"/>
          <w:sz w:val="28"/>
          <w:szCs w:val="28"/>
        </w:rPr>
        <w:fldChar w:fldCharType="begin"/>
      </w:r>
      <w:r>
        <w:rPr>
          <w:rFonts w:ascii="Times New Roman" w:hAnsi="Times New Roman" w:cs="Times New Roman" w:eastAsiaTheme="minorEastAsia"/>
          <w:sz w:val="28"/>
          <w:szCs w:val="28"/>
        </w:rPr>
        <w:instrText xml:space="preserve"> PAGEREF _Toc162339089 \h </w:instrText>
      </w:r>
      <w:r>
        <w:rPr>
          <w:rFonts w:ascii="Times New Roman" w:hAnsi="Times New Roman" w:cs="Times New Roman" w:eastAsiaTheme="minorEastAsia"/>
          <w:sz w:val="28"/>
          <w:szCs w:val="28"/>
        </w:rPr>
        <w:fldChar w:fldCharType="separate"/>
      </w:r>
      <w:r>
        <w:rPr>
          <w:rFonts w:ascii="Times New Roman" w:hAnsi="Times New Roman" w:cs="Times New Roman" w:eastAsiaTheme="minorEastAsia"/>
          <w:sz w:val="28"/>
          <w:szCs w:val="28"/>
        </w:rPr>
        <w:t>5</w:t>
      </w:r>
      <w:r>
        <w:rPr>
          <w:rFonts w:ascii="Times New Roman" w:hAnsi="Times New Roman" w:cs="Times New Roman" w:eastAsiaTheme="minorEastAsia"/>
          <w:sz w:val="28"/>
          <w:szCs w:val="28"/>
        </w:rPr>
        <w:fldChar w:fldCharType="end"/>
      </w:r>
      <w:r>
        <w:rPr>
          <w:rFonts w:ascii="Times New Roman" w:hAnsi="Times New Roman" w:cs="Times New Roman" w:eastAsiaTheme="minorEastAsia"/>
          <w:sz w:val="28"/>
          <w:szCs w:val="28"/>
        </w:rPr>
        <w:fldChar w:fldCharType="end"/>
      </w:r>
    </w:p>
    <w:p>
      <w:pPr>
        <w:pStyle w:val="23"/>
        <w:tabs>
          <w:tab w:val="right" w:leader="dot" w:pos="9062"/>
        </w:tabs>
        <w:rPr>
          <w:rFonts w:ascii="Times New Roman" w:hAnsi="Times New Roman" w:cs="Times New Roman" w:eastAsiaTheme="minorEastAsia"/>
          <w:smallCaps w:val="0"/>
          <w:sz w:val="28"/>
          <w:szCs w:val="28"/>
          <w14:ligatures w14:val="standardContextual"/>
        </w:rPr>
      </w:pPr>
      <w:r>
        <w:fldChar w:fldCharType="begin"/>
      </w:r>
      <w:r>
        <w:instrText xml:space="preserve"> HYPERLINK \l "_Toc162339090" </w:instrText>
      </w:r>
      <w:r>
        <w:fldChar w:fldCharType="separate"/>
      </w:r>
      <w:r>
        <w:rPr>
          <w:rStyle w:val="27"/>
          <w:rFonts w:ascii="Times New Roman" w:hAnsi="Times New Roman" w:cs="Times New Roman" w:eastAsiaTheme="minorEastAsia"/>
          <w:sz w:val="28"/>
          <w:szCs w:val="28"/>
        </w:rPr>
        <w:t>（二）项目绩效控制评价分析</w:t>
      </w:r>
      <w:r>
        <w:rPr>
          <w:rFonts w:ascii="Times New Roman" w:hAnsi="Times New Roman" w:cs="Times New Roman" w:eastAsiaTheme="minorEastAsia"/>
          <w:sz w:val="28"/>
          <w:szCs w:val="28"/>
        </w:rPr>
        <w:tab/>
      </w:r>
      <w:r>
        <w:rPr>
          <w:rFonts w:ascii="Times New Roman" w:hAnsi="Times New Roman" w:cs="Times New Roman" w:eastAsiaTheme="minorEastAsia"/>
          <w:sz w:val="28"/>
          <w:szCs w:val="28"/>
        </w:rPr>
        <w:fldChar w:fldCharType="begin"/>
      </w:r>
      <w:r>
        <w:rPr>
          <w:rFonts w:ascii="Times New Roman" w:hAnsi="Times New Roman" w:cs="Times New Roman" w:eastAsiaTheme="minorEastAsia"/>
          <w:sz w:val="28"/>
          <w:szCs w:val="28"/>
        </w:rPr>
        <w:instrText xml:space="preserve"> PAGEREF _Toc162339090 \h </w:instrText>
      </w:r>
      <w:r>
        <w:rPr>
          <w:rFonts w:ascii="Times New Roman" w:hAnsi="Times New Roman" w:cs="Times New Roman" w:eastAsiaTheme="minorEastAsia"/>
          <w:sz w:val="28"/>
          <w:szCs w:val="28"/>
        </w:rPr>
        <w:fldChar w:fldCharType="separate"/>
      </w:r>
      <w:r>
        <w:rPr>
          <w:rFonts w:ascii="Times New Roman" w:hAnsi="Times New Roman" w:cs="Times New Roman" w:eastAsiaTheme="minorEastAsia"/>
          <w:sz w:val="28"/>
          <w:szCs w:val="28"/>
        </w:rPr>
        <w:t>6</w:t>
      </w:r>
      <w:r>
        <w:rPr>
          <w:rFonts w:ascii="Times New Roman" w:hAnsi="Times New Roman" w:cs="Times New Roman" w:eastAsiaTheme="minorEastAsia"/>
          <w:sz w:val="28"/>
          <w:szCs w:val="28"/>
        </w:rPr>
        <w:fldChar w:fldCharType="end"/>
      </w:r>
      <w:r>
        <w:rPr>
          <w:rFonts w:ascii="Times New Roman" w:hAnsi="Times New Roman" w:cs="Times New Roman" w:eastAsiaTheme="minorEastAsia"/>
          <w:sz w:val="28"/>
          <w:szCs w:val="28"/>
        </w:rPr>
        <w:fldChar w:fldCharType="end"/>
      </w:r>
    </w:p>
    <w:p>
      <w:pPr>
        <w:pStyle w:val="23"/>
        <w:tabs>
          <w:tab w:val="right" w:leader="dot" w:pos="9062"/>
        </w:tabs>
        <w:rPr>
          <w:rFonts w:ascii="Times New Roman" w:hAnsi="Times New Roman" w:cs="Times New Roman" w:eastAsiaTheme="minorEastAsia"/>
          <w:smallCaps w:val="0"/>
          <w:sz w:val="28"/>
          <w:szCs w:val="28"/>
          <w14:ligatures w14:val="standardContextual"/>
        </w:rPr>
      </w:pPr>
      <w:r>
        <w:fldChar w:fldCharType="begin"/>
      </w:r>
      <w:r>
        <w:instrText xml:space="preserve"> HYPERLINK \l "_Toc162339091" </w:instrText>
      </w:r>
      <w:r>
        <w:fldChar w:fldCharType="separate"/>
      </w:r>
      <w:r>
        <w:rPr>
          <w:rStyle w:val="27"/>
          <w:rFonts w:ascii="Times New Roman" w:hAnsi="Times New Roman" w:cs="Times New Roman" w:eastAsiaTheme="minorEastAsia"/>
          <w:sz w:val="28"/>
          <w:szCs w:val="28"/>
        </w:rPr>
        <w:t>（三）项目产出及效果评价分析</w:t>
      </w:r>
      <w:r>
        <w:rPr>
          <w:rFonts w:ascii="Times New Roman" w:hAnsi="Times New Roman" w:cs="Times New Roman" w:eastAsiaTheme="minorEastAsia"/>
          <w:sz w:val="28"/>
          <w:szCs w:val="28"/>
        </w:rPr>
        <w:tab/>
      </w:r>
      <w:r>
        <w:rPr>
          <w:rFonts w:ascii="Times New Roman" w:hAnsi="Times New Roman" w:cs="Times New Roman" w:eastAsiaTheme="minorEastAsia"/>
          <w:sz w:val="28"/>
          <w:szCs w:val="28"/>
        </w:rPr>
        <w:fldChar w:fldCharType="begin"/>
      </w:r>
      <w:r>
        <w:rPr>
          <w:rFonts w:ascii="Times New Roman" w:hAnsi="Times New Roman" w:cs="Times New Roman" w:eastAsiaTheme="minorEastAsia"/>
          <w:sz w:val="28"/>
          <w:szCs w:val="28"/>
        </w:rPr>
        <w:instrText xml:space="preserve"> PAGEREF _Toc162339091 \h </w:instrText>
      </w:r>
      <w:r>
        <w:rPr>
          <w:rFonts w:ascii="Times New Roman" w:hAnsi="Times New Roman" w:cs="Times New Roman" w:eastAsiaTheme="minorEastAsia"/>
          <w:sz w:val="28"/>
          <w:szCs w:val="28"/>
        </w:rPr>
        <w:fldChar w:fldCharType="separate"/>
      </w:r>
      <w:r>
        <w:rPr>
          <w:rFonts w:ascii="Times New Roman" w:hAnsi="Times New Roman" w:cs="Times New Roman" w:eastAsiaTheme="minorEastAsia"/>
          <w:sz w:val="28"/>
          <w:szCs w:val="28"/>
        </w:rPr>
        <w:t>9</w:t>
      </w:r>
      <w:r>
        <w:rPr>
          <w:rFonts w:ascii="Times New Roman" w:hAnsi="Times New Roman" w:cs="Times New Roman" w:eastAsiaTheme="minorEastAsia"/>
          <w:sz w:val="28"/>
          <w:szCs w:val="28"/>
        </w:rPr>
        <w:fldChar w:fldCharType="end"/>
      </w:r>
      <w:r>
        <w:rPr>
          <w:rFonts w:ascii="Times New Roman" w:hAnsi="Times New Roman" w:cs="Times New Roman" w:eastAsiaTheme="minorEastAsia"/>
          <w:sz w:val="28"/>
          <w:szCs w:val="28"/>
        </w:rPr>
        <w:fldChar w:fldCharType="end"/>
      </w:r>
    </w:p>
    <w:p>
      <w:pPr>
        <w:pStyle w:val="20"/>
        <w:tabs>
          <w:tab w:val="right" w:leader="dot" w:pos="9062"/>
        </w:tabs>
        <w:rPr>
          <w:rFonts w:ascii="Times New Roman" w:hAnsi="Times New Roman" w:cs="Times New Roman" w:eastAsiaTheme="minorEastAsia"/>
          <w:b w:val="0"/>
          <w:bCs w:val="0"/>
          <w:caps w:val="0"/>
          <w:sz w:val="28"/>
          <w:szCs w:val="28"/>
          <w14:ligatures w14:val="standardContextual"/>
        </w:rPr>
      </w:pPr>
      <w:r>
        <w:fldChar w:fldCharType="begin"/>
      </w:r>
      <w:r>
        <w:instrText xml:space="preserve"> HYPERLINK \l "_Toc162339092" </w:instrText>
      </w:r>
      <w:r>
        <w:fldChar w:fldCharType="separate"/>
      </w:r>
      <w:r>
        <w:rPr>
          <w:rStyle w:val="27"/>
          <w:rFonts w:ascii="Times New Roman" w:hAnsi="Times New Roman" w:cs="Times New Roman" w:eastAsiaTheme="minorEastAsia"/>
          <w:sz w:val="28"/>
          <w:szCs w:val="28"/>
        </w:rPr>
        <w:t>四、评价结论</w:t>
      </w:r>
      <w:r>
        <w:rPr>
          <w:rFonts w:ascii="Times New Roman" w:hAnsi="Times New Roman" w:cs="Times New Roman" w:eastAsiaTheme="minorEastAsia"/>
          <w:sz w:val="28"/>
          <w:szCs w:val="28"/>
        </w:rPr>
        <w:tab/>
      </w:r>
      <w:r>
        <w:rPr>
          <w:rFonts w:ascii="Times New Roman" w:hAnsi="Times New Roman" w:cs="Times New Roman" w:eastAsiaTheme="minorEastAsia"/>
          <w:sz w:val="28"/>
          <w:szCs w:val="28"/>
        </w:rPr>
        <w:fldChar w:fldCharType="begin"/>
      </w:r>
      <w:r>
        <w:rPr>
          <w:rFonts w:ascii="Times New Roman" w:hAnsi="Times New Roman" w:cs="Times New Roman" w:eastAsiaTheme="minorEastAsia"/>
          <w:sz w:val="28"/>
          <w:szCs w:val="28"/>
        </w:rPr>
        <w:instrText xml:space="preserve"> PAGEREF _Toc162339092 \h </w:instrText>
      </w:r>
      <w:r>
        <w:rPr>
          <w:rFonts w:ascii="Times New Roman" w:hAnsi="Times New Roman" w:cs="Times New Roman" w:eastAsiaTheme="minorEastAsia"/>
          <w:sz w:val="28"/>
          <w:szCs w:val="28"/>
        </w:rPr>
        <w:fldChar w:fldCharType="separate"/>
      </w:r>
      <w:r>
        <w:rPr>
          <w:rFonts w:ascii="Times New Roman" w:hAnsi="Times New Roman" w:cs="Times New Roman" w:eastAsiaTheme="minorEastAsia"/>
          <w:sz w:val="28"/>
          <w:szCs w:val="28"/>
        </w:rPr>
        <w:t>10</w:t>
      </w:r>
      <w:r>
        <w:rPr>
          <w:rFonts w:ascii="Times New Roman" w:hAnsi="Times New Roman" w:cs="Times New Roman" w:eastAsiaTheme="minorEastAsia"/>
          <w:sz w:val="28"/>
          <w:szCs w:val="28"/>
        </w:rPr>
        <w:fldChar w:fldCharType="end"/>
      </w:r>
      <w:r>
        <w:rPr>
          <w:rFonts w:ascii="Times New Roman" w:hAnsi="Times New Roman" w:cs="Times New Roman" w:eastAsiaTheme="minorEastAsia"/>
          <w:sz w:val="28"/>
          <w:szCs w:val="28"/>
        </w:rPr>
        <w:fldChar w:fldCharType="end"/>
      </w:r>
    </w:p>
    <w:p>
      <w:pPr>
        <w:pStyle w:val="20"/>
        <w:tabs>
          <w:tab w:val="right" w:leader="dot" w:pos="9062"/>
        </w:tabs>
        <w:rPr>
          <w:rFonts w:ascii="Times New Roman" w:hAnsi="Times New Roman" w:cs="Times New Roman" w:eastAsiaTheme="minorEastAsia"/>
          <w:b w:val="0"/>
          <w:bCs w:val="0"/>
          <w:caps w:val="0"/>
          <w:sz w:val="28"/>
          <w:szCs w:val="28"/>
          <w14:ligatures w14:val="standardContextual"/>
        </w:rPr>
      </w:pPr>
      <w:r>
        <w:fldChar w:fldCharType="begin"/>
      </w:r>
      <w:r>
        <w:instrText xml:space="preserve"> HYPERLINK \l "_Toc162339093" </w:instrText>
      </w:r>
      <w:r>
        <w:fldChar w:fldCharType="separate"/>
      </w:r>
      <w:r>
        <w:rPr>
          <w:rStyle w:val="27"/>
          <w:rFonts w:ascii="Times New Roman" w:hAnsi="Times New Roman" w:cs="Times New Roman" w:eastAsiaTheme="minorEastAsia"/>
          <w:sz w:val="28"/>
          <w:szCs w:val="28"/>
        </w:rPr>
        <w:t>五、项目改进建议</w:t>
      </w:r>
      <w:r>
        <w:rPr>
          <w:rFonts w:ascii="Times New Roman" w:hAnsi="Times New Roman" w:cs="Times New Roman" w:eastAsiaTheme="minorEastAsia"/>
          <w:sz w:val="28"/>
          <w:szCs w:val="28"/>
        </w:rPr>
        <w:tab/>
      </w:r>
      <w:r>
        <w:rPr>
          <w:rFonts w:ascii="Times New Roman" w:hAnsi="Times New Roman" w:cs="Times New Roman" w:eastAsiaTheme="minorEastAsia"/>
          <w:sz w:val="28"/>
          <w:szCs w:val="28"/>
        </w:rPr>
        <w:fldChar w:fldCharType="begin"/>
      </w:r>
      <w:r>
        <w:rPr>
          <w:rFonts w:ascii="Times New Roman" w:hAnsi="Times New Roman" w:cs="Times New Roman" w:eastAsiaTheme="minorEastAsia"/>
          <w:sz w:val="28"/>
          <w:szCs w:val="28"/>
        </w:rPr>
        <w:instrText xml:space="preserve"> PAGEREF _Toc162339093 \h </w:instrText>
      </w:r>
      <w:r>
        <w:rPr>
          <w:rFonts w:ascii="Times New Roman" w:hAnsi="Times New Roman" w:cs="Times New Roman" w:eastAsiaTheme="minorEastAsia"/>
          <w:sz w:val="28"/>
          <w:szCs w:val="28"/>
        </w:rPr>
        <w:fldChar w:fldCharType="separate"/>
      </w:r>
      <w:r>
        <w:rPr>
          <w:rFonts w:ascii="Times New Roman" w:hAnsi="Times New Roman" w:cs="Times New Roman" w:eastAsiaTheme="minorEastAsia"/>
          <w:sz w:val="28"/>
          <w:szCs w:val="28"/>
        </w:rPr>
        <w:t>11</w:t>
      </w:r>
      <w:r>
        <w:rPr>
          <w:rFonts w:ascii="Times New Roman" w:hAnsi="Times New Roman" w:cs="Times New Roman" w:eastAsiaTheme="minorEastAsia"/>
          <w:sz w:val="28"/>
          <w:szCs w:val="28"/>
        </w:rPr>
        <w:fldChar w:fldCharType="end"/>
      </w:r>
      <w:r>
        <w:rPr>
          <w:rFonts w:ascii="Times New Roman" w:hAnsi="Times New Roman" w:cs="Times New Roman" w:eastAsiaTheme="minorEastAsia"/>
          <w:sz w:val="28"/>
          <w:szCs w:val="28"/>
        </w:rPr>
        <w:fldChar w:fldCharType="end"/>
      </w:r>
    </w:p>
    <w:p>
      <w:pPr>
        <w:pStyle w:val="23"/>
        <w:tabs>
          <w:tab w:val="right" w:leader="dot" w:pos="9062"/>
        </w:tabs>
        <w:rPr>
          <w:rFonts w:ascii="Times New Roman" w:hAnsi="Times New Roman" w:cs="Times New Roman" w:eastAsiaTheme="minorEastAsia"/>
          <w:smallCaps w:val="0"/>
          <w:sz w:val="28"/>
          <w:szCs w:val="28"/>
          <w14:ligatures w14:val="standardContextual"/>
        </w:rPr>
      </w:pPr>
      <w:r>
        <w:fldChar w:fldCharType="begin"/>
      </w:r>
      <w:r>
        <w:instrText xml:space="preserve"> HYPERLINK \l "_Toc162339094" </w:instrText>
      </w:r>
      <w:r>
        <w:fldChar w:fldCharType="separate"/>
      </w:r>
      <w:r>
        <w:rPr>
          <w:rStyle w:val="27"/>
          <w:rFonts w:ascii="Times New Roman" w:hAnsi="Times New Roman" w:cs="Times New Roman" w:eastAsiaTheme="minorEastAsia"/>
          <w:sz w:val="28"/>
          <w:szCs w:val="28"/>
        </w:rPr>
        <w:t>（一）项目决策方面</w:t>
      </w:r>
      <w:r>
        <w:rPr>
          <w:rFonts w:ascii="Times New Roman" w:hAnsi="Times New Roman" w:cs="Times New Roman" w:eastAsiaTheme="minorEastAsia"/>
          <w:sz w:val="28"/>
          <w:szCs w:val="28"/>
        </w:rPr>
        <w:tab/>
      </w:r>
      <w:r>
        <w:rPr>
          <w:rFonts w:ascii="Times New Roman" w:hAnsi="Times New Roman" w:cs="Times New Roman" w:eastAsiaTheme="minorEastAsia"/>
          <w:sz w:val="28"/>
          <w:szCs w:val="28"/>
        </w:rPr>
        <w:fldChar w:fldCharType="begin"/>
      </w:r>
      <w:r>
        <w:rPr>
          <w:rFonts w:ascii="Times New Roman" w:hAnsi="Times New Roman" w:cs="Times New Roman" w:eastAsiaTheme="minorEastAsia"/>
          <w:sz w:val="28"/>
          <w:szCs w:val="28"/>
        </w:rPr>
        <w:instrText xml:space="preserve"> PAGEREF _Toc162339094 \h </w:instrText>
      </w:r>
      <w:r>
        <w:rPr>
          <w:rFonts w:ascii="Times New Roman" w:hAnsi="Times New Roman" w:cs="Times New Roman" w:eastAsiaTheme="minorEastAsia"/>
          <w:sz w:val="28"/>
          <w:szCs w:val="28"/>
        </w:rPr>
        <w:fldChar w:fldCharType="separate"/>
      </w:r>
      <w:r>
        <w:rPr>
          <w:rFonts w:ascii="Times New Roman" w:hAnsi="Times New Roman" w:cs="Times New Roman" w:eastAsiaTheme="minorEastAsia"/>
          <w:sz w:val="28"/>
          <w:szCs w:val="28"/>
        </w:rPr>
        <w:t>11</w:t>
      </w:r>
      <w:r>
        <w:rPr>
          <w:rFonts w:ascii="Times New Roman" w:hAnsi="Times New Roman" w:cs="Times New Roman" w:eastAsiaTheme="minorEastAsia"/>
          <w:sz w:val="28"/>
          <w:szCs w:val="28"/>
        </w:rPr>
        <w:fldChar w:fldCharType="end"/>
      </w:r>
      <w:r>
        <w:rPr>
          <w:rFonts w:ascii="Times New Roman" w:hAnsi="Times New Roman" w:cs="Times New Roman" w:eastAsiaTheme="minorEastAsia"/>
          <w:sz w:val="28"/>
          <w:szCs w:val="28"/>
        </w:rPr>
        <w:fldChar w:fldCharType="end"/>
      </w:r>
    </w:p>
    <w:p>
      <w:pPr>
        <w:pStyle w:val="23"/>
        <w:tabs>
          <w:tab w:val="right" w:leader="dot" w:pos="9062"/>
        </w:tabs>
        <w:rPr>
          <w:rFonts w:ascii="Times New Roman" w:hAnsi="Times New Roman" w:cs="Times New Roman" w:eastAsiaTheme="minorEastAsia"/>
          <w:smallCaps w:val="0"/>
          <w:sz w:val="28"/>
          <w:szCs w:val="28"/>
          <w14:ligatures w14:val="standardContextual"/>
        </w:rPr>
      </w:pPr>
      <w:r>
        <w:fldChar w:fldCharType="begin"/>
      </w:r>
      <w:r>
        <w:instrText xml:space="preserve"> HYPERLINK \l "_Toc162339095" </w:instrText>
      </w:r>
      <w:r>
        <w:fldChar w:fldCharType="separate"/>
      </w:r>
      <w:r>
        <w:rPr>
          <w:rStyle w:val="27"/>
          <w:rFonts w:ascii="Times New Roman" w:hAnsi="Times New Roman" w:cs="Times New Roman" w:eastAsiaTheme="minorEastAsia"/>
          <w:sz w:val="28"/>
          <w:szCs w:val="28"/>
        </w:rPr>
        <w:t>（二）项目管理方面</w:t>
      </w:r>
      <w:r>
        <w:rPr>
          <w:rFonts w:ascii="Times New Roman" w:hAnsi="Times New Roman" w:cs="Times New Roman" w:eastAsiaTheme="minorEastAsia"/>
          <w:sz w:val="28"/>
          <w:szCs w:val="28"/>
        </w:rPr>
        <w:tab/>
      </w:r>
      <w:r>
        <w:rPr>
          <w:rFonts w:ascii="Times New Roman" w:hAnsi="Times New Roman" w:cs="Times New Roman" w:eastAsiaTheme="minorEastAsia"/>
          <w:sz w:val="28"/>
          <w:szCs w:val="28"/>
        </w:rPr>
        <w:fldChar w:fldCharType="begin"/>
      </w:r>
      <w:r>
        <w:rPr>
          <w:rFonts w:ascii="Times New Roman" w:hAnsi="Times New Roman" w:cs="Times New Roman" w:eastAsiaTheme="minorEastAsia"/>
          <w:sz w:val="28"/>
          <w:szCs w:val="28"/>
        </w:rPr>
        <w:instrText xml:space="preserve"> PAGEREF _Toc162339095 \h </w:instrText>
      </w:r>
      <w:r>
        <w:rPr>
          <w:rFonts w:ascii="Times New Roman" w:hAnsi="Times New Roman" w:cs="Times New Roman" w:eastAsiaTheme="minorEastAsia"/>
          <w:sz w:val="28"/>
          <w:szCs w:val="28"/>
        </w:rPr>
        <w:fldChar w:fldCharType="separate"/>
      </w:r>
      <w:r>
        <w:rPr>
          <w:rFonts w:ascii="Times New Roman" w:hAnsi="Times New Roman" w:cs="Times New Roman" w:eastAsiaTheme="minorEastAsia"/>
          <w:sz w:val="28"/>
          <w:szCs w:val="28"/>
        </w:rPr>
        <w:t>11</w:t>
      </w:r>
      <w:r>
        <w:rPr>
          <w:rFonts w:ascii="Times New Roman" w:hAnsi="Times New Roman" w:cs="Times New Roman" w:eastAsiaTheme="minorEastAsia"/>
          <w:sz w:val="28"/>
          <w:szCs w:val="28"/>
        </w:rPr>
        <w:fldChar w:fldCharType="end"/>
      </w:r>
      <w:r>
        <w:rPr>
          <w:rFonts w:ascii="Times New Roman" w:hAnsi="Times New Roman" w:cs="Times New Roman" w:eastAsiaTheme="minorEastAsia"/>
          <w:sz w:val="28"/>
          <w:szCs w:val="28"/>
        </w:rPr>
        <w:fldChar w:fldCharType="end"/>
      </w:r>
    </w:p>
    <w:p>
      <w:pPr>
        <w:pStyle w:val="23"/>
        <w:tabs>
          <w:tab w:val="right" w:leader="dot" w:pos="9062"/>
        </w:tabs>
        <w:rPr>
          <w:rFonts w:ascii="Times New Roman" w:hAnsi="Times New Roman" w:cs="Times New Roman" w:eastAsiaTheme="minorEastAsia"/>
          <w:smallCaps w:val="0"/>
          <w:sz w:val="28"/>
          <w:szCs w:val="28"/>
          <w14:ligatures w14:val="standardContextual"/>
        </w:rPr>
      </w:pPr>
      <w:r>
        <w:fldChar w:fldCharType="begin"/>
      </w:r>
      <w:r>
        <w:instrText xml:space="preserve"> HYPERLINK \l "_Toc162339096" </w:instrText>
      </w:r>
      <w:r>
        <w:fldChar w:fldCharType="separate"/>
      </w:r>
      <w:r>
        <w:rPr>
          <w:rStyle w:val="27"/>
          <w:rFonts w:ascii="Times New Roman" w:hAnsi="Times New Roman" w:cs="Times New Roman" w:eastAsiaTheme="minorEastAsia"/>
          <w:sz w:val="28"/>
          <w:szCs w:val="28"/>
        </w:rPr>
        <w:t>（三）项目绩效方面</w:t>
      </w:r>
      <w:r>
        <w:rPr>
          <w:rFonts w:ascii="Times New Roman" w:hAnsi="Times New Roman" w:cs="Times New Roman" w:eastAsiaTheme="minorEastAsia"/>
          <w:sz w:val="28"/>
          <w:szCs w:val="28"/>
        </w:rPr>
        <w:tab/>
      </w:r>
      <w:r>
        <w:rPr>
          <w:rFonts w:ascii="Times New Roman" w:hAnsi="Times New Roman" w:cs="Times New Roman" w:eastAsiaTheme="minorEastAsia"/>
          <w:sz w:val="28"/>
          <w:szCs w:val="28"/>
        </w:rPr>
        <w:fldChar w:fldCharType="begin"/>
      </w:r>
      <w:r>
        <w:rPr>
          <w:rFonts w:ascii="Times New Roman" w:hAnsi="Times New Roman" w:cs="Times New Roman" w:eastAsiaTheme="minorEastAsia"/>
          <w:sz w:val="28"/>
          <w:szCs w:val="28"/>
        </w:rPr>
        <w:instrText xml:space="preserve"> PAGEREF _Toc162339096 \h </w:instrText>
      </w:r>
      <w:r>
        <w:rPr>
          <w:rFonts w:ascii="Times New Roman" w:hAnsi="Times New Roman" w:cs="Times New Roman" w:eastAsiaTheme="minorEastAsia"/>
          <w:sz w:val="28"/>
          <w:szCs w:val="28"/>
        </w:rPr>
        <w:fldChar w:fldCharType="separate"/>
      </w:r>
      <w:r>
        <w:rPr>
          <w:rFonts w:ascii="Times New Roman" w:hAnsi="Times New Roman" w:cs="Times New Roman" w:eastAsiaTheme="minorEastAsia"/>
          <w:sz w:val="28"/>
          <w:szCs w:val="28"/>
        </w:rPr>
        <w:t>12</w:t>
      </w:r>
      <w:r>
        <w:rPr>
          <w:rFonts w:ascii="Times New Roman" w:hAnsi="Times New Roman" w:cs="Times New Roman" w:eastAsiaTheme="minorEastAsia"/>
          <w:sz w:val="28"/>
          <w:szCs w:val="28"/>
        </w:rPr>
        <w:fldChar w:fldCharType="end"/>
      </w:r>
      <w:r>
        <w:rPr>
          <w:rFonts w:ascii="Times New Roman" w:hAnsi="Times New Roman" w:cs="Times New Roman" w:eastAsiaTheme="minorEastAsia"/>
          <w:sz w:val="28"/>
          <w:szCs w:val="28"/>
        </w:rPr>
        <w:fldChar w:fldCharType="end"/>
      </w:r>
    </w:p>
    <w:p>
      <w:pPr>
        <w:kinsoku w:val="0"/>
        <w:overflowPunct w:val="0"/>
        <w:autoSpaceDE w:val="0"/>
        <w:autoSpaceDN w:val="0"/>
        <w:adjustRightInd w:val="0"/>
        <w:spacing w:line="360" w:lineRule="auto"/>
        <w:ind w:left="3577" w:right="4402"/>
        <w:jc w:val="center"/>
        <w:rPr>
          <w:color w:val="0C0A08"/>
          <w:kern w:val="0"/>
          <w:sz w:val="28"/>
          <w:szCs w:val="28"/>
        </w:rPr>
      </w:pPr>
      <w:r>
        <w:rPr>
          <w:rFonts w:eastAsiaTheme="minorEastAsia"/>
          <w:color w:val="0C0A08"/>
          <w:kern w:val="0"/>
          <w:sz w:val="28"/>
          <w:szCs w:val="28"/>
        </w:rPr>
        <w:fldChar w:fldCharType="end"/>
      </w:r>
    </w:p>
    <w:p>
      <w:pPr>
        <w:kinsoku w:val="0"/>
        <w:overflowPunct w:val="0"/>
        <w:autoSpaceDE w:val="0"/>
        <w:autoSpaceDN w:val="0"/>
        <w:adjustRightInd w:val="0"/>
        <w:spacing w:line="309" w:lineRule="exact"/>
        <w:ind w:left="3577" w:right="4402"/>
        <w:jc w:val="center"/>
        <w:rPr>
          <w:color w:val="0C0A08"/>
          <w:kern w:val="0"/>
          <w:sz w:val="28"/>
          <w:szCs w:val="28"/>
        </w:rPr>
        <w:sectPr>
          <w:headerReference r:id="rId5" w:type="first"/>
          <w:footerReference r:id="rId6" w:type="first"/>
          <w:pgSz w:w="11906" w:h="16838"/>
          <w:pgMar w:top="1134" w:right="1416" w:bottom="1418" w:left="1418" w:header="737" w:footer="710" w:gutter="0"/>
          <w:pgNumType w:start="0"/>
          <w:cols w:space="720" w:num="1"/>
          <w:titlePg/>
          <w:docGrid w:type="lines" w:linePitch="312" w:charSpace="0"/>
        </w:sectPr>
      </w:pPr>
    </w:p>
    <w:p>
      <w:pPr>
        <w:tabs>
          <w:tab w:val="left" w:pos="5387"/>
        </w:tabs>
        <w:snapToGrid w:val="0"/>
        <w:spacing w:line="500" w:lineRule="exact"/>
        <w:jc w:val="center"/>
        <w:rPr>
          <w:b/>
          <w:bCs/>
          <w:sz w:val="30"/>
          <w:szCs w:val="30"/>
        </w:rPr>
      </w:pPr>
      <w:bookmarkStart w:id="6" w:name="_Hlk161575495"/>
      <w:r>
        <w:rPr>
          <w:b/>
          <w:bCs/>
          <w:sz w:val="30"/>
          <w:szCs w:val="30"/>
        </w:rPr>
        <w:t>2023年北京朝阳科学家会客厅活动项目</w:t>
      </w:r>
      <w:bookmarkEnd w:id="6"/>
    </w:p>
    <w:p>
      <w:pPr>
        <w:tabs>
          <w:tab w:val="left" w:pos="5387"/>
        </w:tabs>
        <w:snapToGrid w:val="0"/>
        <w:spacing w:line="500" w:lineRule="exact"/>
        <w:jc w:val="center"/>
        <w:rPr>
          <w:b/>
          <w:bCs/>
          <w:sz w:val="30"/>
          <w:szCs w:val="30"/>
        </w:rPr>
      </w:pPr>
      <w:r>
        <w:rPr>
          <w:b/>
          <w:bCs/>
          <w:sz w:val="30"/>
          <w:szCs w:val="30"/>
        </w:rPr>
        <w:t>绩效评价报告</w:t>
      </w:r>
    </w:p>
    <w:p>
      <w:pPr>
        <w:tabs>
          <w:tab w:val="left" w:pos="5387"/>
        </w:tabs>
        <w:snapToGrid w:val="0"/>
        <w:spacing w:line="500" w:lineRule="exact"/>
        <w:ind w:firstLine="504" w:firstLineChars="210"/>
        <w:rPr>
          <w:sz w:val="24"/>
          <w:szCs w:val="24"/>
        </w:rPr>
      </w:pPr>
    </w:p>
    <w:p>
      <w:pPr>
        <w:pStyle w:val="2"/>
        <w:ind w:left="210" w:right="210"/>
        <w:rPr>
          <w:rFonts w:ascii="Times New Roman" w:hAnsi="Times New Roman"/>
        </w:rPr>
      </w:pPr>
      <w:bookmarkStart w:id="7" w:name="_Toc162339081"/>
      <w:r>
        <w:rPr>
          <w:rFonts w:ascii="Times New Roman" w:hAnsi="Times New Roman"/>
        </w:rPr>
        <w:t>一、项目概述</w:t>
      </w:r>
      <w:bookmarkEnd w:id="7"/>
    </w:p>
    <w:p>
      <w:pPr>
        <w:pStyle w:val="3"/>
        <w:ind w:right="210"/>
        <w:rPr>
          <w:rFonts w:ascii="Times New Roman" w:hAnsi="Times New Roman" w:cs="Times New Roman"/>
        </w:rPr>
      </w:pPr>
      <w:bookmarkStart w:id="8" w:name="_Toc162339082"/>
      <w:r>
        <w:rPr>
          <w:rFonts w:ascii="Times New Roman" w:hAnsi="Times New Roman" w:cs="Times New Roman"/>
        </w:rPr>
        <w:t>（一）项目概况</w:t>
      </w:r>
      <w:bookmarkEnd w:id="8"/>
    </w:p>
    <w:p>
      <w:pPr>
        <w:tabs>
          <w:tab w:val="left" w:pos="5387"/>
        </w:tabs>
        <w:snapToGrid w:val="0"/>
        <w:spacing w:line="500" w:lineRule="exact"/>
        <w:ind w:firstLine="504" w:firstLineChars="210"/>
        <w:rPr>
          <w:sz w:val="24"/>
          <w:szCs w:val="24"/>
        </w:rPr>
      </w:pPr>
      <w:r>
        <w:rPr>
          <w:sz w:val="24"/>
          <w:szCs w:val="24"/>
        </w:rPr>
        <w:t>1、项目名称：</w:t>
      </w:r>
      <w:bookmarkStart w:id="9" w:name="_Hlk161575626"/>
      <w:r>
        <w:rPr>
          <w:sz w:val="24"/>
          <w:szCs w:val="24"/>
        </w:rPr>
        <w:t>2023年北京朝阳科学家会客厅活动</w:t>
      </w:r>
      <w:bookmarkEnd w:id="9"/>
    </w:p>
    <w:p>
      <w:pPr>
        <w:tabs>
          <w:tab w:val="left" w:pos="5387"/>
        </w:tabs>
        <w:snapToGrid w:val="0"/>
        <w:spacing w:line="500" w:lineRule="exact"/>
        <w:ind w:firstLine="504" w:firstLineChars="210"/>
        <w:rPr>
          <w:sz w:val="24"/>
          <w:szCs w:val="24"/>
        </w:rPr>
      </w:pPr>
      <w:r>
        <w:rPr>
          <w:sz w:val="24"/>
          <w:szCs w:val="24"/>
        </w:rPr>
        <w:t>2、</w:t>
      </w:r>
      <w:r>
        <w:rPr>
          <w:rFonts w:asciiTheme="minorEastAsia" w:hAnsiTheme="minorEastAsia" w:eastAsiaTheme="minorEastAsia"/>
          <w:sz w:val="24"/>
          <w:szCs w:val="24"/>
        </w:rPr>
        <w:t>项目单位：北京市朝阳区科学技术协会</w:t>
      </w:r>
      <w:r>
        <w:rPr>
          <w:rFonts w:hint="eastAsia" w:asciiTheme="minorEastAsia" w:hAnsiTheme="minorEastAsia" w:eastAsiaTheme="minorEastAsia"/>
          <w:sz w:val="24"/>
          <w:szCs w:val="24"/>
        </w:rPr>
        <w:t>（</w:t>
      </w:r>
      <w:r>
        <w:rPr>
          <w:rFonts w:asciiTheme="minorEastAsia" w:hAnsiTheme="minorEastAsia" w:eastAsiaTheme="minorEastAsia"/>
          <w:sz w:val="24"/>
          <w:szCs w:val="24"/>
        </w:rPr>
        <w:t>以下简称为“朝阳区科协”或“项目单位”</w:t>
      </w:r>
      <w:r>
        <w:rPr>
          <w:rFonts w:hint="eastAsia" w:asciiTheme="minorEastAsia" w:hAnsiTheme="minorEastAsia" w:eastAsiaTheme="minorEastAsia"/>
          <w:sz w:val="24"/>
          <w:szCs w:val="24"/>
        </w:rPr>
        <w:t>）</w:t>
      </w:r>
    </w:p>
    <w:p>
      <w:pPr>
        <w:tabs>
          <w:tab w:val="left" w:pos="5387"/>
        </w:tabs>
        <w:snapToGrid w:val="0"/>
        <w:spacing w:line="500" w:lineRule="exact"/>
        <w:ind w:firstLine="504" w:firstLineChars="210"/>
        <w:rPr>
          <w:sz w:val="24"/>
          <w:szCs w:val="24"/>
        </w:rPr>
      </w:pPr>
      <w:r>
        <w:rPr>
          <w:sz w:val="24"/>
          <w:szCs w:val="24"/>
        </w:rPr>
        <w:t>3、项目承办单位：北京市朝阳区企业联合会</w:t>
      </w:r>
    </w:p>
    <w:p>
      <w:pPr>
        <w:tabs>
          <w:tab w:val="left" w:pos="5387"/>
        </w:tabs>
        <w:snapToGrid w:val="0"/>
        <w:spacing w:line="500" w:lineRule="exact"/>
        <w:ind w:firstLine="480" w:firstLineChars="200"/>
        <w:rPr>
          <w:sz w:val="24"/>
          <w:szCs w:val="24"/>
        </w:rPr>
      </w:pPr>
      <w:r>
        <w:rPr>
          <w:sz w:val="24"/>
          <w:szCs w:val="24"/>
        </w:rPr>
        <w:t>4、项目预算：2023年北京朝阳科学家会客厅活动项目资金预算为50万元。根据人才发展资金（组织部还原）的经费安排，从财政资金的人才发展资金（组织部还原）资金中列支50万元。</w:t>
      </w:r>
    </w:p>
    <w:p>
      <w:pPr>
        <w:tabs>
          <w:tab w:val="left" w:pos="5387"/>
        </w:tabs>
        <w:snapToGrid w:val="0"/>
        <w:spacing w:line="500" w:lineRule="exact"/>
        <w:ind w:firstLine="504" w:firstLineChars="210"/>
        <w:rPr>
          <w:sz w:val="24"/>
          <w:szCs w:val="24"/>
        </w:rPr>
      </w:pPr>
      <w:r>
        <w:rPr>
          <w:sz w:val="24"/>
          <w:szCs w:val="24"/>
        </w:rPr>
        <w:t>5、项目概述：</w:t>
      </w:r>
    </w:p>
    <w:p>
      <w:pPr>
        <w:tabs>
          <w:tab w:val="left" w:pos="5387"/>
        </w:tabs>
        <w:snapToGrid w:val="0"/>
        <w:spacing w:line="500" w:lineRule="exact"/>
        <w:ind w:firstLine="504" w:firstLineChars="210"/>
        <w:rPr>
          <w:sz w:val="24"/>
          <w:szCs w:val="24"/>
        </w:rPr>
      </w:pPr>
      <w:r>
        <w:rPr>
          <w:sz w:val="24"/>
          <w:szCs w:val="24"/>
        </w:rPr>
        <w:t>为深入贯彻党的二十大关于实施科教兴国战略，强化现代化建设人才支撑精神，落实中央和北京市人才工作会议精神，服务科技人才创新创业创造，展现朝阳区新时代科技创新成效，营造国际一流的科学发展生态环境。为展现新时代朝阳区科技发展与数字经济风貌，赋能“3+X”产业发展，做大做优做强前沿产业优势，推动国际科技组织和各类科技企业、人才精英关注朝阳、助力朝阳，以科技创新精神和科学传播意志，感召人才，服务朝阳。中共北京市朝阳区委组织部联合北京市朝阳区科学技术协会，共同举办2023年北京朝阳科学家会客厅活动活动。</w:t>
      </w:r>
    </w:p>
    <w:p>
      <w:pPr>
        <w:tabs>
          <w:tab w:val="left" w:pos="5387"/>
        </w:tabs>
        <w:snapToGrid w:val="0"/>
        <w:spacing w:line="500" w:lineRule="exact"/>
        <w:ind w:firstLine="504" w:firstLineChars="210"/>
        <w:rPr>
          <w:sz w:val="24"/>
          <w:szCs w:val="24"/>
        </w:rPr>
      </w:pPr>
      <w:r>
        <w:rPr>
          <w:sz w:val="24"/>
          <w:szCs w:val="24"/>
        </w:rPr>
        <w:t>项目实施周期为2023年3月24日至9月30日。共走访科创精英32名，并聘任为会客厅青年科学家。举办6场专题活动，邀请52位专家参与活动，吸引256家企业精英、投资机构、科研院所代表参加，活动直播共吸引11万观众线上观看，共同为活动建言献策。设立“北京朝阳科学家会客厅”企业交流站5家，编制《数字经济人才赋能朝阳创新发展的研究及建议》报告一篇，整合剪辑摄影摄像素材制作出5分钟时长的活动宣传片，并以线下线上的形式，多渠道、全方位宣传科学家会客厅活动，累计</w:t>
      </w:r>
      <w:r>
        <w:rPr>
          <w:rFonts w:hint="eastAsia"/>
          <w:sz w:val="24"/>
          <w:szCs w:val="24"/>
        </w:rPr>
        <w:t>受益</w:t>
      </w:r>
      <w:r>
        <w:rPr>
          <w:sz w:val="24"/>
          <w:szCs w:val="24"/>
        </w:rPr>
        <w:t>人数突破48万人次。</w:t>
      </w:r>
    </w:p>
    <w:p>
      <w:pPr>
        <w:tabs>
          <w:tab w:val="left" w:pos="5387"/>
        </w:tabs>
        <w:snapToGrid w:val="0"/>
        <w:spacing w:line="500" w:lineRule="exact"/>
        <w:ind w:firstLine="504" w:firstLineChars="210"/>
        <w:rPr>
          <w:sz w:val="24"/>
          <w:szCs w:val="24"/>
        </w:rPr>
      </w:pPr>
      <w:r>
        <w:rPr>
          <w:sz w:val="24"/>
          <w:szCs w:val="24"/>
        </w:rPr>
        <w:t>通过项目活动联系、组织、协调、实施，深化各界企业和机构的专家互动和交流，树立</w:t>
      </w:r>
      <w:r>
        <w:rPr>
          <w:rFonts w:hint="eastAsia"/>
          <w:sz w:val="24"/>
          <w:szCs w:val="24"/>
        </w:rPr>
        <w:t>“</w:t>
      </w:r>
      <w:r>
        <w:rPr>
          <w:sz w:val="24"/>
          <w:szCs w:val="24"/>
        </w:rPr>
        <w:t>科学家会客厅</w:t>
      </w:r>
      <w:r>
        <w:rPr>
          <w:rFonts w:hint="eastAsia"/>
          <w:sz w:val="24"/>
          <w:szCs w:val="24"/>
        </w:rPr>
        <w:t>”</w:t>
      </w:r>
      <w:r>
        <w:rPr>
          <w:sz w:val="24"/>
          <w:szCs w:val="24"/>
        </w:rPr>
        <w:t>品牌影响力，整理形成汇聚国内外前沿科技领域知名专家库；以及基于</w:t>
      </w:r>
      <w:r>
        <w:rPr>
          <w:rFonts w:hint="eastAsia"/>
          <w:sz w:val="24"/>
          <w:szCs w:val="24"/>
        </w:rPr>
        <w:t>“</w:t>
      </w:r>
      <w:r>
        <w:rPr>
          <w:sz w:val="24"/>
          <w:szCs w:val="24"/>
        </w:rPr>
        <w:t>科学家会客厅</w:t>
      </w:r>
      <w:r>
        <w:rPr>
          <w:rFonts w:hint="eastAsia"/>
          <w:sz w:val="24"/>
          <w:szCs w:val="24"/>
        </w:rPr>
        <w:t>”</w:t>
      </w:r>
      <w:r>
        <w:rPr>
          <w:sz w:val="24"/>
          <w:szCs w:val="24"/>
        </w:rPr>
        <w:t>汇总梳理的项目库，最终通过活动沉淀，探索形成</w:t>
      </w:r>
      <w:r>
        <w:rPr>
          <w:rFonts w:hint="eastAsia"/>
          <w:sz w:val="24"/>
          <w:szCs w:val="24"/>
        </w:rPr>
        <w:t>“朝阳</w:t>
      </w:r>
      <w:r>
        <w:rPr>
          <w:sz w:val="24"/>
          <w:szCs w:val="24"/>
        </w:rPr>
        <w:t>科学家会客厅</w:t>
      </w:r>
      <w:r>
        <w:rPr>
          <w:rFonts w:hint="eastAsia"/>
          <w:sz w:val="24"/>
          <w:szCs w:val="24"/>
        </w:rPr>
        <w:t>”</w:t>
      </w:r>
      <w:r>
        <w:rPr>
          <w:sz w:val="24"/>
          <w:szCs w:val="24"/>
        </w:rPr>
        <w:t>企业站常态化运营机制。</w:t>
      </w:r>
    </w:p>
    <w:p>
      <w:pPr>
        <w:pStyle w:val="3"/>
        <w:ind w:right="210"/>
        <w:rPr>
          <w:rFonts w:ascii="Times New Roman" w:hAnsi="Times New Roman" w:cs="Times New Roman"/>
        </w:rPr>
      </w:pPr>
      <w:bookmarkStart w:id="10" w:name="_Toc162339083"/>
      <w:r>
        <w:rPr>
          <w:rFonts w:ascii="Times New Roman" w:hAnsi="Times New Roman" w:cs="Times New Roman"/>
        </w:rPr>
        <w:t>（二）项目资金情况</w:t>
      </w:r>
      <w:bookmarkEnd w:id="10"/>
    </w:p>
    <w:p>
      <w:pPr>
        <w:tabs>
          <w:tab w:val="left" w:pos="5387"/>
        </w:tabs>
        <w:snapToGrid w:val="0"/>
        <w:spacing w:line="500" w:lineRule="exact"/>
        <w:ind w:firstLine="504" w:firstLineChars="210"/>
        <w:rPr>
          <w:sz w:val="24"/>
          <w:szCs w:val="24"/>
        </w:rPr>
      </w:pPr>
      <w:r>
        <w:rPr>
          <w:sz w:val="24"/>
          <w:szCs w:val="24"/>
        </w:rPr>
        <w:t>朝阳区科协2023年北京朝阳科学家会客厅活动项目预算资金</w:t>
      </w:r>
      <w:bookmarkStart w:id="11" w:name="_Hlk161578860"/>
      <w:r>
        <w:rPr>
          <w:sz w:val="24"/>
          <w:szCs w:val="24"/>
        </w:rPr>
        <w:t>50万元，</w:t>
      </w:r>
      <w:bookmarkEnd w:id="11"/>
      <w:r>
        <w:rPr>
          <w:sz w:val="24"/>
          <w:szCs w:val="24"/>
        </w:rPr>
        <w:t>实际安排资金50万元，预算执行率100%。根据朝阳区科协与北京市朝阳区企业联合会签订的《2023年朝阳区科学技术协会合同书》中约定，按时分两次拨付项目资金共50万元。</w:t>
      </w:r>
    </w:p>
    <w:p>
      <w:pPr>
        <w:pStyle w:val="3"/>
        <w:ind w:right="210"/>
        <w:rPr>
          <w:rFonts w:ascii="Times New Roman" w:hAnsi="Times New Roman" w:cs="Times New Roman"/>
        </w:rPr>
      </w:pPr>
      <w:bookmarkStart w:id="12" w:name="_Toc162339084"/>
      <w:r>
        <w:rPr>
          <w:rFonts w:ascii="Times New Roman" w:hAnsi="Times New Roman" w:cs="Times New Roman"/>
        </w:rPr>
        <w:t>（三）绩效目标</w:t>
      </w:r>
      <w:bookmarkEnd w:id="12"/>
    </w:p>
    <w:p>
      <w:pPr>
        <w:tabs>
          <w:tab w:val="left" w:pos="5387"/>
        </w:tabs>
        <w:snapToGrid w:val="0"/>
        <w:spacing w:line="500" w:lineRule="exact"/>
        <w:ind w:firstLine="480" w:firstLineChars="200"/>
        <w:rPr>
          <w:sz w:val="24"/>
          <w:szCs w:val="24"/>
        </w:rPr>
      </w:pPr>
      <w:r>
        <w:rPr>
          <w:sz w:val="24"/>
          <w:szCs w:val="24"/>
        </w:rPr>
        <w:t>1、总体目标</w:t>
      </w:r>
    </w:p>
    <w:p>
      <w:pPr>
        <w:tabs>
          <w:tab w:val="left" w:pos="5387"/>
        </w:tabs>
        <w:snapToGrid w:val="0"/>
        <w:spacing w:line="500" w:lineRule="exact"/>
        <w:ind w:firstLine="504" w:firstLineChars="210"/>
        <w:rPr>
          <w:sz w:val="24"/>
          <w:szCs w:val="24"/>
        </w:rPr>
      </w:pPr>
      <w:r>
        <w:rPr>
          <w:sz w:val="24"/>
          <w:szCs w:val="24"/>
        </w:rPr>
        <w:t>紧密围绕朝阳区</w:t>
      </w:r>
      <w:r>
        <w:rPr>
          <w:rFonts w:hint="eastAsia"/>
          <w:sz w:val="24"/>
          <w:szCs w:val="24"/>
        </w:rPr>
        <w:t>“</w:t>
      </w:r>
      <w:r>
        <w:rPr>
          <w:sz w:val="24"/>
          <w:szCs w:val="24"/>
        </w:rPr>
        <w:t>文化、国际化、大尺度绿化</w:t>
      </w:r>
      <w:r>
        <w:rPr>
          <w:rFonts w:hint="eastAsia"/>
          <w:sz w:val="24"/>
          <w:szCs w:val="24"/>
        </w:rPr>
        <w:t>”</w:t>
      </w:r>
      <w:r>
        <w:rPr>
          <w:sz w:val="24"/>
          <w:szCs w:val="24"/>
        </w:rPr>
        <w:t>发展，聚焦</w:t>
      </w:r>
      <w:r>
        <w:rPr>
          <w:rFonts w:hint="eastAsia"/>
          <w:sz w:val="24"/>
          <w:szCs w:val="24"/>
        </w:rPr>
        <w:t>“</w:t>
      </w:r>
      <w:r>
        <w:rPr>
          <w:sz w:val="24"/>
          <w:szCs w:val="24"/>
        </w:rPr>
        <w:t>四区</w:t>
      </w:r>
      <w:r>
        <w:rPr>
          <w:rFonts w:hint="eastAsia"/>
          <w:sz w:val="24"/>
          <w:szCs w:val="24"/>
        </w:rPr>
        <w:t>”</w:t>
      </w:r>
      <w:r>
        <w:rPr>
          <w:sz w:val="24"/>
          <w:szCs w:val="24"/>
        </w:rPr>
        <w:t>建设，坚持</w:t>
      </w:r>
      <w:r>
        <w:rPr>
          <w:rFonts w:hint="eastAsia"/>
          <w:sz w:val="24"/>
          <w:szCs w:val="24"/>
        </w:rPr>
        <w:t>“</w:t>
      </w:r>
      <w:r>
        <w:rPr>
          <w:sz w:val="24"/>
          <w:szCs w:val="24"/>
        </w:rPr>
        <w:t>五子联动</w:t>
      </w:r>
      <w:r>
        <w:rPr>
          <w:rFonts w:hint="eastAsia"/>
          <w:sz w:val="24"/>
          <w:szCs w:val="24"/>
        </w:rPr>
        <w:t>”</w:t>
      </w:r>
      <w:r>
        <w:rPr>
          <w:sz w:val="24"/>
          <w:szCs w:val="24"/>
        </w:rPr>
        <w:t>，发挥朝阳区发挥人才和智力优势，以夯实朝阳区域国际品质、高端科技创新服务的公共科学交流平台，形成引领一流资源、打造一流平台、开展一流服务，推动朝阳区产业高质量发展和科技创新高地建设。</w:t>
      </w:r>
    </w:p>
    <w:p>
      <w:pPr>
        <w:tabs>
          <w:tab w:val="left" w:pos="5387"/>
        </w:tabs>
        <w:snapToGrid w:val="0"/>
        <w:spacing w:line="500" w:lineRule="exact"/>
        <w:ind w:firstLine="480" w:firstLineChars="200"/>
        <w:rPr>
          <w:sz w:val="24"/>
          <w:szCs w:val="24"/>
        </w:rPr>
      </w:pPr>
      <w:bookmarkStart w:id="13" w:name="_Hlk161860437"/>
      <w:r>
        <w:rPr>
          <w:sz w:val="24"/>
          <w:szCs w:val="24"/>
        </w:rPr>
        <w:t>2、具体指标</w:t>
      </w:r>
    </w:p>
    <w:p>
      <w:pPr>
        <w:tabs>
          <w:tab w:val="left" w:pos="5387"/>
        </w:tabs>
        <w:snapToGrid w:val="0"/>
        <w:spacing w:line="500" w:lineRule="exact"/>
        <w:ind w:firstLine="504" w:firstLineChars="210"/>
        <w:rPr>
          <w:sz w:val="24"/>
          <w:szCs w:val="24"/>
        </w:rPr>
      </w:pPr>
      <w:r>
        <w:rPr>
          <w:sz w:val="24"/>
          <w:szCs w:val="24"/>
        </w:rPr>
        <w:t>(1) 产出指标</w:t>
      </w:r>
    </w:p>
    <w:p>
      <w:pPr>
        <w:tabs>
          <w:tab w:val="left" w:pos="5387"/>
        </w:tabs>
        <w:snapToGrid w:val="0"/>
        <w:spacing w:line="500" w:lineRule="exact"/>
        <w:ind w:firstLine="504" w:firstLineChars="210"/>
        <w:rPr>
          <w:sz w:val="24"/>
          <w:szCs w:val="24"/>
        </w:rPr>
      </w:pPr>
      <w:r>
        <w:rPr>
          <w:sz w:val="24"/>
          <w:szCs w:val="24"/>
        </w:rPr>
        <w:t>产出指标主要为</w:t>
      </w:r>
      <w:bookmarkStart w:id="14" w:name="_Hlk161776430"/>
      <w:r>
        <w:rPr>
          <w:sz w:val="24"/>
          <w:szCs w:val="24"/>
        </w:rPr>
        <w:t>数量指标、质量指标和时效指标三个方面</w:t>
      </w:r>
      <w:bookmarkEnd w:id="14"/>
      <w:r>
        <w:rPr>
          <w:sz w:val="24"/>
          <w:szCs w:val="24"/>
        </w:rPr>
        <w:t>：</w:t>
      </w:r>
    </w:p>
    <w:p>
      <w:pPr>
        <w:numPr>
          <w:ilvl w:val="0"/>
          <w:numId w:val="2"/>
        </w:numPr>
        <w:tabs>
          <w:tab w:val="left" w:pos="5387"/>
        </w:tabs>
        <w:snapToGrid w:val="0"/>
        <w:spacing w:line="500" w:lineRule="exact"/>
        <w:rPr>
          <w:sz w:val="24"/>
          <w:szCs w:val="24"/>
        </w:rPr>
      </w:pPr>
      <w:bookmarkStart w:id="15" w:name="_Hlk161859866"/>
      <w:r>
        <w:rPr>
          <w:sz w:val="24"/>
          <w:szCs w:val="24"/>
        </w:rPr>
        <w:t>数量指标：</w:t>
      </w:r>
    </w:p>
    <w:p>
      <w:pPr>
        <w:tabs>
          <w:tab w:val="left" w:pos="5387"/>
        </w:tabs>
        <w:snapToGrid w:val="0"/>
        <w:spacing w:line="500" w:lineRule="exact"/>
        <w:ind w:firstLine="504" w:firstLineChars="210"/>
        <w:rPr>
          <w:sz w:val="24"/>
          <w:szCs w:val="24"/>
        </w:rPr>
      </w:pPr>
      <w:r>
        <w:rPr>
          <w:sz w:val="24"/>
          <w:szCs w:val="24"/>
        </w:rPr>
        <w:t>1）</w:t>
      </w:r>
      <w:bookmarkStart w:id="16" w:name="_Hlk161869457"/>
      <w:r>
        <w:rPr>
          <w:sz w:val="24"/>
          <w:szCs w:val="24"/>
        </w:rPr>
        <w:t>寻访科技创新杰出人才，初步形成科技创新杰出人才储备库</w:t>
      </w:r>
      <w:bookmarkEnd w:id="16"/>
      <w:r>
        <w:rPr>
          <w:sz w:val="24"/>
          <w:szCs w:val="24"/>
        </w:rPr>
        <w:t>，规模10人；</w:t>
      </w:r>
    </w:p>
    <w:p>
      <w:pPr>
        <w:tabs>
          <w:tab w:val="left" w:pos="5387"/>
        </w:tabs>
        <w:snapToGrid w:val="0"/>
        <w:spacing w:line="500" w:lineRule="exact"/>
        <w:ind w:firstLine="504" w:firstLineChars="210"/>
        <w:rPr>
          <w:sz w:val="24"/>
          <w:szCs w:val="24"/>
        </w:rPr>
      </w:pPr>
      <w:r>
        <w:rPr>
          <w:sz w:val="24"/>
          <w:szCs w:val="24"/>
        </w:rPr>
        <w:t>2）组织</w:t>
      </w:r>
      <w:bookmarkStart w:id="17" w:name="_Hlk161869556"/>
      <w:r>
        <w:rPr>
          <w:sz w:val="24"/>
          <w:szCs w:val="24"/>
        </w:rPr>
        <w:t>6场线上线下主题活动</w:t>
      </w:r>
      <w:bookmarkEnd w:id="17"/>
      <w:r>
        <w:rPr>
          <w:sz w:val="24"/>
          <w:szCs w:val="24"/>
        </w:rPr>
        <w:t>，每场活动邀请20名科学家、高校学者、企业精英、政府代表、产业投资人（其中教授级以上或知名专家不少于2人）。</w:t>
      </w:r>
    </w:p>
    <w:p>
      <w:pPr>
        <w:numPr>
          <w:ilvl w:val="0"/>
          <w:numId w:val="2"/>
        </w:numPr>
        <w:tabs>
          <w:tab w:val="left" w:pos="5387"/>
        </w:tabs>
        <w:snapToGrid w:val="0"/>
        <w:spacing w:line="500" w:lineRule="exact"/>
        <w:rPr>
          <w:sz w:val="24"/>
          <w:szCs w:val="24"/>
        </w:rPr>
      </w:pPr>
      <w:r>
        <w:rPr>
          <w:sz w:val="24"/>
          <w:szCs w:val="24"/>
        </w:rPr>
        <w:t>质量指标：项目达到预期效果</w:t>
      </w:r>
    </w:p>
    <w:p>
      <w:pPr>
        <w:tabs>
          <w:tab w:val="left" w:pos="5387"/>
        </w:tabs>
        <w:snapToGrid w:val="0"/>
        <w:spacing w:line="500" w:lineRule="exact"/>
        <w:ind w:firstLine="504" w:firstLineChars="210"/>
        <w:rPr>
          <w:sz w:val="24"/>
          <w:szCs w:val="24"/>
        </w:rPr>
      </w:pPr>
      <w:bookmarkStart w:id="18" w:name="_Hlk161869522"/>
      <w:r>
        <w:rPr>
          <w:sz w:val="24"/>
          <w:szCs w:val="24"/>
        </w:rPr>
        <w:t>1）活动前设计制作6场活动预告、宣传海报、背景视觉，活动中做好活动的摄影摄像，通过各种宣传媒体实时发布现场照片。每场活动结束后次日向区科协提交新闻通稿1份，在3家市级主流媒体做宣传报道。</w:t>
      </w:r>
    </w:p>
    <w:p>
      <w:pPr>
        <w:tabs>
          <w:tab w:val="left" w:pos="5387"/>
        </w:tabs>
        <w:snapToGrid w:val="0"/>
        <w:spacing w:line="500" w:lineRule="exact"/>
        <w:ind w:firstLine="504" w:firstLineChars="210"/>
        <w:rPr>
          <w:sz w:val="24"/>
          <w:szCs w:val="24"/>
        </w:rPr>
      </w:pPr>
      <w:r>
        <w:rPr>
          <w:sz w:val="24"/>
          <w:szCs w:val="24"/>
        </w:rPr>
        <w:t>2）线上线下参与人数不少于10多万听众，在多渠道媒体矩阵进行宣传报道。</w:t>
      </w:r>
    </w:p>
    <w:p>
      <w:pPr>
        <w:tabs>
          <w:tab w:val="left" w:pos="5387"/>
        </w:tabs>
        <w:snapToGrid w:val="0"/>
        <w:spacing w:line="500" w:lineRule="exact"/>
        <w:ind w:firstLine="504" w:firstLineChars="210"/>
        <w:rPr>
          <w:sz w:val="24"/>
          <w:szCs w:val="24"/>
        </w:rPr>
      </w:pPr>
      <w:r>
        <w:rPr>
          <w:sz w:val="24"/>
          <w:szCs w:val="24"/>
        </w:rPr>
        <w:t>3）整合剪辑摄影摄像素材，在整体活动结束后20个工作日内向朝阳区科协提交不少于5分钟时长的活动宣传片。</w:t>
      </w:r>
    </w:p>
    <w:p>
      <w:pPr>
        <w:tabs>
          <w:tab w:val="left" w:pos="5387"/>
        </w:tabs>
        <w:snapToGrid w:val="0"/>
        <w:spacing w:line="500" w:lineRule="exact"/>
        <w:ind w:firstLine="504" w:firstLineChars="210"/>
        <w:rPr>
          <w:sz w:val="24"/>
          <w:szCs w:val="24"/>
        </w:rPr>
      </w:pPr>
      <w:r>
        <w:rPr>
          <w:sz w:val="24"/>
          <w:szCs w:val="24"/>
        </w:rPr>
        <w:t>4）活动主视觉1个，LOGO1个，宣传海报6张</w:t>
      </w:r>
      <w:bookmarkEnd w:id="18"/>
      <w:r>
        <w:rPr>
          <w:sz w:val="24"/>
          <w:szCs w:val="24"/>
        </w:rPr>
        <w:t>。</w:t>
      </w:r>
    </w:p>
    <w:p>
      <w:pPr>
        <w:tabs>
          <w:tab w:val="left" w:pos="5387"/>
        </w:tabs>
        <w:snapToGrid w:val="0"/>
        <w:spacing w:line="500" w:lineRule="exact"/>
        <w:ind w:firstLine="504" w:firstLineChars="210"/>
        <w:rPr>
          <w:sz w:val="24"/>
          <w:szCs w:val="24"/>
        </w:rPr>
      </w:pPr>
      <w:r>
        <w:rPr>
          <w:rFonts w:hint="eastAsia" w:ascii="宋体" w:hAnsi="宋体" w:cs="宋体"/>
          <w:sz w:val="24"/>
          <w:szCs w:val="24"/>
        </w:rPr>
        <w:t>③</w:t>
      </w:r>
      <w:r>
        <w:rPr>
          <w:sz w:val="24"/>
          <w:szCs w:val="24"/>
        </w:rPr>
        <w:t>时效指标：主要包含</w:t>
      </w:r>
      <w:bookmarkStart w:id="19" w:name="_Hlk161772931"/>
      <w:r>
        <w:rPr>
          <w:sz w:val="24"/>
          <w:szCs w:val="24"/>
        </w:rPr>
        <w:t>项目前期筹备</w:t>
      </w:r>
      <w:bookmarkEnd w:id="19"/>
      <w:r>
        <w:rPr>
          <w:sz w:val="24"/>
          <w:szCs w:val="24"/>
        </w:rPr>
        <w:t>、项目实施阶段、项目总结阶段。</w:t>
      </w:r>
    </w:p>
    <w:p>
      <w:pPr>
        <w:tabs>
          <w:tab w:val="left" w:pos="5387"/>
        </w:tabs>
        <w:snapToGrid w:val="0"/>
        <w:spacing w:line="500" w:lineRule="exact"/>
        <w:ind w:firstLine="504" w:firstLineChars="210"/>
        <w:rPr>
          <w:sz w:val="24"/>
          <w:szCs w:val="24"/>
        </w:rPr>
      </w:pPr>
      <w:r>
        <w:rPr>
          <w:sz w:val="24"/>
          <w:szCs w:val="24"/>
        </w:rPr>
        <w:t>1) 项目前期筹备。（签订合同后2周内）。</w:t>
      </w:r>
    </w:p>
    <w:p>
      <w:pPr>
        <w:tabs>
          <w:tab w:val="left" w:pos="5387"/>
        </w:tabs>
        <w:snapToGrid w:val="0"/>
        <w:spacing w:line="500" w:lineRule="exact"/>
        <w:ind w:firstLine="504" w:firstLineChars="210"/>
        <w:rPr>
          <w:sz w:val="24"/>
          <w:szCs w:val="24"/>
        </w:rPr>
      </w:pPr>
      <w:r>
        <w:rPr>
          <w:sz w:val="24"/>
          <w:szCs w:val="24"/>
        </w:rPr>
        <w:t>A建立项目小组。朝阳区企业联合会围绕该活动需求，组建项目小组。</w:t>
      </w:r>
    </w:p>
    <w:p>
      <w:pPr>
        <w:tabs>
          <w:tab w:val="left" w:pos="5387"/>
        </w:tabs>
        <w:snapToGrid w:val="0"/>
        <w:spacing w:line="500" w:lineRule="exact"/>
        <w:ind w:firstLine="504" w:firstLineChars="210"/>
        <w:rPr>
          <w:sz w:val="24"/>
          <w:szCs w:val="24"/>
        </w:rPr>
      </w:pPr>
      <w:r>
        <w:rPr>
          <w:sz w:val="24"/>
          <w:szCs w:val="24"/>
        </w:rPr>
        <w:t>B开展调研，组织策划。</w:t>
      </w:r>
    </w:p>
    <w:p>
      <w:pPr>
        <w:tabs>
          <w:tab w:val="left" w:pos="5387"/>
        </w:tabs>
        <w:snapToGrid w:val="0"/>
        <w:spacing w:line="500" w:lineRule="exact"/>
        <w:ind w:firstLine="504" w:firstLineChars="210"/>
        <w:rPr>
          <w:sz w:val="24"/>
          <w:szCs w:val="24"/>
        </w:rPr>
      </w:pPr>
      <w:r>
        <w:rPr>
          <w:sz w:val="24"/>
          <w:szCs w:val="24"/>
        </w:rPr>
        <w:t>C策划该项活动内容。</w:t>
      </w:r>
    </w:p>
    <w:p>
      <w:pPr>
        <w:tabs>
          <w:tab w:val="left" w:pos="5387"/>
        </w:tabs>
        <w:snapToGrid w:val="0"/>
        <w:spacing w:line="500" w:lineRule="exact"/>
        <w:ind w:firstLine="504" w:firstLineChars="210"/>
        <w:rPr>
          <w:sz w:val="24"/>
          <w:szCs w:val="24"/>
        </w:rPr>
      </w:pPr>
      <w:r>
        <w:rPr>
          <w:sz w:val="24"/>
          <w:szCs w:val="24"/>
        </w:rPr>
        <w:t>D建立执行意向，初步建立活动落地的各项周边事项，做好项目成本控制。</w:t>
      </w:r>
    </w:p>
    <w:p>
      <w:pPr>
        <w:tabs>
          <w:tab w:val="left" w:pos="5387"/>
        </w:tabs>
        <w:snapToGrid w:val="0"/>
        <w:spacing w:line="500" w:lineRule="exact"/>
        <w:ind w:firstLine="504" w:firstLineChars="210"/>
        <w:rPr>
          <w:sz w:val="24"/>
          <w:szCs w:val="24"/>
        </w:rPr>
      </w:pPr>
      <w:r>
        <w:rPr>
          <w:sz w:val="24"/>
          <w:szCs w:val="24"/>
        </w:rPr>
        <w:t>2) 项目实施阶段（2023年3月-8月）</w:t>
      </w:r>
    </w:p>
    <w:p>
      <w:pPr>
        <w:tabs>
          <w:tab w:val="left" w:pos="5387"/>
        </w:tabs>
        <w:snapToGrid w:val="0"/>
        <w:spacing w:line="500" w:lineRule="exact"/>
        <w:ind w:firstLine="504" w:firstLineChars="210"/>
        <w:rPr>
          <w:sz w:val="24"/>
          <w:szCs w:val="24"/>
        </w:rPr>
      </w:pPr>
      <w:r>
        <w:rPr>
          <w:sz w:val="24"/>
          <w:szCs w:val="24"/>
        </w:rPr>
        <w:t>组织6场线上线下主题活动</w:t>
      </w:r>
    </w:p>
    <w:p>
      <w:pPr>
        <w:tabs>
          <w:tab w:val="left" w:pos="5387"/>
        </w:tabs>
        <w:snapToGrid w:val="0"/>
        <w:spacing w:line="500" w:lineRule="exact"/>
        <w:ind w:firstLine="504" w:firstLineChars="210"/>
        <w:rPr>
          <w:sz w:val="24"/>
          <w:szCs w:val="24"/>
        </w:rPr>
      </w:pPr>
      <w:r>
        <w:rPr>
          <w:sz w:val="24"/>
          <w:szCs w:val="24"/>
        </w:rPr>
        <w:t>A.</w:t>
      </w:r>
      <w:r>
        <w:t xml:space="preserve"> </w:t>
      </w:r>
      <w:r>
        <w:rPr>
          <w:sz w:val="24"/>
          <w:szCs w:val="24"/>
        </w:rPr>
        <w:t>“预见·看见·实践”工业互联网科学趋势分享会。</w:t>
      </w:r>
    </w:p>
    <w:p>
      <w:pPr>
        <w:tabs>
          <w:tab w:val="left" w:pos="5387"/>
        </w:tabs>
        <w:snapToGrid w:val="0"/>
        <w:spacing w:line="500" w:lineRule="exact"/>
        <w:ind w:firstLine="504" w:firstLineChars="210"/>
        <w:rPr>
          <w:sz w:val="24"/>
          <w:szCs w:val="24"/>
        </w:rPr>
      </w:pPr>
      <w:r>
        <w:rPr>
          <w:sz w:val="24"/>
          <w:szCs w:val="24"/>
        </w:rPr>
        <w:t>B.</w:t>
      </w:r>
      <w:r>
        <w:t xml:space="preserve"> </w:t>
      </w:r>
      <w:r>
        <w:rPr>
          <w:sz w:val="24"/>
          <w:szCs w:val="24"/>
        </w:rPr>
        <w:t>“智聚·智胜·智享”人工智能科学未来会</w:t>
      </w:r>
    </w:p>
    <w:p>
      <w:pPr>
        <w:tabs>
          <w:tab w:val="left" w:pos="5387"/>
        </w:tabs>
        <w:snapToGrid w:val="0"/>
        <w:spacing w:line="500" w:lineRule="exact"/>
        <w:ind w:firstLine="504" w:firstLineChars="210"/>
        <w:rPr>
          <w:sz w:val="24"/>
          <w:szCs w:val="24"/>
        </w:rPr>
      </w:pPr>
      <w:r>
        <w:rPr>
          <w:sz w:val="24"/>
          <w:szCs w:val="24"/>
        </w:rPr>
        <w:t>C.“聚势未来·向新而生”数字医疗前沿创新分享会</w:t>
      </w:r>
    </w:p>
    <w:p>
      <w:pPr>
        <w:tabs>
          <w:tab w:val="left" w:pos="5387"/>
        </w:tabs>
        <w:snapToGrid w:val="0"/>
        <w:spacing w:line="500" w:lineRule="exact"/>
        <w:ind w:firstLine="504" w:firstLineChars="210"/>
        <w:rPr>
          <w:sz w:val="24"/>
          <w:szCs w:val="24"/>
        </w:rPr>
      </w:pPr>
      <w:r>
        <w:rPr>
          <w:sz w:val="24"/>
          <w:szCs w:val="24"/>
        </w:rPr>
        <w:t>D.</w:t>
      </w:r>
      <w:r>
        <w:t xml:space="preserve"> </w:t>
      </w:r>
      <w:r>
        <w:rPr>
          <w:sz w:val="24"/>
          <w:szCs w:val="24"/>
        </w:rPr>
        <w:t>智构数字安全新时代”网络安全科学荟</w:t>
      </w:r>
    </w:p>
    <w:p>
      <w:pPr>
        <w:tabs>
          <w:tab w:val="left" w:pos="5387"/>
        </w:tabs>
        <w:snapToGrid w:val="0"/>
        <w:spacing w:line="500" w:lineRule="exact"/>
        <w:ind w:firstLine="504" w:firstLineChars="210"/>
        <w:rPr>
          <w:sz w:val="24"/>
          <w:szCs w:val="24"/>
        </w:rPr>
      </w:pPr>
      <w:r>
        <w:rPr>
          <w:sz w:val="24"/>
          <w:szCs w:val="24"/>
        </w:rPr>
        <w:t>E.</w:t>
      </w:r>
      <w:r>
        <w:t xml:space="preserve"> </w:t>
      </w:r>
      <w:r>
        <w:rPr>
          <w:sz w:val="24"/>
          <w:szCs w:val="24"/>
        </w:rPr>
        <w:t>围炉茶话--Web3.0重塑消费新图景。</w:t>
      </w:r>
    </w:p>
    <w:p>
      <w:pPr>
        <w:tabs>
          <w:tab w:val="left" w:pos="5387"/>
        </w:tabs>
        <w:snapToGrid w:val="0"/>
        <w:spacing w:line="500" w:lineRule="exact"/>
        <w:ind w:firstLine="504" w:firstLineChars="210"/>
        <w:rPr>
          <w:sz w:val="24"/>
          <w:szCs w:val="24"/>
        </w:rPr>
      </w:pPr>
      <w:r>
        <w:rPr>
          <w:sz w:val="24"/>
          <w:szCs w:val="24"/>
        </w:rPr>
        <w:t>F.</w:t>
      </w:r>
      <w:r>
        <w:t xml:space="preserve"> </w:t>
      </w:r>
      <w:r>
        <w:rPr>
          <w:sz w:val="24"/>
          <w:szCs w:val="24"/>
        </w:rPr>
        <w:t>“数智连朝阳”国际创新科技项目路演</w:t>
      </w:r>
    </w:p>
    <w:p>
      <w:pPr>
        <w:tabs>
          <w:tab w:val="left" w:pos="5387"/>
        </w:tabs>
        <w:snapToGrid w:val="0"/>
        <w:spacing w:line="500" w:lineRule="exact"/>
        <w:ind w:firstLine="504" w:firstLineChars="210"/>
        <w:rPr>
          <w:sz w:val="24"/>
          <w:szCs w:val="24"/>
        </w:rPr>
      </w:pPr>
      <w:r>
        <w:rPr>
          <w:sz w:val="24"/>
          <w:szCs w:val="24"/>
        </w:rPr>
        <w:t>3) 项目总结阶段（2023年9月1日-9月30日）</w:t>
      </w:r>
    </w:p>
    <w:p>
      <w:pPr>
        <w:tabs>
          <w:tab w:val="left" w:pos="5387"/>
        </w:tabs>
        <w:snapToGrid w:val="0"/>
        <w:spacing w:line="500" w:lineRule="exact"/>
        <w:ind w:firstLine="504" w:firstLineChars="210"/>
        <w:rPr>
          <w:sz w:val="24"/>
          <w:szCs w:val="24"/>
        </w:rPr>
      </w:pPr>
      <w:r>
        <w:rPr>
          <w:sz w:val="24"/>
          <w:szCs w:val="24"/>
        </w:rPr>
        <w:t>准备结项资料。对相关执行活动进行成果汇总，配合开展财务审计，出具结项报告，完成结项手续。</w:t>
      </w:r>
    </w:p>
    <w:p>
      <w:pPr>
        <w:tabs>
          <w:tab w:val="left" w:pos="5387"/>
        </w:tabs>
        <w:snapToGrid w:val="0"/>
        <w:spacing w:line="500" w:lineRule="exact"/>
        <w:ind w:firstLine="504" w:firstLineChars="210"/>
        <w:rPr>
          <w:sz w:val="24"/>
          <w:szCs w:val="24"/>
        </w:rPr>
      </w:pPr>
      <w:r>
        <w:rPr>
          <w:sz w:val="24"/>
          <w:szCs w:val="24"/>
        </w:rPr>
        <w:t>(2) 效益指标</w:t>
      </w:r>
    </w:p>
    <w:p>
      <w:pPr>
        <w:tabs>
          <w:tab w:val="left" w:pos="5387"/>
        </w:tabs>
        <w:snapToGrid w:val="0"/>
        <w:spacing w:line="500" w:lineRule="exact"/>
        <w:ind w:firstLine="504" w:firstLineChars="210"/>
        <w:rPr>
          <w:sz w:val="24"/>
          <w:szCs w:val="24"/>
        </w:rPr>
      </w:pPr>
      <w:bookmarkStart w:id="20" w:name="_Hlk161776482"/>
      <w:bookmarkStart w:id="21" w:name="_Hlk161869825"/>
      <w:r>
        <w:rPr>
          <w:sz w:val="24"/>
          <w:szCs w:val="24"/>
        </w:rPr>
        <w:t>效益指标主要为形成3个数据库，具体为：形成问题库、成果库、项目库</w:t>
      </w:r>
      <w:bookmarkStart w:id="22" w:name="_Hlk162183831"/>
      <w:r>
        <w:rPr>
          <w:sz w:val="24"/>
          <w:szCs w:val="24"/>
        </w:rPr>
        <w:t>，编写专题报告1篇，建立高端专家资源库</w:t>
      </w:r>
      <w:bookmarkEnd w:id="20"/>
      <w:r>
        <w:rPr>
          <w:sz w:val="24"/>
          <w:szCs w:val="24"/>
        </w:rPr>
        <w:t>。</w:t>
      </w:r>
      <w:bookmarkEnd w:id="22"/>
    </w:p>
    <w:bookmarkEnd w:id="21"/>
    <w:p>
      <w:pPr>
        <w:tabs>
          <w:tab w:val="left" w:pos="5387"/>
        </w:tabs>
        <w:snapToGrid w:val="0"/>
        <w:spacing w:line="500" w:lineRule="exact"/>
        <w:ind w:firstLine="504" w:firstLineChars="210"/>
        <w:rPr>
          <w:sz w:val="24"/>
          <w:szCs w:val="24"/>
        </w:rPr>
      </w:pPr>
      <w:r>
        <w:rPr>
          <w:sz w:val="24"/>
          <w:szCs w:val="24"/>
        </w:rPr>
        <w:t>（3）满意度指标</w:t>
      </w:r>
    </w:p>
    <w:p>
      <w:pPr>
        <w:tabs>
          <w:tab w:val="left" w:pos="5387"/>
        </w:tabs>
        <w:snapToGrid w:val="0"/>
        <w:spacing w:line="500" w:lineRule="exact"/>
        <w:ind w:firstLine="504" w:firstLineChars="210"/>
        <w:rPr>
          <w:sz w:val="24"/>
          <w:szCs w:val="24"/>
        </w:rPr>
      </w:pPr>
      <w:bookmarkStart w:id="23" w:name="_Hlk161862649"/>
      <w:r>
        <w:rPr>
          <w:sz w:val="24"/>
          <w:szCs w:val="24"/>
        </w:rPr>
        <w:t>制作调查问卷，邀请嘉宾填写，确保科技人才满意度在95%以上。</w:t>
      </w:r>
    </w:p>
    <w:bookmarkEnd w:id="23"/>
    <w:p>
      <w:pPr>
        <w:tabs>
          <w:tab w:val="left" w:pos="5387"/>
        </w:tabs>
        <w:snapToGrid w:val="0"/>
        <w:spacing w:line="500" w:lineRule="exact"/>
        <w:ind w:firstLine="504" w:firstLineChars="210"/>
        <w:rPr>
          <w:sz w:val="24"/>
          <w:szCs w:val="24"/>
        </w:rPr>
      </w:pPr>
      <w:r>
        <w:rPr>
          <w:sz w:val="24"/>
          <w:szCs w:val="24"/>
        </w:rPr>
        <w:t>（4）成本指标</w:t>
      </w:r>
    </w:p>
    <w:p>
      <w:pPr>
        <w:tabs>
          <w:tab w:val="left" w:pos="5387"/>
        </w:tabs>
        <w:snapToGrid w:val="0"/>
        <w:spacing w:line="500" w:lineRule="exact"/>
        <w:ind w:firstLine="504" w:firstLineChars="210"/>
        <w:rPr>
          <w:sz w:val="24"/>
          <w:szCs w:val="24"/>
        </w:rPr>
      </w:pPr>
      <w:r>
        <w:rPr>
          <w:sz w:val="24"/>
          <w:szCs w:val="24"/>
        </w:rPr>
        <w:t>项目申请经费金额50万元，项目经费总预算50万元。</w:t>
      </w:r>
    </w:p>
    <w:bookmarkEnd w:id="13"/>
    <w:bookmarkEnd w:id="15"/>
    <w:p>
      <w:pPr>
        <w:pStyle w:val="2"/>
        <w:ind w:left="210" w:right="210"/>
        <w:rPr>
          <w:rFonts w:ascii="Times New Roman" w:hAnsi="Times New Roman"/>
        </w:rPr>
      </w:pPr>
      <w:bookmarkStart w:id="24" w:name="_Toc162339085"/>
      <w:r>
        <w:rPr>
          <w:rFonts w:ascii="Times New Roman" w:hAnsi="Times New Roman"/>
        </w:rPr>
        <w:t>二、评价工作简述</w:t>
      </w:r>
      <w:bookmarkEnd w:id="24"/>
    </w:p>
    <w:p>
      <w:pPr>
        <w:pStyle w:val="3"/>
        <w:ind w:right="210"/>
        <w:rPr>
          <w:rFonts w:ascii="Times New Roman" w:hAnsi="Times New Roman" w:cs="Times New Roman"/>
        </w:rPr>
      </w:pPr>
      <w:bookmarkStart w:id="25" w:name="_Toc162339086"/>
      <w:r>
        <w:rPr>
          <w:rFonts w:ascii="Times New Roman" w:hAnsi="Times New Roman" w:cs="Times New Roman"/>
        </w:rPr>
        <w:t>（一）基本情况</w:t>
      </w:r>
      <w:bookmarkEnd w:id="25"/>
    </w:p>
    <w:p>
      <w:pPr>
        <w:tabs>
          <w:tab w:val="left" w:pos="5387"/>
        </w:tabs>
        <w:snapToGrid w:val="0"/>
        <w:spacing w:line="480" w:lineRule="exact"/>
        <w:ind w:firstLine="504" w:firstLineChars="210"/>
        <w:rPr>
          <w:sz w:val="24"/>
          <w:szCs w:val="24"/>
        </w:rPr>
      </w:pPr>
      <w:r>
        <w:rPr>
          <w:sz w:val="24"/>
          <w:szCs w:val="24"/>
        </w:rPr>
        <w:t>为了规范和加强预算管理，提高预算资金管理水平，合理配置资源，优化支出结构，规范预算资金分配，提高财政资金的使用效益，根据《北京市财政局项目支出绩效评价管理办法》（</w:t>
      </w:r>
      <w:bookmarkStart w:id="26" w:name="_Hlk161776318"/>
      <w:r>
        <w:rPr>
          <w:sz w:val="24"/>
          <w:szCs w:val="24"/>
        </w:rPr>
        <w:t>京财绩效[2020] 2146号</w:t>
      </w:r>
      <w:bookmarkEnd w:id="26"/>
      <w:r>
        <w:rPr>
          <w:sz w:val="24"/>
          <w:szCs w:val="24"/>
        </w:rPr>
        <w:t>）等文件规定，朝阳区科协委托第三方机构北京联首会计师事务所（普通合伙）实施部门评价，对</w:t>
      </w:r>
      <w:bookmarkStart w:id="27" w:name="_Hlk161776386"/>
      <w:r>
        <w:rPr>
          <w:sz w:val="24"/>
          <w:szCs w:val="24"/>
        </w:rPr>
        <w:t>2023年北京朝阳科学家会客厅活动项目</w:t>
      </w:r>
      <w:bookmarkEnd w:id="27"/>
      <w:r>
        <w:rPr>
          <w:sz w:val="24"/>
          <w:szCs w:val="24"/>
        </w:rPr>
        <w:t>进行绩效评价。</w:t>
      </w:r>
    </w:p>
    <w:p>
      <w:pPr>
        <w:tabs>
          <w:tab w:val="left" w:pos="5387"/>
        </w:tabs>
        <w:snapToGrid w:val="0"/>
        <w:spacing w:line="480" w:lineRule="exact"/>
        <w:ind w:firstLine="504" w:firstLineChars="210"/>
        <w:rPr>
          <w:sz w:val="24"/>
          <w:szCs w:val="24"/>
        </w:rPr>
      </w:pPr>
      <w:r>
        <w:rPr>
          <w:sz w:val="24"/>
          <w:szCs w:val="24"/>
        </w:rPr>
        <w:t>1 、绩效评价的基本原则</w:t>
      </w:r>
    </w:p>
    <w:p>
      <w:pPr>
        <w:tabs>
          <w:tab w:val="left" w:pos="5387"/>
        </w:tabs>
        <w:snapToGrid w:val="0"/>
        <w:spacing w:line="480" w:lineRule="exact"/>
        <w:ind w:firstLine="504" w:firstLineChars="210"/>
        <w:rPr>
          <w:sz w:val="24"/>
          <w:szCs w:val="24"/>
        </w:rPr>
      </w:pPr>
      <w:r>
        <w:rPr>
          <w:sz w:val="24"/>
          <w:szCs w:val="24"/>
        </w:rPr>
        <w:t>（1）科学公正。运用科学合理的方法，按照规范的程序，对项目绩效进行客观、公正的反映。</w:t>
      </w:r>
    </w:p>
    <w:p>
      <w:pPr>
        <w:tabs>
          <w:tab w:val="left" w:pos="5387"/>
        </w:tabs>
        <w:snapToGrid w:val="0"/>
        <w:spacing w:line="480" w:lineRule="exact"/>
        <w:ind w:firstLine="504" w:firstLineChars="210"/>
        <w:rPr>
          <w:sz w:val="24"/>
          <w:szCs w:val="24"/>
        </w:rPr>
      </w:pPr>
      <w:r>
        <w:rPr>
          <w:sz w:val="24"/>
          <w:szCs w:val="24"/>
        </w:rPr>
        <w:t>（2）程序规范。严格执行规定的程序，按照科学可行的要求，采用定量与定性分析相结合的方法。</w:t>
      </w:r>
    </w:p>
    <w:p>
      <w:pPr>
        <w:tabs>
          <w:tab w:val="left" w:pos="5387"/>
        </w:tabs>
        <w:snapToGrid w:val="0"/>
        <w:spacing w:line="480" w:lineRule="exact"/>
        <w:ind w:firstLine="504" w:firstLineChars="210"/>
        <w:rPr>
          <w:sz w:val="24"/>
          <w:szCs w:val="24"/>
        </w:rPr>
      </w:pPr>
      <w:r>
        <w:rPr>
          <w:sz w:val="24"/>
          <w:szCs w:val="24"/>
        </w:rPr>
        <w:t>（3）统筹兼顾。单位自评、部门评价应职责明确，各有侧重，相互衔接。单位自评由项目单位自主实施，即“谁支出，谁自评”；部门评价在单位自评的基础上开展，必要时可委托第三方机构实施。</w:t>
      </w:r>
    </w:p>
    <w:p>
      <w:pPr>
        <w:tabs>
          <w:tab w:val="left" w:pos="5387"/>
        </w:tabs>
        <w:snapToGrid w:val="0"/>
        <w:spacing w:line="480" w:lineRule="exact"/>
        <w:ind w:firstLine="504" w:firstLineChars="210"/>
        <w:rPr>
          <w:sz w:val="24"/>
          <w:szCs w:val="24"/>
        </w:rPr>
      </w:pPr>
      <w:r>
        <w:rPr>
          <w:sz w:val="24"/>
          <w:szCs w:val="24"/>
        </w:rPr>
        <w:t>（4）绩效相关。针对具体支出及其产出绩效进行评价，结果应当清晰反映产出和产出绩效之间的紧密对应关系。</w:t>
      </w:r>
    </w:p>
    <w:p>
      <w:pPr>
        <w:tabs>
          <w:tab w:val="left" w:pos="5387"/>
        </w:tabs>
        <w:snapToGrid w:val="0"/>
        <w:spacing w:line="480" w:lineRule="exact"/>
        <w:ind w:firstLine="504" w:firstLineChars="210"/>
        <w:rPr>
          <w:sz w:val="24"/>
          <w:szCs w:val="24"/>
        </w:rPr>
      </w:pPr>
      <w:r>
        <w:rPr>
          <w:sz w:val="24"/>
          <w:szCs w:val="24"/>
        </w:rPr>
        <w:t>（5）公开透明。公正公开原则。绩效评价应当符合真实、客观、公正的要求， 绩效评价结果应依法依规公开，并自觉接受社会监督。</w:t>
      </w:r>
    </w:p>
    <w:p>
      <w:pPr>
        <w:tabs>
          <w:tab w:val="left" w:pos="5387"/>
        </w:tabs>
        <w:snapToGrid w:val="0"/>
        <w:spacing w:line="480" w:lineRule="exact"/>
        <w:ind w:firstLine="504" w:firstLineChars="210"/>
        <w:rPr>
          <w:sz w:val="24"/>
          <w:szCs w:val="24"/>
        </w:rPr>
      </w:pPr>
      <w:r>
        <w:rPr>
          <w:sz w:val="24"/>
          <w:szCs w:val="24"/>
        </w:rPr>
        <w:t>2、绩效评价方法及指标体系</w:t>
      </w:r>
    </w:p>
    <w:p>
      <w:pPr>
        <w:tabs>
          <w:tab w:val="left" w:pos="5387"/>
        </w:tabs>
        <w:snapToGrid w:val="0"/>
        <w:spacing w:line="480" w:lineRule="exact"/>
        <w:ind w:firstLine="504" w:firstLineChars="210"/>
        <w:rPr>
          <w:sz w:val="24"/>
          <w:szCs w:val="24"/>
        </w:rPr>
      </w:pPr>
      <w:r>
        <w:rPr>
          <w:sz w:val="24"/>
          <w:szCs w:val="24"/>
        </w:rPr>
        <w:t>结合项目的内容及特点，按照《北京市财政局项目支出绩效评价管理办法》（京财绩效[2020] 2146号）的评价方法，依据项目单位朝阳区科协提供的资料，在参照“项目支出绩效评价指标体系框架（参考）”的基础上，增设三级指标，由此制订了2023年北京朝阳科学家会客厅活动项目绩效评价指标体系，绩效目标主要为产出指标、效益指标、满意度指标和成本指标，具体如下：</w:t>
      </w:r>
    </w:p>
    <w:p>
      <w:pPr>
        <w:tabs>
          <w:tab w:val="left" w:pos="5387"/>
        </w:tabs>
        <w:snapToGrid w:val="0"/>
        <w:spacing w:line="480" w:lineRule="exact"/>
        <w:ind w:firstLine="504" w:firstLineChars="210"/>
        <w:rPr>
          <w:sz w:val="24"/>
          <w:szCs w:val="24"/>
        </w:rPr>
      </w:pPr>
      <w:r>
        <w:rPr>
          <w:sz w:val="24"/>
          <w:szCs w:val="24"/>
        </w:rPr>
        <w:t>（1）产出指标：主要为数量指标、质量指标和时效指标三个方面</w:t>
      </w:r>
    </w:p>
    <w:p>
      <w:pPr>
        <w:tabs>
          <w:tab w:val="left" w:pos="5387"/>
        </w:tabs>
        <w:snapToGrid w:val="0"/>
        <w:spacing w:line="480" w:lineRule="exact"/>
        <w:ind w:firstLine="504" w:firstLineChars="210"/>
        <w:rPr>
          <w:sz w:val="24"/>
          <w:szCs w:val="24"/>
        </w:rPr>
      </w:pPr>
      <w:r>
        <w:rPr>
          <w:sz w:val="24"/>
          <w:szCs w:val="24"/>
        </w:rPr>
        <w:t>（2）效益指标：主要为形成3个数据库，形成问题库、成果库、项目库</w:t>
      </w:r>
      <w:bookmarkStart w:id="28" w:name="_Hlk162184016"/>
      <w:r>
        <w:rPr>
          <w:sz w:val="24"/>
          <w:szCs w:val="24"/>
        </w:rPr>
        <w:t>，编写专题报告1篇，建立高端专家资源库。</w:t>
      </w:r>
      <w:bookmarkEnd w:id="28"/>
    </w:p>
    <w:p>
      <w:pPr>
        <w:tabs>
          <w:tab w:val="left" w:pos="5387"/>
        </w:tabs>
        <w:snapToGrid w:val="0"/>
        <w:spacing w:line="480" w:lineRule="exact"/>
        <w:ind w:firstLine="504" w:firstLineChars="210"/>
        <w:rPr>
          <w:sz w:val="24"/>
          <w:szCs w:val="24"/>
        </w:rPr>
      </w:pPr>
      <w:r>
        <w:rPr>
          <w:sz w:val="24"/>
          <w:szCs w:val="24"/>
        </w:rPr>
        <w:t>（3）满意度指标：科技人才满意度在95%以上。</w:t>
      </w:r>
    </w:p>
    <w:p>
      <w:pPr>
        <w:tabs>
          <w:tab w:val="left" w:pos="5387"/>
        </w:tabs>
        <w:snapToGrid w:val="0"/>
        <w:spacing w:line="480" w:lineRule="exact"/>
        <w:ind w:firstLine="504" w:firstLineChars="210"/>
        <w:rPr>
          <w:sz w:val="24"/>
          <w:szCs w:val="24"/>
        </w:rPr>
      </w:pPr>
      <w:r>
        <w:rPr>
          <w:sz w:val="24"/>
          <w:szCs w:val="24"/>
        </w:rPr>
        <w:t>（4）成本指标：项目预算50万元。</w:t>
      </w:r>
    </w:p>
    <w:p>
      <w:pPr>
        <w:pStyle w:val="3"/>
        <w:spacing w:line="480" w:lineRule="exact"/>
        <w:ind w:right="210"/>
        <w:rPr>
          <w:rFonts w:ascii="Times New Roman" w:hAnsi="Times New Roman" w:cs="Times New Roman"/>
        </w:rPr>
      </w:pPr>
      <w:bookmarkStart w:id="29" w:name="_Toc162339087"/>
      <w:r>
        <w:rPr>
          <w:rFonts w:ascii="Times New Roman" w:hAnsi="Times New Roman" w:cs="Times New Roman"/>
        </w:rPr>
        <w:t>（二）评价组织实施</w:t>
      </w:r>
      <w:bookmarkEnd w:id="29"/>
    </w:p>
    <w:p>
      <w:pPr>
        <w:tabs>
          <w:tab w:val="left" w:pos="5387"/>
        </w:tabs>
        <w:snapToGrid w:val="0"/>
        <w:spacing w:line="480" w:lineRule="exact"/>
        <w:ind w:firstLine="504" w:firstLineChars="210"/>
        <w:rPr>
          <w:sz w:val="24"/>
          <w:szCs w:val="24"/>
        </w:rPr>
      </w:pPr>
      <w:r>
        <w:rPr>
          <w:sz w:val="24"/>
          <w:szCs w:val="24"/>
        </w:rPr>
        <w:t>根据《北京市财政局项目支出绩效评价管理办法》（京财绩效[2020] 2146号）等文件规定，评价单位对2023年北京朝阳科学家会客厅活动项目进行绩效评价。本次项目绩效评价工作程序如下：</w:t>
      </w:r>
    </w:p>
    <w:p>
      <w:pPr>
        <w:tabs>
          <w:tab w:val="left" w:pos="5387"/>
        </w:tabs>
        <w:snapToGrid w:val="0"/>
        <w:spacing w:line="480" w:lineRule="exact"/>
        <w:ind w:firstLine="504" w:firstLineChars="210"/>
        <w:rPr>
          <w:sz w:val="24"/>
          <w:szCs w:val="24"/>
        </w:rPr>
      </w:pPr>
      <w:r>
        <w:rPr>
          <w:sz w:val="24"/>
          <w:szCs w:val="24"/>
        </w:rPr>
        <w:t>1、委托第三方机构实施项目绩效评价工作；</w:t>
      </w:r>
    </w:p>
    <w:p>
      <w:pPr>
        <w:tabs>
          <w:tab w:val="left" w:pos="5387"/>
        </w:tabs>
        <w:snapToGrid w:val="0"/>
        <w:spacing w:line="480" w:lineRule="exact"/>
        <w:ind w:firstLine="504" w:firstLineChars="210"/>
        <w:rPr>
          <w:sz w:val="24"/>
          <w:szCs w:val="24"/>
        </w:rPr>
      </w:pPr>
      <w:r>
        <w:rPr>
          <w:sz w:val="24"/>
          <w:szCs w:val="24"/>
        </w:rPr>
        <w:t>2、制定项目绩效评价工作方案；</w:t>
      </w:r>
    </w:p>
    <w:p>
      <w:pPr>
        <w:tabs>
          <w:tab w:val="left" w:pos="5387"/>
        </w:tabs>
        <w:snapToGrid w:val="0"/>
        <w:spacing w:line="480" w:lineRule="exact"/>
        <w:ind w:firstLine="504" w:firstLineChars="210"/>
        <w:rPr>
          <w:sz w:val="24"/>
          <w:szCs w:val="24"/>
        </w:rPr>
      </w:pPr>
      <w:r>
        <w:rPr>
          <w:sz w:val="24"/>
          <w:szCs w:val="24"/>
        </w:rPr>
        <w:t>3、根据项目实际情况，构建绩效评价指标，并按照项目管理办法的要求，设计评价指标体系。</w:t>
      </w:r>
    </w:p>
    <w:p>
      <w:pPr>
        <w:tabs>
          <w:tab w:val="left" w:pos="5387"/>
        </w:tabs>
        <w:snapToGrid w:val="0"/>
        <w:spacing w:line="480" w:lineRule="exact"/>
        <w:ind w:firstLine="504" w:firstLineChars="210"/>
        <w:rPr>
          <w:sz w:val="24"/>
          <w:szCs w:val="24"/>
        </w:rPr>
      </w:pPr>
      <w:r>
        <w:rPr>
          <w:sz w:val="24"/>
          <w:szCs w:val="24"/>
        </w:rPr>
        <w:t>4、根据上报材料对项目的实施情况进行书面分析评价，本次项目绩效评价主要为业务评价，包括项目的执行和完成情况，项目的效益、满意度情况等；</w:t>
      </w:r>
    </w:p>
    <w:p>
      <w:pPr>
        <w:tabs>
          <w:tab w:val="left" w:pos="5387"/>
        </w:tabs>
        <w:snapToGrid w:val="0"/>
        <w:spacing w:line="480" w:lineRule="exact"/>
        <w:ind w:firstLine="504" w:firstLineChars="210"/>
        <w:rPr>
          <w:sz w:val="24"/>
          <w:szCs w:val="24"/>
        </w:rPr>
      </w:pPr>
      <w:r>
        <w:rPr>
          <w:sz w:val="24"/>
          <w:szCs w:val="24"/>
        </w:rPr>
        <w:t>5、确定考评组成员；</w:t>
      </w:r>
    </w:p>
    <w:p>
      <w:pPr>
        <w:tabs>
          <w:tab w:val="left" w:pos="5387"/>
        </w:tabs>
        <w:snapToGrid w:val="0"/>
        <w:spacing w:line="480" w:lineRule="exact"/>
        <w:ind w:firstLine="504" w:firstLineChars="210"/>
        <w:rPr>
          <w:sz w:val="24"/>
          <w:szCs w:val="24"/>
        </w:rPr>
      </w:pPr>
      <w:r>
        <w:rPr>
          <w:sz w:val="24"/>
          <w:szCs w:val="24"/>
        </w:rPr>
        <w:t>6、组织考评会议，考评组成员填写绩效评价书；</w:t>
      </w:r>
    </w:p>
    <w:p>
      <w:pPr>
        <w:tabs>
          <w:tab w:val="left" w:pos="5387"/>
        </w:tabs>
        <w:snapToGrid w:val="0"/>
        <w:spacing w:line="480" w:lineRule="exact"/>
        <w:ind w:firstLine="504" w:firstLineChars="210"/>
        <w:rPr>
          <w:sz w:val="24"/>
          <w:szCs w:val="24"/>
        </w:rPr>
      </w:pPr>
      <w:r>
        <w:rPr>
          <w:sz w:val="24"/>
          <w:szCs w:val="24"/>
        </w:rPr>
        <w:t>7、汇总考评组成员意见， 填写考评组成员意见汇总书；</w:t>
      </w:r>
    </w:p>
    <w:p>
      <w:pPr>
        <w:tabs>
          <w:tab w:val="left" w:pos="5387"/>
        </w:tabs>
        <w:snapToGrid w:val="0"/>
        <w:spacing w:line="480" w:lineRule="exact"/>
        <w:ind w:firstLine="504" w:firstLineChars="210"/>
        <w:rPr>
          <w:sz w:val="24"/>
          <w:szCs w:val="24"/>
        </w:rPr>
      </w:pPr>
      <w:r>
        <w:rPr>
          <w:sz w:val="24"/>
          <w:szCs w:val="24"/>
        </w:rPr>
        <w:t>8、在运用科学方法进行综合分析的基础上，完成项目绩效评价报告。</w:t>
      </w:r>
    </w:p>
    <w:p>
      <w:pPr>
        <w:tabs>
          <w:tab w:val="left" w:pos="5387"/>
        </w:tabs>
        <w:snapToGrid w:val="0"/>
        <w:spacing w:line="480" w:lineRule="exact"/>
        <w:ind w:firstLine="504" w:firstLineChars="210"/>
        <w:rPr>
          <w:sz w:val="24"/>
          <w:szCs w:val="24"/>
        </w:rPr>
      </w:pPr>
    </w:p>
    <w:p>
      <w:pPr>
        <w:pStyle w:val="2"/>
        <w:spacing w:line="480" w:lineRule="exact"/>
        <w:ind w:left="210" w:right="210"/>
        <w:rPr>
          <w:rFonts w:ascii="Times New Roman" w:hAnsi="Times New Roman"/>
        </w:rPr>
      </w:pPr>
      <w:bookmarkStart w:id="30" w:name="_Toc162339088"/>
      <w:r>
        <w:rPr>
          <w:rFonts w:ascii="Times New Roman" w:hAnsi="Times New Roman"/>
        </w:rPr>
        <w:t>三、绩效评价分析</w:t>
      </w:r>
      <w:bookmarkEnd w:id="30"/>
    </w:p>
    <w:p>
      <w:pPr>
        <w:pStyle w:val="3"/>
        <w:spacing w:line="480" w:lineRule="exact"/>
        <w:ind w:right="210"/>
        <w:rPr>
          <w:rFonts w:ascii="Times New Roman" w:hAnsi="Times New Roman" w:cs="Times New Roman"/>
        </w:rPr>
      </w:pPr>
      <w:bookmarkStart w:id="31" w:name="_Toc162339089"/>
      <w:r>
        <w:rPr>
          <w:rFonts w:ascii="Times New Roman" w:hAnsi="Times New Roman" w:cs="Times New Roman"/>
        </w:rPr>
        <w:t>（一）项目绩效目标评价分析</w:t>
      </w:r>
      <w:bookmarkEnd w:id="31"/>
    </w:p>
    <w:p>
      <w:pPr>
        <w:tabs>
          <w:tab w:val="left" w:pos="5387"/>
        </w:tabs>
        <w:snapToGrid w:val="0"/>
        <w:spacing w:line="480" w:lineRule="exact"/>
        <w:ind w:firstLine="504" w:firstLineChars="210"/>
        <w:rPr>
          <w:sz w:val="24"/>
          <w:szCs w:val="24"/>
        </w:rPr>
      </w:pPr>
      <w:r>
        <w:rPr>
          <w:sz w:val="24"/>
          <w:szCs w:val="24"/>
        </w:rPr>
        <w:t>1、目标明确性分析</w:t>
      </w:r>
    </w:p>
    <w:p>
      <w:pPr>
        <w:tabs>
          <w:tab w:val="left" w:pos="5387"/>
        </w:tabs>
        <w:snapToGrid w:val="0"/>
        <w:spacing w:line="480" w:lineRule="exact"/>
        <w:ind w:firstLine="504" w:firstLineChars="210"/>
        <w:rPr>
          <w:sz w:val="24"/>
          <w:szCs w:val="24"/>
        </w:rPr>
      </w:pPr>
      <w:r>
        <w:rPr>
          <w:sz w:val="24"/>
          <w:szCs w:val="24"/>
        </w:rPr>
        <w:t>2023年北京朝阳科学家会客厅活动项目（以下简称为：该项目）设定了绩效总体目标和具体指标，如该项目2023 年度总体目标为：紧密围绕朝阳区“文化、国际化、大尺度绿化”发展，聚焦“四区”建设，坚持“五子联动”，发挥朝阳区发挥人才和智力优势，以夯实朝阳区域国际品质、高端科技创新服务的公共科学交流平台，形成引领一流资源、打造一流平台、开展一流服务，推动朝阳区产业高质量发展和科技创新高地建设。</w:t>
      </w:r>
    </w:p>
    <w:p>
      <w:pPr>
        <w:tabs>
          <w:tab w:val="left" w:pos="5387"/>
        </w:tabs>
        <w:snapToGrid w:val="0"/>
        <w:spacing w:line="480" w:lineRule="exact"/>
        <w:ind w:firstLine="504" w:firstLineChars="210"/>
        <w:rPr>
          <w:sz w:val="24"/>
          <w:szCs w:val="24"/>
        </w:rPr>
      </w:pPr>
      <w:r>
        <w:rPr>
          <w:sz w:val="24"/>
          <w:szCs w:val="24"/>
        </w:rPr>
        <w:t>2、目标合理性分析</w:t>
      </w:r>
    </w:p>
    <w:p>
      <w:pPr>
        <w:tabs>
          <w:tab w:val="left" w:pos="5387"/>
        </w:tabs>
        <w:snapToGrid w:val="0"/>
        <w:spacing w:line="500" w:lineRule="exact"/>
        <w:ind w:firstLine="504" w:firstLineChars="210"/>
        <w:rPr>
          <w:sz w:val="24"/>
          <w:szCs w:val="24"/>
        </w:rPr>
      </w:pPr>
      <w:r>
        <w:rPr>
          <w:sz w:val="24"/>
          <w:szCs w:val="24"/>
        </w:rPr>
        <w:t>该项目的绩效目标能够围绕项目单位工作职责与工作目标设定。如该项目的绩效目标主要为产出指标和效益指标，产出指标包括数量指标、质量指标和时效指标三个方面，效益指标主要为形成问题库、成果库、项目库3个数据库，编写专题报告1篇，建立高端专家资源库。满意度指标要确保科技人才满意度在95%以上。</w:t>
      </w:r>
      <w:bookmarkStart w:id="32" w:name="_Hlk161777576"/>
      <w:r>
        <w:rPr>
          <w:sz w:val="24"/>
          <w:szCs w:val="24"/>
        </w:rPr>
        <w:t>成本指标</w:t>
      </w:r>
      <w:bookmarkEnd w:id="32"/>
      <w:r>
        <w:rPr>
          <w:sz w:val="24"/>
          <w:szCs w:val="24"/>
        </w:rPr>
        <w:t>为项目经费总预算50万元。绩效目标的设定符合朝阳区科协的工作职责与工作目标。</w:t>
      </w:r>
    </w:p>
    <w:p>
      <w:pPr>
        <w:tabs>
          <w:tab w:val="left" w:pos="5387"/>
        </w:tabs>
        <w:snapToGrid w:val="0"/>
        <w:spacing w:line="500" w:lineRule="exact"/>
        <w:ind w:firstLine="504" w:firstLineChars="210"/>
        <w:rPr>
          <w:sz w:val="24"/>
          <w:szCs w:val="24"/>
        </w:rPr>
      </w:pPr>
      <w:r>
        <w:rPr>
          <w:sz w:val="24"/>
          <w:szCs w:val="24"/>
        </w:rPr>
        <w:t>3、目标细化程度分析</w:t>
      </w:r>
    </w:p>
    <w:p>
      <w:pPr>
        <w:tabs>
          <w:tab w:val="left" w:pos="5387"/>
        </w:tabs>
        <w:snapToGrid w:val="0"/>
        <w:spacing w:line="500" w:lineRule="exact"/>
        <w:ind w:firstLine="504" w:firstLineChars="210"/>
        <w:rPr>
          <w:sz w:val="24"/>
          <w:szCs w:val="24"/>
        </w:rPr>
      </w:pPr>
      <w:r>
        <w:rPr>
          <w:sz w:val="24"/>
          <w:szCs w:val="24"/>
        </w:rPr>
        <w:t>朝阳区科协根据该项目内容及实际情况将各项绩效指标进行细化。如该项目成本指标需审计验收的项目选聘独立的第三方审计机构负责审计验收，出具审计验收报告。</w:t>
      </w:r>
    </w:p>
    <w:p>
      <w:pPr>
        <w:pStyle w:val="3"/>
        <w:ind w:right="210"/>
        <w:rPr>
          <w:rFonts w:ascii="Times New Roman" w:hAnsi="Times New Roman" w:cs="Times New Roman"/>
        </w:rPr>
      </w:pPr>
      <w:bookmarkStart w:id="33" w:name="_Toc162339090"/>
      <w:r>
        <w:rPr>
          <w:rFonts w:ascii="Times New Roman" w:hAnsi="Times New Roman" w:cs="Times New Roman"/>
        </w:rPr>
        <w:t>（二）项目绩效控制评价分析</w:t>
      </w:r>
      <w:bookmarkEnd w:id="33"/>
    </w:p>
    <w:p>
      <w:pPr>
        <w:tabs>
          <w:tab w:val="left" w:pos="5387"/>
        </w:tabs>
        <w:snapToGrid w:val="0"/>
        <w:spacing w:line="500" w:lineRule="exact"/>
        <w:ind w:firstLine="504" w:firstLineChars="210"/>
        <w:rPr>
          <w:sz w:val="24"/>
          <w:szCs w:val="24"/>
        </w:rPr>
      </w:pPr>
      <w:r>
        <w:rPr>
          <w:sz w:val="24"/>
          <w:szCs w:val="24"/>
        </w:rPr>
        <w:t>1、资金使用及管理情况分析</w:t>
      </w:r>
    </w:p>
    <w:p>
      <w:pPr>
        <w:tabs>
          <w:tab w:val="left" w:pos="5387"/>
        </w:tabs>
        <w:snapToGrid w:val="0"/>
        <w:spacing w:line="500" w:lineRule="exact"/>
        <w:ind w:firstLine="504" w:firstLineChars="210"/>
        <w:rPr>
          <w:sz w:val="24"/>
          <w:szCs w:val="24"/>
        </w:rPr>
      </w:pPr>
      <w:r>
        <w:rPr>
          <w:sz w:val="24"/>
          <w:szCs w:val="24"/>
        </w:rPr>
        <w:t>（1）资金使用</w:t>
      </w:r>
    </w:p>
    <w:p>
      <w:pPr>
        <w:tabs>
          <w:tab w:val="left" w:pos="5387"/>
        </w:tabs>
        <w:snapToGrid w:val="0"/>
        <w:spacing w:line="500" w:lineRule="exact"/>
        <w:ind w:firstLine="504" w:firstLineChars="210"/>
        <w:rPr>
          <w:sz w:val="24"/>
          <w:szCs w:val="24"/>
        </w:rPr>
      </w:pPr>
      <w:r>
        <w:rPr>
          <w:sz w:val="24"/>
          <w:szCs w:val="24"/>
        </w:rPr>
        <w:t>朝阳区科协对该项目进行了单独核算，相关支出的财务核算及时、准确；根据相关财务管理制度，朝阳区科协对项目资金支出的审批、拨付进行管理，制定的资金使用流程比较规范，履行了资金支付审批程序。</w:t>
      </w:r>
    </w:p>
    <w:p>
      <w:pPr>
        <w:tabs>
          <w:tab w:val="left" w:pos="5387"/>
        </w:tabs>
        <w:snapToGrid w:val="0"/>
        <w:spacing w:line="500" w:lineRule="exact"/>
        <w:ind w:firstLine="504" w:firstLineChars="210"/>
        <w:rPr>
          <w:sz w:val="24"/>
          <w:szCs w:val="24"/>
        </w:rPr>
      </w:pPr>
      <w:r>
        <w:rPr>
          <w:sz w:val="24"/>
          <w:szCs w:val="24"/>
        </w:rPr>
        <w:t>（2）资金管理</w:t>
      </w:r>
    </w:p>
    <w:p>
      <w:pPr>
        <w:tabs>
          <w:tab w:val="left" w:pos="5387"/>
        </w:tabs>
        <w:snapToGrid w:val="0"/>
        <w:spacing w:line="500" w:lineRule="exact"/>
        <w:ind w:firstLine="504" w:firstLineChars="210"/>
        <w:rPr>
          <w:sz w:val="24"/>
          <w:szCs w:val="24"/>
        </w:rPr>
      </w:pPr>
      <w:r>
        <w:rPr>
          <w:sz w:val="24"/>
          <w:szCs w:val="24"/>
        </w:rPr>
        <w:t>根据朝阳区科协与</w:t>
      </w:r>
      <w:bookmarkStart w:id="34" w:name="_Hlk161902970"/>
      <w:r>
        <w:rPr>
          <w:sz w:val="24"/>
          <w:szCs w:val="24"/>
        </w:rPr>
        <w:t>项目承办单位：北京市朝阳区企业联合会</w:t>
      </w:r>
      <w:bookmarkEnd w:id="34"/>
      <w:r>
        <w:rPr>
          <w:sz w:val="24"/>
          <w:szCs w:val="24"/>
        </w:rPr>
        <w:t>签订的《2023年朝阳区科学技术协会合同书》中约定：“合同生效后10个工作日内且乙方向甲方提供等额发票后，甲方向乙方支付活动费总金额的70%， 活动项目结束后10个工作日内乙方向甲方提供图文结题报告和审计报告，且经甲方验收合格后10个工作日内，甲方支付剩余费用”。该项目第一批项目资金于2023年3月24日完成拨付，第二批项目资金于2023年9月21日完成拨付。根该项目支持资金拟安排用于</w:t>
      </w:r>
      <w:bookmarkStart w:id="35" w:name="_Hlk161822558"/>
      <w:r>
        <w:rPr>
          <w:sz w:val="24"/>
          <w:szCs w:val="24"/>
        </w:rPr>
        <w:t>服务科技工作者、服务创新驱动发展、</w:t>
      </w:r>
      <w:r>
        <w:rPr>
          <w:rFonts w:eastAsiaTheme="minorEastAsia"/>
          <w:sz w:val="24"/>
          <w:szCs w:val="24"/>
        </w:rPr>
        <w:t>服务全民科学素质提高、服务党和政府科学决策</w:t>
      </w:r>
      <w:r>
        <w:rPr>
          <w:sz w:val="24"/>
          <w:szCs w:val="24"/>
        </w:rPr>
        <w:t>类项目</w:t>
      </w:r>
      <w:bookmarkEnd w:id="35"/>
      <w:r>
        <w:rPr>
          <w:sz w:val="24"/>
          <w:szCs w:val="24"/>
        </w:rPr>
        <w:t>，实际全部用于支持服务科技工作者、服务创新驱动发展、服务全民科学素质提高、服务党和政府科学决策类项目，实际支出与计划安排一致。</w:t>
      </w:r>
    </w:p>
    <w:p>
      <w:pPr>
        <w:tabs>
          <w:tab w:val="left" w:pos="5387"/>
        </w:tabs>
        <w:snapToGrid w:val="0"/>
        <w:spacing w:line="500" w:lineRule="exact"/>
        <w:ind w:firstLine="504" w:firstLineChars="210"/>
        <w:rPr>
          <w:sz w:val="24"/>
          <w:szCs w:val="24"/>
        </w:rPr>
      </w:pPr>
      <w:r>
        <w:rPr>
          <w:sz w:val="24"/>
          <w:szCs w:val="24"/>
        </w:rPr>
        <w:t>2、</w:t>
      </w:r>
      <w:bookmarkStart w:id="36" w:name="_Hlk161870409"/>
      <w:r>
        <w:rPr>
          <w:sz w:val="24"/>
          <w:szCs w:val="24"/>
        </w:rPr>
        <w:t>项目执行情况分析</w:t>
      </w:r>
      <w:bookmarkEnd w:id="36"/>
    </w:p>
    <w:p>
      <w:pPr>
        <w:tabs>
          <w:tab w:val="left" w:pos="5387"/>
        </w:tabs>
        <w:snapToGrid w:val="0"/>
        <w:spacing w:line="500" w:lineRule="exact"/>
        <w:ind w:firstLine="504" w:firstLineChars="210"/>
        <w:rPr>
          <w:sz w:val="24"/>
          <w:szCs w:val="24"/>
        </w:rPr>
      </w:pPr>
      <w:r>
        <w:rPr>
          <w:sz w:val="24"/>
          <w:szCs w:val="24"/>
        </w:rPr>
        <w:t>朝阳区科协2023年该项目支持资金主要用于围绕朝阳区1234发展战略，聚焦3+X区域发展方向和重点产业，实施科学家会客厅品牌项目，举办学术交流、圆桌论坛、科学峰会、技术研讨、项目路演等6场活动，吸引科学家，观众进行线上线下联动交流，总结沉淀专家学者碰撞出的真知灼见，形成《数字经济人才赋能朝阳创新发展的研究及建议》报告，为区委区政府科学决策提供参考咨询。项目组织实施的主要流程为公开征集、材料初审和项目评审、</w:t>
      </w:r>
      <w:bookmarkStart w:id="37" w:name="_Hlk161837641"/>
      <w:r>
        <w:rPr>
          <w:sz w:val="24"/>
          <w:szCs w:val="24"/>
        </w:rPr>
        <w:t>项目内容及承担单位确定、</w:t>
      </w:r>
      <w:bookmarkEnd w:id="37"/>
      <w:bookmarkStart w:id="38" w:name="_Hlk161838024"/>
      <w:r>
        <w:rPr>
          <w:sz w:val="24"/>
          <w:szCs w:val="24"/>
        </w:rPr>
        <w:t>承担单位结果公示、合同签订、项目实施</w:t>
      </w:r>
      <w:bookmarkEnd w:id="38"/>
      <w:r>
        <w:rPr>
          <w:sz w:val="24"/>
          <w:szCs w:val="24"/>
        </w:rPr>
        <w:t>。具体组织情况如下：</w:t>
      </w:r>
    </w:p>
    <w:p>
      <w:pPr>
        <w:tabs>
          <w:tab w:val="left" w:pos="5387"/>
        </w:tabs>
        <w:snapToGrid w:val="0"/>
        <w:spacing w:line="500" w:lineRule="exact"/>
        <w:ind w:firstLine="504" w:firstLineChars="210"/>
        <w:rPr>
          <w:sz w:val="24"/>
          <w:szCs w:val="24"/>
        </w:rPr>
      </w:pPr>
      <w:bookmarkStart w:id="39" w:name="_Hlk161870433"/>
      <w:r>
        <w:rPr>
          <w:sz w:val="24"/>
          <w:szCs w:val="24"/>
        </w:rPr>
        <w:t>（1）项目征集</w:t>
      </w:r>
    </w:p>
    <w:p>
      <w:pPr>
        <w:tabs>
          <w:tab w:val="left" w:pos="5387"/>
        </w:tabs>
        <w:snapToGrid w:val="0"/>
        <w:spacing w:line="500" w:lineRule="exact"/>
        <w:ind w:firstLine="504" w:firstLineChars="210"/>
        <w:rPr>
          <w:sz w:val="24"/>
          <w:szCs w:val="24"/>
        </w:rPr>
      </w:pPr>
      <w:r>
        <w:rPr>
          <w:sz w:val="24"/>
          <w:szCs w:val="24"/>
        </w:rPr>
        <w:t>朝阳区科协于2023年2月10日在北京市朝阳区人民政府网站发布《朝阳区科学技术协会关于公开征集“2023年北京朝阳科学家会客厅活动活动”项目承担单位的通知》，公开征集2023年北京朝阳科学家会客厅活动项目承担单位。征集期间为：2023年2月10日至2月17日</w:t>
      </w:r>
      <w:bookmarkEnd w:id="39"/>
      <w:r>
        <w:rPr>
          <w:sz w:val="24"/>
          <w:szCs w:val="24"/>
        </w:rPr>
        <w:t>18：00点。（征集期6个工作日）。</w:t>
      </w:r>
    </w:p>
    <w:p>
      <w:pPr>
        <w:tabs>
          <w:tab w:val="left" w:pos="5387"/>
        </w:tabs>
        <w:snapToGrid w:val="0"/>
        <w:spacing w:line="500" w:lineRule="exact"/>
        <w:ind w:firstLine="504" w:firstLineChars="210"/>
        <w:rPr>
          <w:sz w:val="24"/>
          <w:szCs w:val="24"/>
        </w:rPr>
      </w:pPr>
      <w:r>
        <w:rPr>
          <w:sz w:val="24"/>
          <w:szCs w:val="24"/>
        </w:rPr>
        <w:t>截止2023年2月17日18:00点，朝阳区科协征集到北京市朝阳区企业联合会、三六零数字安全科技集团有限公司、北京星火国创企业管理有限公司、北京海创致诚科技发展有限公司、北京万泽源商务服务有限公司共5家申报单位的申报资料。</w:t>
      </w:r>
    </w:p>
    <w:p>
      <w:pPr>
        <w:tabs>
          <w:tab w:val="left" w:pos="5387"/>
        </w:tabs>
        <w:snapToGrid w:val="0"/>
        <w:spacing w:line="500" w:lineRule="exact"/>
        <w:ind w:firstLine="504" w:firstLineChars="210"/>
        <w:rPr>
          <w:sz w:val="24"/>
          <w:szCs w:val="24"/>
        </w:rPr>
      </w:pPr>
      <w:r>
        <w:rPr>
          <w:sz w:val="24"/>
          <w:szCs w:val="24"/>
        </w:rPr>
        <w:t>（2）项目评审</w:t>
      </w:r>
    </w:p>
    <w:p>
      <w:pPr>
        <w:tabs>
          <w:tab w:val="left" w:pos="5387"/>
        </w:tabs>
        <w:snapToGrid w:val="0"/>
        <w:spacing w:line="500" w:lineRule="exact"/>
        <w:ind w:firstLine="504" w:firstLineChars="210"/>
        <w:rPr>
          <w:sz w:val="24"/>
          <w:szCs w:val="24"/>
        </w:rPr>
      </w:pPr>
      <w:r>
        <w:rPr>
          <w:sz w:val="24"/>
          <w:szCs w:val="24"/>
        </w:rPr>
        <w:t>2023年3月27日下午</w:t>
      </w:r>
      <w:r>
        <w:t xml:space="preserve"> </w:t>
      </w:r>
      <w:r>
        <w:rPr>
          <w:sz w:val="24"/>
          <w:szCs w:val="24"/>
        </w:rPr>
        <w:t>2:30 在国际创业投资集聚区1705会议室，北京市朝阳区科学技术协会组织专家召开</w:t>
      </w:r>
      <w:bookmarkStart w:id="40" w:name="_Hlk161837681"/>
      <w:r>
        <w:rPr>
          <w:sz w:val="24"/>
          <w:szCs w:val="24"/>
        </w:rPr>
        <w:t>2023年北京朝阳科学家会客厅活动活动项目评审会</w:t>
      </w:r>
      <w:bookmarkEnd w:id="40"/>
      <w:r>
        <w:rPr>
          <w:sz w:val="24"/>
          <w:szCs w:val="24"/>
        </w:rPr>
        <w:t>，对申报项目进行初审和专家评审，5家申报单位就申报项目进行了现场答辩，专家按照评审标准进行了质询、打分。5家申报单位按照得分从高到低顺序排 名如下：</w:t>
      </w:r>
    </w:p>
    <w:p>
      <w:pPr>
        <w:tabs>
          <w:tab w:val="left" w:pos="5387"/>
        </w:tabs>
        <w:snapToGrid w:val="0"/>
        <w:spacing w:line="500" w:lineRule="exact"/>
        <w:ind w:firstLine="504" w:firstLineChars="210"/>
        <w:rPr>
          <w:sz w:val="24"/>
          <w:szCs w:val="24"/>
        </w:rPr>
      </w:pPr>
      <w:r>
        <w:rPr>
          <w:sz w:val="24"/>
          <w:szCs w:val="24"/>
        </w:rPr>
        <w:t>北京市朝阳区企业联合会                   84.4分</w:t>
      </w:r>
    </w:p>
    <w:p>
      <w:pPr>
        <w:tabs>
          <w:tab w:val="left" w:pos="5387"/>
        </w:tabs>
        <w:snapToGrid w:val="0"/>
        <w:spacing w:line="500" w:lineRule="exact"/>
        <w:ind w:firstLine="504" w:firstLineChars="210"/>
        <w:rPr>
          <w:sz w:val="24"/>
          <w:szCs w:val="24"/>
        </w:rPr>
      </w:pPr>
      <w:r>
        <w:rPr>
          <w:sz w:val="24"/>
          <w:szCs w:val="24"/>
        </w:rPr>
        <w:t>三六零数字安全科技集团有限公司           73.4分</w:t>
      </w:r>
    </w:p>
    <w:p>
      <w:pPr>
        <w:tabs>
          <w:tab w:val="left" w:pos="5387"/>
        </w:tabs>
        <w:snapToGrid w:val="0"/>
        <w:spacing w:line="500" w:lineRule="exact"/>
        <w:ind w:firstLine="504" w:firstLineChars="210"/>
        <w:rPr>
          <w:sz w:val="24"/>
          <w:szCs w:val="24"/>
        </w:rPr>
      </w:pPr>
      <w:r>
        <w:rPr>
          <w:sz w:val="24"/>
          <w:szCs w:val="24"/>
        </w:rPr>
        <w:t>北京星火国创企业管理有限公司             68.8分</w:t>
      </w:r>
    </w:p>
    <w:p>
      <w:pPr>
        <w:tabs>
          <w:tab w:val="left" w:pos="5387"/>
        </w:tabs>
        <w:snapToGrid w:val="0"/>
        <w:spacing w:line="500" w:lineRule="exact"/>
        <w:ind w:firstLine="504" w:firstLineChars="210"/>
        <w:rPr>
          <w:sz w:val="24"/>
          <w:szCs w:val="24"/>
        </w:rPr>
      </w:pPr>
      <w:r>
        <w:rPr>
          <w:sz w:val="24"/>
          <w:szCs w:val="24"/>
        </w:rPr>
        <w:t>北京海创致诚科技发展有限公司             67.0分</w:t>
      </w:r>
    </w:p>
    <w:p>
      <w:pPr>
        <w:tabs>
          <w:tab w:val="left" w:pos="5387"/>
        </w:tabs>
        <w:snapToGrid w:val="0"/>
        <w:spacing w:line="500" w:lineRule="exact"/>
        <w:ind w:firstLine="504" w:firstLineChars="210"/>
        <w:rPr>
          <w:sz w:val="24"/>
          <w:szCs w:val="24"/>
        </w:rPr>
      </w:pPr>
      <w:r>
        <w:rPr>
          <w:sz w:val="24"/>
          <w:szCs w:val="24"/>
        </w:rPr>
        <w:t>北京万泽源商务服务有限公司               64.8分</w:t>
      </w:r>
    </w:p>
    <w:p>
      <w:pPr>
        <w:tabs>
          <w:tab w:val="left" w:pos="5387"/>
        </w:tabs>
        <w:snapToGrid w:val="0"/>
        <w:spacing w:line="500" w:lineRule="exact"/>
        <w:ind w:firstLine="504" w:firstLineChars="210"/>
        <w:rPr>
          <w:sz w:val="24"/>
          <w:szCs w:val="24"/>
        </w:rPr>
      </w:pPr>
      <w:r>
        <w:rPr>
          <w:sz w:val="24"/>
          <w:szCs w:val="24"/>
        </w:rPr>
        <w:t>专家组经过研究，在评分基础上，形成以下意见：为确保项目高质量、高标准按期完成，结合朝阳区实际，考虑项目申报单位资源基础及既往与该项目相关工作开展情况和经验，建议按照评分排序确定项目承担单位，项目承担单位需进一步完善实施方案及预算，并予以落实。</w:t>
      </w:r>
    </w:p>
    <w:p>
      <w:pPr>
        <w:tabs>
          <w:tab w:val="left" w:pos="5387"/>
        </w:tabs>
        <w:snapToGrid w:val="0"/>
        <w:spacing w:line="500" w:lineRule="exact"/>
        <w:ind w:firstLine="504" w:firstLineChars="210"/>
        <w:rPr>
          <w:sz w:val="24"/>
          <w:szCs w:val="24"/>
        </w:rPr>
      </w:pPr>
      <w:r>
        <w:rPr>
          <w:sz w:val="24"/>
          <w:szCs w:val="24"/>
        </w:rPr>
        <w:t>（3）项目内容及承担单位确定</w:t>
      </w:r>
      <w:bookmarkStart w:id="41" w:name="_Hlk161838148"/>
    </w:p>
    <w:p>
      <w:pPr>
        <w:tabs>
          <w:tab w:val="left" w:pos="5387"/>
        </w:tabs>
        <w:snapToGrid w:val="0"/>
        <w:spacing w:line="500" w:lineRule="exact"/>
        <w:ind w:firstLine="504" w:firstLineChars="210"/>
        <w:rPr>
          <w:sz w:val="24"/>
          <w:szCs w:val="24"/>
        </w:rPr>
      </w:pPr>
      <w:r>
        <w:rPr>
          <w:sz w:val="24"/>
          <w:szCs w:val="24"/>
        </w:rPr>
        <w:t>按照《北京市朝阳区科学技术协会采购管理办法（试行）》规定，经公开征集项目承办单位、资格审查、专家评审，并经</w:t>
      </w:r>
      <w:bookmarkStart w:id="42" w:name="_Hlk161870505"/>
      <w:r>
        <w:rPr>
          <w:sz w:val="24"/>
          <w:szCs w:val="24"/>
        </w:rPr>
        <w:t>朝阳区科协2023年3月17日，第2次主席办公会讨论、第3次支委会</w:t>
      </w:r>
      <w:bookmarkEnd w:id="42"/>
      <w:r>
        <w:rPr>
          <w:sz w:val="24"/>
          <w:szCs w:val="24"/>
        </w:rPr>
        <w:t>研究决定，确定项目承担单位为：北京市朝阳区企业联合会，由北京市朝阳区企业联合会承办2023年北京朝阳科学家会客厅活动活动项目</w:t>
      </w:r>
      <w:bookmarkEnd w:id="41"/>
      <w:r>
        <w:rPr>
          <w:sz w:val="24"/>
          <w:szCs w:val="24"/>
        </w:rPr>
        <w:t>。</w:t>
      </w:r>
    </w:p>
    <w:p>
      <w:pPr>
        <w:tabs>
          <w:tab w:val="left" w:pos="5387"/>
        </w:tabs>
        <w:snapToGrid w:val="0"/>
        <w:spacing w:line="500" w:lineRule="exact"/>
        <w:ind w:firstLine="504" w:firstLineChars="210"/>
        <w:rPr>
          <w:sz w:val="24"/>
          <w:szCs w:val="24"/>
        </w:rPr>
      </w:pPr>
      <w:r>
        <w:rPr>
          <w:sz w:val="24"/>
          <w:szCs w:val="24"/>
        </w:rPr>
        <w:t>（4）</w:t>
      </w:r>
      <w:bookmarkStart w:id="43" w:name="_Hlk161870572"/>
      <w:r>
        <w:rPr>
          <w:sz w:val="24"/>
          <w:szCs w:val="24"/>
        </w:rPr>
        <w:t>承担单位结果公示</w:t>
      </w:r>
      <w:bookmarkEnd w:id="43"/>
    </w:p>
    <w:p>
      <w:pPr>
        <w:tabs>
          <w:tab w:val="left" w:pos="5387"/>
        </w:tabs>
        <w:snapToGrid w:val="0"/>
        <w:spacing w:line="500" w:lineRule="exact"/>
        <w:ind w:firstLine="504" w:firstLineChars="210"/>
        <w:rPr>
          <w:sz w:val="24"/>
          <w:szCs w:val="24"/>
        </w:rPr>
      </w:pPr>
      <w:r>
        <w:rPr>
          <w:sz w:val="24"/>
          <w:szCs w:val="24"/>
        </w:rPr>
        <w:t>朝阳区科协确定项目承担单位后，于2023年3月17日在北京市朝阳区人民政府网站发布《北京市朝阳区科学技术协会关于2023年北京朝阳科学家会客厅活动活动项目确定承办单位的公告》，公布由北京市朝阳区企业联合会承办2023年北京朝阳科学家会客厅活动活动项目。</w:t>
      </w:r>
    </w:p>
    <w:p>
      <w:pPr>
        <w:tabs>
          <w:tab w:val="left" w:pos="5387"/>
        </w:tabs>
        <w:snapToGrid w:val="0"/>
        <w:spacing w:line="500" w:lineRule="exact"/>
        <w:ind w:firstLine="504" w:firstLineChars="210"/>
        <w:rPr>
          <w:sz w:val="24"/>
          <w:szCs w:val="24"/>
        </w:rPr>
      </w:pPr>
      <w:r>
        <w:rPr>
          <w:sz w:val="24"/>
          <w:szCs w:val="24"/>
        </w:rPr>
        <w:t>（5）合同签订</w:t>
      </w:r>
    </w:p>
    <w:p>
      <w:pPr>
        <w:tabs>
          <w:tab w:val="left" w:pos="5387"/>
        </w:tabs>
        <w:snapToGrid w:val="0"/>
        <w:spacing w:line="500" w:lineRule="exact"/>
        <w:ind w:firstLine="504" w:firstLineChars="210"/>
        <w:rPr>
          <w:sz w:val="24"/>
          <w:szCs w:val="24"/>
        </w:rPr>
      </w:pPr>
      <w:r>
        <w:rPr>
          <w:sz w:val="24"/>
          <w:szCs w:val="24"/>
        </w:rPr>
        <w:t>经朝阳区科协2023年3月17日至2023年3月23日，公示确定项目承担单位结果5个工作日后，依据2023年3月17日第2次主席办公会讨论、第3次支委会研究决定，2023年3月24日，朝阳区科协与北京市朝阳区企业联合会签订《2023年朝阳区科学技术协会合同书》及《朝阳区科协项目任务书》。</w:t>
      </w:r>
    </w:p>
    <w:p>
      <w:pPr>
        <w:tabs>
          <w:tab w:val="left" w:pos="5387"/>
        </w:tabs>
        <w:snapToGrid w:val="0"/>
        <w:spacing w:line="500" w:lineRule="exact"/>
        <w:ind w:firstLine="504" w:firstLineChars="210"/>
        <w:rPr>
          <w:sz w:val="24"/>
          <w:szCs w:val="24"/>
        </w:rPr>
      </w:pPr>
      <w:r>
        <w:rPr>
          <w:sz w:val="24"/>
          <w:szCs w:val="24"/>
        </w:rPr>
        <w:t>（6）项目实施</w:t>
      </w:r>
    </w:p>
    <w:p>
      <w:pPr>
        <w:tabs>
          <w:tab w:val="left" w:pos="5387"/>
        </w:tabs>
        <w:snapToGrid w:val="0"/>
        <w:spacing w:line="500" w:lineRule="exact"/>
        <w:ind w:firstLine="504" w:firstLineChars="210"/>
        <w:rPr>
          <w:sz w:val="24"/>
          <w:szCs w:val="24"/>
        </w:rPr>
      </w:pPr>
      <w:r>
        <w:rPr>
          <w:sz w:val="24"/>
          <w:szCs w:val="24"/>
        </w:rPr>
        <w:t>项目承担单位</w:t>
      </w:r>
      <w:bookmarkStart w:id="44" w:name="_Hlk161870692"/>
      <w:r>
        <w:rPr>
          <w:sz w:val="24"/>
          <w:szCs w:val="24"/>
        </w:rPr>
        <w:t>北京市朝阳区企业联合会</w:t>
      </w:r>
      <w:bookmarkEnd w:id="44"/>
      <w:r>
        <w:rPr>
          <w:sz w:val="24"/>
          <w:szCs w:val="24"/>
        </w:rPr>
        <w:t>自2023年3月24日至2023年9月30日，开展项目实施工作，并于2023年9月30日前提交项目结题报告和项目经费审计报告。</w:t>
      </w:r>
    </w:p>
    <w:p>
      <w:pPr>
        <w:tabs>
          <w:tab w:val="left" w:pos="5387"/>
        </w:tabs>
        <w:snapToGrid w:val="0"/>
        <w:spacing w:line="500" w:lineRule="exact"/>
        <w:ind w:firstLine="504" w:firstLineChars="210"/>
        <w:rPr>
          <w:sz w:val="24"/>
          <w:szCs w:val="24"/>
        </w:rPr>
      </w:pPr>
      <w:r>
        <w:rPr>
          <w:sz w:val="24"/>
          <w:szCs w:val="24"/>
        </w:rPr>
        <w:t>3、项目管理情况分析</w:t>
      </w:r>
    </w:p>
    <w:p>
      <w:pPr>
        <w:tabs>
          <w:tab w:val="left" w:pos="5387"/>
        </w:tabs>
        <w:snapToGrid w:val="0"/>
        <w:spacing w:line="500" w:lineRule="exact"/>
        <w:ind w:firstLine="504" w:firstLineChars="210"/>
        <w:rPr>
          <w:sz w:val="24"/>
          <w:szCs w:val="24"/>
        </w:rPr>
      </w:pPr>
      <w:r>
        <w:rPr>
          <w:sz w:val="24"/>
          <w:szCs w:val="24"/>
        </w:rPr>
        <w:t>（1） 项目决策情况</w:t>
      </w:r>
    </w:p>
    <w:p>
      <w:pPr>
        <w:tabs>
          <w:tab w:val="left" w:pos="5387"/>
        </w:tabs>
        <w:snapToGrid w:val="0"/>
        <w:spacing w:line="500" w:lineRule="exact"/>
        <w:ind w:firstLine="504" w:firstLineChars="210"/>
        <w:rPr>
          <w:sz w:val="24"/>
          <w:szCs w:val="24"/>
        </w:rPr>
      </w:pPr>
      <w:r>
        <w:rPr>
          <w:sz w:val="24"/>
          <w:szCs w:val="24"/>
        </w:rPr>
        <w:t>朝阳区科协按照《北京市朝阳区科学技术协会采购管理办法（试行）》的要求</w:t>
      </w:r>
      <w:bookmarkStart w:id="45" w:name="_Hlk162185782"/>
      <w:r>
        <w:rPr>
          <w:sz w:val="24"/>
          <w:szCs w:val="24"/>
        </w:rPr>
        <w:t>，朝阳区科协</w:t>
      </w:r>
      <w:bookmarkEnd w:id="45"/>
      <w:r>
        <w:rPr>
          <w:sz w:val="24"/>
          <w:szCs w:val="24"/>
        </w:rPr>
        <w:t>开展了</w:t>
      </w:r>
      <w:bookmarkStart w:id="46" w:name="_Hlk161845090"/>
      <w:r>
        <w:rPr>
          <w:sz w:val="24"/>
          <w:szCs w:val="24"/>
        </w:rPr>
        <w:t>2023年北京朝阳科学家会客厅活动项目</w:t>
      </w:r>
      <w:bookmarkEnd w:id="46"/>
      <w:r>
        <w:rPr>
          <w:sz w:val="24"/>
          <w:szCs w:val="24"/>
        </w:rPr>
        <w:t>承担单位征集工作，经公开征集项目承办单位、资格审查、专家评审，并经区科协2023年3月17日，第2次主席办公会讨论、第3次支委会研究决定，由北京市朝阳区企业联合会承办2023年北京朝阳科学家会客厅活动活动项目，并与其签订合同，项目经费50万元。</w:t>
      </w:r>
    </w:p>
    <w:p>
      <w:pPr>
        <w:tabs>
          <w:tab w:val="left" w:pos="5387"/>
        </w:tabs>
        <w:snapToGrid w:val="0"/>
        <w:spacing w:line="500" w:lineRule="exact"/>
        <w:ind w:firstLine="504" w:firstLineChars="210"/>
        <w:rPr>
          <w:sz w:val="24"/>
          <w:szCs w:val="24"/>
        </w:rPr>
      </w:pPr>
      <w:r>
        <w:rPr>
          <w:sz w:val="24"/>
          <w:szCs w:val="24"/>
        </w:rPr>
        <w:t>（2）项目制度建设情况</w:t>
      </w:r>
    </w:p>
    <w:p>
      <w:pPr>
        <w:tabs>
          <w:tab w:val="left" w:pos="5387"/>
        </w:tabs>
        <w:snapToGrid w:val="0"/>
        <w:spacing w:line="500" w:lineRule="exact"/>
        <w:ind w:firstLine="504" w:firstLineChars="210"/>
        <w:rPr>
          <w:sz w:val="24"/>
          <w:szCs w:val="24"/>
        </w:rPr>
      </w:pPr>
      <w:r>
        <w:rPr>
          <w:sz w:val="24"/>
          <w:szCs w:val="24"/>
        </w:rPr>
        <w:t>项目制度建设较健全。</w:t>
      </w:r>
      <w:bookmarkStart w:id="47" w:name="_Hlk161841986"/>
      <w:r>
        <w:rPr>
          <w:sz w:val="24"/>
          <w:szCs w:val="24"/>
        </w:rPr>
        <w:t>朝阳区科协制定</w:t>
      </w:r>
      <w:bookmarkEnd w:id="47"/>
      <w:r>
        <w:rPr>
          <w:sz w:val="24"/>
          <w:szCs w:val="24"/>
        </w:rPr>
        <w:t>了《</w:t>
      </w:r>
      <w:bookmarkStart w:id="48" w:name="_Hlk161859725"/>
      <w:r>
        <w:rPr>
          <w:sz w:val="24"/>
          <w:szCs w:val="24"/>
        </w:rPr>
        <w:t>北京市朝阳区科学技术协会项目管理办法（试行）</w:t>
      </w:r>
      <w:bookmarkEnd w:id="48"/>
      <w:r>
        <w:rPr>
          <w:sz w:val="24"/>
          <w:szCs w:val="24"/>
        </w:rPr>
        <w:t>》。此外，朝阳区科协还制定了《北京市朝阳区科学技术协会采购管理办法（试行）》和《北京市朝阳区科学技术协会财务管理制度（试行）》。项目资金制度建设较为健全。</w:t>
      </w:r>
    </w:p>
    <w:p>
      <w:pPr>
        <w:tabs>
          <w:tab w:val="left" w:pos="5387"/>
        </w:tabs>
        <w:snapToGrid w:val="0"/>
        <w:spacing w:line="500" w:lineRule="exact"/>
        <w:ind w:firstLine="504" w:firstLineChars="210"/>
        <w:rPr>
          <w:sz w:val="24"/>
          <w:szCs w:val="24"/>
        </w:rPr>
      </w:pPr>
      <w:r>
        <w:rPr>
          <w:sz w:val="24"/>
          <w:szCs w:val="24"/>
        </w:rPr>
        <w:t>（3）项目实施计划安排情况</w:t>
      </w:r>
    </w:p>
    <w:p>
      <w:pPr>
        <w:tabs>
          <w:tab w:val="left" w:pos="5387"/>
        </w:tabs>
        <w:snapToGrid w:val="0"/>
        <w:spacing w:line="500" w:lineRule="exact"/>
        <w:ind w:firstLine="504" w:firstLineChars="210"/>
        <w:rPr>
          <w:sz w:val="24"/>
          <w:szCs w:val="24"/>
        </w:rPr>
      </w:pPr>
      <w:r>
        <w:rPr>
          <w:sz w:val="24"/>
          <w:szCs w:val="24"/>
        </w:rPr>
        <w:t>朝阳区科协于2023年3月24日与项目承担单位签订《</w:t>
      </w:r>
      <w:bookmarkStart w:id="49" w:name="_Hlk161859749"/>
      <w:r>
        <w:rPr>
          <w:sz w:val="24"/>
          <w:szCs w:val="24"/>
        </w:rPr>
        <w:t>朝阳区科协项目任务书</w:t>
      </w:r>
      <w:bookmarkEnd w:id="49"/>
      <w:r>
        <w:rPr>
          <w:sz w:val="24"/>
          <w:szCs w:val="24"/>
        </w:rPr>
        <w:t>》，明确组织领导、工作目标、工作要求、资金安排、进度安排、保障措施等方面的内容，该任务书内容较为完整，基本能满足该项目的实施要求。</w:t>
      </w:r>
    </w:p>
    <w:p>
      <w:pPr>
        <w:tabs>
          <w:tab w:val="left" w:pos="5387"/>
        </w:tabs>
        <w:snapToGrid w:val="0"/>
        <w:spacing w:line="500" w:lineRule="exact"/>
        <w:ind w:firstLine="504" w:firstLineChars="210"/>
        <w:rPr>
          <w:sz w:val="24"/>
          <w:szCs w:val="24"/>
        </w:rPr>
      </w:pPr>
      <w:r>
        <w:rPr>
          <w:sz w:val="24"/>
          <w:szCs w:val="24"/>
        </w:rPr>
        <w:t>（4）项目过程管理情况</w:t>
      </w:r>
    </w:p>
    <w:p>
      <w:pPr>
        <w:tabs>
          <w:tab w:val="left" w:pos="5387"/>
        </w:tabs>
        <w:snapToGrid w:val="0"/>
        <w:spacing w:line="500" w:lineRule="exact"/>
        <w:ind w:firstLine="504" w:firstLineChars="210"/>
        <w:rPr>
          <w:sz w:val="24"/>
          <w:szCs w:val="24"/>
        </w:rPr>
      </w:pPr>
      <w:bookmarkStart w:id="50" w:name="_Hlk161866140"/>
      <w:r>
        <w:rPr>
          <w:sz w:val="24"/>
          <w:szCs w:val="24"/>
        </w:rPr>
        <w:t>该项目过程管理比较规范，对项目承担单位进行持续有效的后续跟踪和监管。除笫一场活动——“预见．看见．实践”工业互联科学趋势分享会任务书规定举办时间为2023年4月，实际举办时间为2023年5月。其他五场活动均如期举办。</w:t>
      </w:r>
      <w:bookmarkEnd w:id="50"/>
    </w:p>
    <w:p>
      <w:pPr>
        <w:pStyle w:val="3"/>
        <w:ind w:right="210"/>
        <w:rPr>
          <w:rFonts w:ascii="Times New Roman" w:hAnsi="Times New Roman" w:cs="Times New Roman"/>
        </w:rPr>
      </w:pPr>
      <w:bookmarkStart w:id="51" w:name="_Toc162339091"/>
      <w:r>
        <w:rPr>
          <w:rFonts w:ascii="Times New Roman" w:hAnsi="Times New Roman" w:cs="Times New Roman"/>
        </w:rPr>
        <w:t>（三）项目产出及效果评价分析</w:t>
      </w:r>
      <w:bookmarkEnd w:id="51"/>
    </w:p>
    <w:p>
      <w:pPr>
        <w:tabs>
          <w:tab w:val="left" w:pos="5387"/>
        </w:tabs>
        <w:snapToGrid w:val="0"/>
        <w:spacing w:line="500" w:lineRule="exact"/>
        <w:ind w:firstLine="504" w:firstLineChars="210"/>
        <w:rPr>
          <w:sz w:val="24"/>
          <w:szCs w:val="24"/>
        </w:rPr>
      </w:pPr>
      <w:r>
        <w:rPr>
          <w:sz w:val="24"/>
          <w:szCs w:val="24"/>
        </w:rPr>
        <w:t>1、项目效率性分析</w:t>
      </w:r>
    </w:p>
    <w:p>
      <w:pPr>
        <w:tabs>
          <w:tab w:val="left" w:pos="5387"/>
        </w:tabs>
        <w:snapToGrid w:val="0"/>
        <w:spacing w:line="500" w:lineRule="exact"/>
        <w:ind w:firstLine="504" w:firstLineChars="210"/>
        <w:rPr>
          <w:sz w:val="24"/>
          <w:szCs w:val="24"/>
        </w:rPr>
      </w:pPr>
      <w:r>
        <w:rPr>
          <w:sz w:val="24"/>
          <w:szCs w:val="24"/>
        </w:rPr>
        <w:t>（1）项目完成质量</w:t>
      </w:r>
    </w:p>
    <w:p>
      <w:pPr>
        <w:tabs>
          <w:tab w:val="left" w:pos="5387"/>
        </w:tabs>
        <w:snapToGrid w:val="0"/>
        <w:spacing w:line="500" w:lineRule="exact"/>
        <w:ind w:firstLine="504" w:firstLineChars="210"/>
        <w:rPr>
          <w:sz w:val="24"/>
          <w:szCs w:val="24"/>
        </w:rPr>
      </w:pPr>
      <w:r>
        <w:rPr>
          <w:sz w:val="24"/>
          <w:szCs w:val="24"/>
        </w:rPr>
        <w:t>该项目按照《北京市朝阳区科学技术协会项目管理办法（试行）》和《朝阳区科协项目任务书》的规定，超额完成了该项目任务，即：共走访科创精英32名，并聘任为会客厅青年科学家。举办6场专题活动，邀请52位专家参与活动，吸引256家企业精英、投资机构、科研院所代表参加，</w:t>
      </w:r>
      <w:bookmarkStart w:id="52" w:name="_Hlk162341445"/>
      <w:r>
        <w:rPr>
          <w:sz w:val="24"/>
          <w:szCs w:val="24"/>
        </w:rPr>
        <w:t>活动直播共吸引11万观众线上观看，共同为活动建言献策。</w:t>
      </w:r>
      <w:bookmarkEnd w:id="52"/>
      <w:r>
        <w:rPr>
          <w:sz w:val="24"/>
          <w:szCs w:val="24"/>
        </w:rPr>
        <w:t>设立“北京朝阳科学家会客厅”企业交流站5家，编制《数字经济人才赋能朝阳创新发展的研究及建议》报告一篇，整合剪辑摄影摄像素材制作出5分钟时长的活动宣传片，并以线下线上的形式，多渠道、全方位宣传科学家会客厅活动，累计</w:t>
      </w:r>
      <w:r>
        <w:rPr>
          <w:rFonts w:hint="eastAsia"/>
          <w:sz w:val="24"/>
          <w:szCs w:val="24"/>
        </w:rPr>
        <w:t>受益</w:t>
      </w:r>
      <w:r>
        <w:rPr>
          <w:sz w:val="24"/>
          <w:szCs w:val="24"/>
        </w:rPr>
        <w:t>人数突破48万人次。</w:t>
      </w:r>
    </w:p>
    <w:p>
      <w:pPr>
        <w:tabs>
          <w:tab w:val="left" w:pos="5387"/>
        </w:tabs>
        <w:snapToGrid w:val="0"/>
        <w:spacing w:line="500" w:lineRule="exact"/>
        <w:ind w:firstLine="504" w:firstLineChars="210"/>
        <w:rPr>
          <w:sz w:val="24"/>
          <w:szCs w:val="24"/>
        </w:rPr>
      </w:pPr>
      <w:r>
        <w:rPr>
          <w:sz w:val="24"/>
          <w:szCs w:val="24"/>
        </w:rPr>
        <w:t>通过项目活动联系、组织、协调、实施，深化各界企业和机构的专家互动和交流，树立</w:t>
      </w:r>
      <w:bookmarkStart w:id="53" w:name="_Hlk162353602"/>
      <w:r>
        <w:rPr>
          <w:rFonts w:hint="eastAsia"/>
          <w:sz w:val="24"/>
          <w:szCs w:val="24"/>
        </w:rPr>
        <w:t>“</w:t>
      </w:r>
      <w:r>
        <w:rPr>
          <w:sz w:val="24"/>
          <w:szCs w:val="24"/>
        </w:rPr>
        <w:t>科学家会客厅</w:t>
      </w:r>
      <w:r>
        <w:rPr>
          <w:rFonts w:hint="eastAsia"/>
          <w:sz w:val="24"/>
          <w:szCs w:val="24"/>
        </w:rPr>
        <w:t>”</w:t>
      </w:r>
      <w:bookmarkEnd w:id="53"/>
      <w:r>
        <w:rPr>
          <w:sz w:val="24"/>
          <w:szCs w:val="24"/>
        </w:rPr>
        <w:t>品牌影响力，整理形成汇聚国内外前沿科技领域知名专家库；以及基于</w:t>
      </w:r>
      <w:r>
        <w:rPr>
          <w:rFonts w:hint="eastAsia"/>
          <w:sz w:val="24"/>
          <w:szCs w:val="24"/>
        </w:rPr>
        <w:t>“</w:t>
      </w:r>
      <w:r>
        <w:rPr>
          <w:sz w:val="24"/>
          <w:szCs w:val="24"/>
        </w:rPr>
        <w:t>企业科学家会客厅</w:t>
      </w:r>
      <w:r>
        <w:rPr>
          <w:rFonts w:hint="eastAsia"/>
          <w:sz w:val="24"/>
          <w:szCs w:val="24"/>
        </w:rPr>
        <w:t>”</w:t>
      </w:r>
      <w:r>
        <w:rPr>
          <w:sz w:val="24"/>
          <w:szCs w:val="24"/>
        </w:rPr>
        <w:t>汇总梳理的项目库，最终通过活动沉淀，探索形成</w:t>
      </w:r>
      <w:r>
        <w:rPr>
          <w:rFonts w:hint="eastAsia"/>
          <w:sz w:val="24"/>
          <w:szCs w:val="24"/>
        </w:rPr>
        <w:t>“</w:t>
      </w:r>
      <w:r>
        <w:rPr>
          <w:sz w:val="24"/>
          <w:szCs w:val="24"/>
        </w:rPr>
        <w:t>科学家会客厅</w:t>
      </w:r>
      <w:r>
        <w:rPr>
          <w:rFonts w:hint="eastAsia"/>
          <w:sz w:val="24"/>
          <w:szCs w:val="24"/>
        </w:rPr>
        <w:t>”</w:t>
      </w:r>
      <w:r>
        <w:rPr>
          <w:sz w:val="24"/>
          <w:szCs w:val="24"/>
        </w:rPr>
        <w:t>企业站常态化运营机制。</w:t>
      </w:r>
    </w:p>
    <w:p>
      <w:pPr>
        <w:tabs>
          <w:tab w:val="left" w:pos="5387"/>
        </w:tabs>
        <w:snapToGrid w:val="0"/>
        <w:spacing w:line="500" w:lineRule="exact"/>
        <w:ind w:firstLine="504" w:firstLineChars="210"/>
        <w:rPr>
          <w:sz w:val="24"/>
          <w:szCs w:val="24"/>
        </w:rPr>
      </w:pPr>
      <w:r>
        <w:rPr>
          <w:sz w:val="24"/>
          <w:szCs w:val="24"/>
        </w:rPr>
        <w:t>（2）项目的实施进度</w:t>
      </w:r>
    </w:p>
    <w:p>
      <w:pPr>
        <w:tabs>
          <w:tab w:val="left" w:pos="5387"/>
        </w:tabs>
        <w:snapToGrid w:val="0"/>
        <w:spacing w:line="500" w:lineRule="exact"/>
        <w:ind w:firstLine="504" w:firstLineChars="210"/>
        <w:rPr>
          <w:sz w:val="24"/>
          <w:szCs w:val="24"/>
        </w:rPr>
      </w:pPr>
      <w:r>
        <w:rPr>
          <w:sz w:val="24"/>
          <w:szCs w:val="24"/>
        </w:rPr>
        <w:t>该项目任务书中针对各实施阶段明确了具体的时间节点，项目的实施进度可衡量，实际基本按照计划进行实施，除研讨会时间举办时间略有调整外，项目在2023年3月24日至2023年9月21日期间完成，该项目比任务书规定时间提前完成。</w:t>
      </w:r>
    </w:p>
    <w:p>
      <w:pPr>
        <w:tabs>
          <w:tab w:val="left" w:pos="5387"/>
        </w:tabs>
        <w:snapToGrid w:val="0"/>
        <w:spacing w:line="500" w:lineRule="exact"/>
        <w:ind w:firstLine="480" w:firstLineChars="200"/>
        <w:rPr>
          <w:sz w:val="24"/>
          <w:szCs w:val="24"/>
        </w:rPr>
      </w:pPr>
      <w:r>
        <w:rPr>
          <w:sz w:val="24"/>
          <w:szCs w:val="24"/>
        </w:rPr>
        <w:t>2、项目效益性分析</w:t>
      </w:r>
    </w:p>
    <w:p>
      <w:pPr>
        <w:tabs>
          <w:tab w:val="left" w:pos="5387"/>
        </w:tabs>
        <w:snapToGrid w:val="0"/>
        <w:spacing w:line="500" w:lineRule="exact"/>
        <w:ind w:firstLine="480" w:firstLineChars="200"/>
        <w:rPr>
          <w:sz w:val="24"/>
          <w:szCs w:val="24"/>
        </w:rPr>
      </w:pPr>
      <w:r>
        <w:rPr>
          <w:sz w:val="24"/>
          <w:szCs w:val="24"/>
        </w:rPr>
        <w:t>项目实施社会效益情况</w:t>
      </w:r>
    </w:p>
    <w:p>
      <w:pPr>
        <w:tabs>
          <w:tab w:val="left" w:pos="5387"/>
        </w:tabs>
        <w:snapToGrid w:val="0"/>
        <w:spacing w:line="500" w:lineRule="exact"/>
        <w:ind w:firstLine="504" w:firstLineChars="210"/>
        <w:rPr>
          <w:sz w:val="24"/>
          <w:szCs w:val="24"/>
        </w:rPr>
      </w:pPr>
      <w:bookmarkStart w:id="54" w:name="_Hlk162341204"/>
      <w:r>
        <w:rPr>
          <w:sz w:val="24"/>
          <w:szCs w:val="24"/>
        </w:rPr>
        <w:t>通过该项目形成3个数据库，具体为：问题库、成果库、项目库，编写专题报告1篇《数字经济人才赋能朝阳创新发展的研究及建议》，建立高端专家资源库。</w:t>
      </w:r>
    </w:p>
    <w:p>
      <w:pPr>
        <w:tabs>
          <w:tab w:val="left" w:pos="5387"/>
        </w:tabs>
        <w:snapToGrid w:val="0"/>
        <w:spacing w:line="500" w:lineRule="exact"/>
        <w:ind w:firstLine="504" w:firstLineChars="210"/>
        <w:rPr>
          <w:sz w:val="24"/>
          <w:szCs w:val="24"/>
        </w:rPr>
      </w:pPr>
      <w:r>
        <w:rPr>
          <w:sz w:val="24"/>
          <w:szCs w:val="24"/>
        </w:rPr>
        <w:t>通过该项目，</w:t>
      </w:r>
      <w:bookmarkStart w:id="55" w:name="_Hlk161871007"/>
      <w:r>
        <w:rPr>
          <w:sz w:val="24"/>
          <w:szCs w:val="24"/>
        </w:rPr>
        <w:t>将参与全年活动的科研机构、高校、企业、园区等单位整理成</w:t>
      </w:r>
      <w:r>
        <w:rPr>
          <w:rFonts w:hint="eastAsia"/>
          <w:sz w:val="24"/>
          <w:szCs w:val="24"/>
        </w:rPr>
        <w:t>“</w:t>
      </w:r>
      <w:r>
        <w:rPr>
          <w:sz w:val="24"/>
          <w:szCs w:val="24"/>
        </w:rPr>
        <w:t>机构清单</w:t>
      </w:r>
      <w:r>
        <w:rPr>
          <w:rFonts w:hint="eastAsia"/>
          <w:sz w:val="24"/>
          <w:szCs w:val="24"/>
        </w:rPr>
        <w:t>”</w:t>
      </w:r>
      <w:r>
        <w:rPr>
          <w:sz w:val="24"/>
          <w:szCs w:val="24"/>
        </w:rPr>
        <w:t>，科学家及科技工作者整理成资源库，共同汇总入“科学家会客厅资源名录”并留存，</w:t>
      </w:r>
      <w:bookmarkEnd w:id="55"/>
      <w:r>
        <w:rPr>
          <w:sz w:val="24"/>
          <w:szCs w:val="24"/>
        </w:rPr>
        <w:t>为政府决策提供参考。</w:t>
      </w:r>
    </w:p>
    <w:p>
      <w:pPr>
        <w:tabs>
          <w:tab w:val="left" w:pos="5387"/>
        </w:tabs>
        <w:snapToGrid w:val="0"/>
        <w:spacing w:line="500" w:lineRule="exact"/>
        <w:ind w:firstLine="504" w:firstLineChars="210"/>
        <w:rPr>
          <w:sz w:val="24"/>
          <w:szCs w:val="24"/>
        </w:rPr>
      </w:pPr>
      <w:r>
        <w:rPr>
          <w:sz w:val="24"/>
          <w:szCs w:val="24"/>
        </w:rPr>
        <w:t>通过活动的开展，打造</w:t>
      </w:r>
      <w:r>
        <w:rPr>
          <w:rFonts w:hint="eastAsia"/>
          <w:sz w:val="24"/>
          <w:szCs w:val="24"/>
        </w:rPr>
        <w:t>“</w:t>
      </w:r>
      <w:r>
        <w:rPr>
          <w:sz w:val="24"/>
          <w:szCs w:val="24"/>
        </w:rPr>
        <w:t>朝阳科学家会客厅</w:t>
      </w:r>
      <w:r>
        <w:rPr>
          <w:rFonts w:hint="eastAsia"/>
          <w:sz w:val="24"/>
          <w:szCs w:val="24"/>
        </w:rPr>
        <w:t>”</w:t>
      </w:r>
      <w:r>
        <w:rPr>
          <w:sz w:val="24"/>
          <w:szCs w:val="24"/>
        </w:rPr>
        <w:t>品牌，全方位培养引进用好战略科学家、一流科技领军人才、青年科技人才、卓越工程师，汇各界精英，聚八方智慧，激发创新活力，塑造发展优势，助力科技创新和人才强区战略实施，为北京市打造世界一流人才 之都提供重要支撑。</w:t>
      </w:r>
      <w:bookmarkEnd w:id="54"/>
    </w:p>
    <w:p>
      <w:pPr>
        <w:tabs>
          <w:tab w:val="left" w:pos="5387"/>
        </w:tabs>
        <w:snapToGrid w:val="0"/>
        <w:spacing w:line="500" w:lineRule="exact"/>
        <w:ind w:firstLine="504" w:firstLineChars="210"/>
        <w:rPr>
          <w:sz w:val="24"/>
          <w:szCs w:val="24"/>
        </w:rPr>
      </w:pPr>
      <w:r>
        <w:rPr>
          <w:sz w:val="24"/>
          <w:szCs w:val="24"/>
        </w:rPr>
        <w:t>3、</w:t>
      </w:r>
      <w:bookmarkStart w:id="56" w:name="_Hlk161863798"/>
      <w:r>
        <w:rPr>
          <w:sz w:val="24"/>
          <w:szCs w:val="24"/>
        </w:rPr>
        <w:t>服务对象满意度</w:t>
      </w:r>
      <w:bookmarkEnd w:id="56"/>
      <w:r>
        <w:rPr>
          <w:sz w:val="24"/>
          <w:szCs w:val="24"/>
        </w:rPr>
        <w:t>情况</w:t>
      </w:r>
    </w:p>
    <w:p>
      <w:pPr>
        <w:tabs>
          <w:tab w:val="left" w:pos="5387"/>
        </w:tabs>
        <w:snapToGrid w:val="0"/>
        <w:spacing w:line="500" w:lineRule="exact"/>
        <w:ind w:firstLine="504" w:firstLineChars="210"/>
        <w:rPr>
          <w:sz w:val="24"/>
          <w:szCs w:val="24"/>
        </w:rPr>
      </w:pPr>
      <w:r>
        <w:rPr>
          <w:sz w:val="24"/>
          <w:szCs w:val="24"/>
        </w:rPr>
        <w:t>该项目计划确保科技人才满意度在95%以上。朝阳区科协以调查问卷的形式，邀请嘉宾填写，开展服务对象满意度调查及分析工作，对受活动情况进行满意度调查。“满意度调查表”（以下简称：调查表）设计了合理的调查内容，以进一步了解服务对象需求，优化活动内容方向和重点。</w:t>
      </w:r>
      <w:bookmarkStart w:id="57" w:name="_Hlk161871072"/>
      <w:r>
        <w:rPr>
          <w:sz w:val="24"/>
          <w:szCs w:val="24"/>
        </w:rPr>
        <w:t>朝阳区科协共发出171份调查表</w:t>
      </w:r>
      <w:bookmarkEnd w:id="57"/>
      <w:r>
        <w:rPr>
          <w:sz w:val="24"/>
          <w:szCs w:val="24"/>
        </w:rPr>
        <w:t>，收回111份有效的调查表。根据调查表情况统计，科技人才对2023年北京朝阳科学家会客厅活动项目的6场活动满意度达100% 。</w:t>
      </w:r>
    </w:p>
    <w:p>
      <w:pPr>
        <w:tabs>
          <w:tab w:val="left" w:pos="5387"/>
        </w:tabs>
        <w:snapToGrid w:val="0"/>
        <w:spacing w:line="500" w:lineRule="exact"/>
        <w:ind w:firstLine="504" w:firstLineChars="210"/>
        <w:rPr>
          <w:sz w:val="24"/>
          <w:szCs w:val="24"/>
        </w:rPr>
      </w:pPr>
      <w:r>
        <w:rPr>
          <w:sz w:val="24"/>
          <w:szCs w:val="24"/>
        </w:rPr>
        <w:t>4、项目经济性分析</w:t>
      </w:r>
    </w:p>
    <w:p>
      <w:pPr>
        <w:tabs>
          <w:tab w:val="left" w:pos="5387"/>
        </w:tabs>
        <w:snapToGrid w:val="0"/>
        <w:spacing w:line="500" w:lineRule="exact"/>
        <w:ind w:firstLine="504" w:firstLineChars="210"/>
        <w:rPr>
          <w:sz w:val="24"/>
          <w:szCs w:val="24"/>
        </w:rPr>
      </w:pPr>
      <w:r>
        <w:rPr>
          <w:sz w:val="24"/>
          <w:szCs w:val="24"/>
        </w:rPr>
        <w:t>该项目实际支出控制在项目总成本范围内。2023年北京朝阳科学家会客厅活动项目资金的年度预算为50万元，经北京润盛嘉华会计师事务所有限公司经费审计报告确认，2023年北京朝阳科学家会客厅活动项目实际支出50万元，其中：专家劳务费8万元，项目调研费4万元，人员劳务费13.50万元，场地租赁费4.8万元，设备租赁费11万元，设计制作费8万元，材料费0.4万元，审计费0.3万元。</w:t>
      </w:r>
    </w:p>
    <w:p>
      <w:pPr>
        <w:tabs>
          <w:tab w:val="left" w:pos="5387"/>
        </w:tabs>
        <w:snapToGrid w:val="0"/>
        <w:spacing w:line="500" w:lineRule="exact"/>
        <w:ind w:firstLine="504" w:firstLineChars="210"/>
        <w:rPr>
          <w:sz w:val="24"/>
          <w:szCs w:val="24"/>
        </w:rPr>
      </w:pPr>
    </w:p>
    <w:p>
      <w:pPr>
        <w:pStyle w:val="2"/>
        <w:ind w:left="210" w:right="210"/>
        <w:rPr>
          <w:rFonts w:ascii="Times New Roman" w:hAnsi="Times New Roman"/>
        </w:rPr>
      </w:pPr>
      <w:bookmarkStart w:id="58" w:name="_Toc162339092"/>
      <w:r>
        <w:rPr>
          <w:rFonts w:ascii="Times New Roman" w:hAnsi="Times New Roman"/>
        </w:rPr>
        <w:t>四、评价结论</w:t>
      </w:r>
      <w:bookmarkEnd w:id="58"/>
    </w:p>
    <w:p>
      <w:pPr>
        <w:tabs>
          <w:tab w:val="left" w:pos="5387"/>
        </w:tabs>
        <w:snapToGrid w:val="0"/>
        <w:spacing w:line="500" w:lineRule="exact"/>
        <w:ind w:firstLine="504" w:firstLineChars="210"/>
        <w:rPr>
          <w:sz w:val="24"/>
          <w:szCs w:val="24"/>
        </w:rPr>
      </w:pPr>
      <w:r>
        <w:rPr>
          <w:sz w:val="24"/>
          <w:szCs w:val="24"/>
        </w:rPr>
        <w:t>经专家组按照指标体系综合打分评价，该项目绩效评价总得分为</w:t>
      </w:r>
      <w:r>
        <w:rPr>
          <w:rFonts w:hint="eastAsia"/>
          <w:sz w:val="24"/>
          <w:szCs w:val="24"/>
        </w:rPr>
        <w:t>95</w:t>
      </w:r>
      <w:r>
        <w:rPr>
          <w:sz w:val="24"/>
          <w:szCs w:val="24"/>
        </w:rPr>
        <w:t>分，其中：预算执行率10分，项目产出指标评分为38分，项目效益指标评分为</w:t>
      </w:r>
      <w:r>
        <w:rPr>
          <w:rFonts w:hint="eastAsia"/>
          <w:sz w:val="24"/>
          <w:szCs w:val="24"/>
        </w:rPr>
        <w:t>28</w:t>
      </w:r>
      <w:r>
        <w:rPr>
          <w:sz w:val="24"/>
          <w:szCs w:val="24"/>
        </w:rPr>
        <w:t>分，项目满意度指标评分为</w:t>
      </w:r>
      <w:r>
        <w:rPr>
          <w:rFonts w:hint="eastAsia"/>
          <w:sz w:val="24"/>
          <w:szCs w:val="24"/>
        </w:rPr>
        <w:t>9</w:t>
      </w:r>
      <w:r>
        <w:rPr>
          <w:sz w:val="24"/>
          <w:szCs w:val="24"/>
        </w:rPr>
        <w:t>分，项目成本指标评分为10分，项目总体评价级别为“优”。</w:t>
      </w:r>
    </w:p>
    <w:p>
      <w:pPr>
        <w:tabs>
          <w:tab w:val="left" w:pos="5387"/>
        </w:tabs>
        <w:snapToGrid w:val="0"/>
        <w:spacing w:line="500" w:lineRule="exact"/>
        <w:ind w:firstLine="504" w:firstLineChars="210"/>
        <w:rPr>
          <w:sz w:val="24"/>
          <w:szCs w:val="24"/>
        </w:rPr>
      </w:pPr>
      <w:r>
        <w:rPr>
          <w:sz w:val="24"/>
          <w:szCs w:val="24"/>
        </w:rPr>
        <w:t>详见下表：</w:t>
      </w:r>
      <w:bookmarkStart w:id="59" w:name="_Hlk161871875"/>
    </w:p>
    <w:tbl>
      <w:tblPr>
        <w:tblStyle w:val="30"/>
        <w:tblW w:w="8931"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2585"/>
        <w:gridCol w:w="2552"/>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tabs>
                <w:tab w:val="left" w:pos="5387"/>
              </w:tabs>
              <w:snapToGrid w:val="0"/>
              <w:spacing w:line="500" w:lineRule="exact"/>
              <w:jc w:val="center"/>
              <w:rPr>
                <w:sz w:val="24"/>
                <w:szCs w:val="24"/>
              </w:rPr>
            </w:pPr>
            <w:r>
              <w:rPr>
                <w:sz w:val="24"/>
                <w:szCs w:val="24"/>
              </w:rPr>
              <w:t>序号</w:t>
            </w:r>
          </w:p>
        </w:tc>
        <w:tc>
          <w:tcPr>
            <w:tcW w:w="2585" w:type="dxa"/>
          </w:tcPr>
          <w:p>
            <w:pPr>
              <w:tabs>
                <w:tab w:val="left" w:pos="5387"/>
              </w:tabs>
              <w:snapToGrid w:val="0"/>
              <w:spacing w:line="500" w:lineRule="exact"/>
              <w:jc w:val="center"/>
              <w:rPr>
                <w:sz w:val="24"/>
                <w:szCs w:val="24"/>
              </w:rPr>
            </w:pPr>
            <w:r>
              <w:rPr>
                <w:sz w:val="24"/>
                <w:szCs w:val="24"/>
              </w:rPr>
              <w:t>评价指标</w:t>
            </w:r>
          </w:p>
        </w:tc>
        <w:tc>
          <w:tcPr>
            <w:tcW w:w="2552" w:type="dxa"/>
          </w:tcPr>
          <w:p>
            <w:pPr>
              <w:tabs>
                <w:tab w:val="left" w:pos="5387"/>
              </w:tabs>
              <w:snapToGrid w:val="0"/>
              <w:spacing w:line="500" w:lineRule="exact"/>
              <w:jc w:val="center"/>
              <w:rPr>
                <w:sz w:val="24"/>
                <w:szCs w:val="24"/>
              </w:rPr>
            </w:pPr>
            <w:r>
              <w:rPr>
                <w:sz w:val="24"/>
                <w:szCs w:val="24"/>
              </w:rPr>
              <w:t>分值</w:t>
            </w:r>
          </w:p>
        </w:tc>
        <w:tc>
          <w:tcPr>
            <w:tcW w:w="2835" w:type="dxa"/>
          </w:tcPr>
          <w:p>
            <w:pPr>
              <w:tabs>
                <w:tab w:val="left" w:pos="5387"/>
              </w:tabs>
              <w:snapToGrid w:val="0"/>
              <w:spacing w:line="500" w:lineRule="exact"/>
              <w:jc w:val="center"/>
              <w:rPr>
                <w:sz w:val="24"/>
                <w:szCs w:val="24"/>
              </w:rPr>
            </w:pPr>
            <w:r>
              <w:rPr>
                <w:sz w:val="24"/>
                <w:szCs w:val="24"/>
              </w:rPr>
              <w:t>评价得分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tabs>
                <w:tab w:val="left" w:pos="5387"/>
              </w:tabs>
              <w:snapToGrid w:val="0"/>
              <w:spacing w:line="500" w:lineRule="exact"/>
              <w:jc w:val="center"/>
              <w:rPr>
                <w:sz w:val="24"/>
                <w:szCs w:val="24"/>
              </w:rPr>
            </w:pPr>
            <w:r>
              <w:rPr>
                <w:sz w:val="24"/>
                <w:szCs w:val="24"/>
              </w:rPr>
              <w:t>一</w:t>
            </w:r>
          </w:p>
        </w:tc>
        <w:tc>
          <w:tcPr>
            <w:tcW w:w="2585" w:type="dxa"/>
          </w:tcPr>
          <w:p>
            <w:pPr>
              <w:tabs>
                <w:tab w:val="left" w:pos="5387"/>
              </w:tabs>
              <w:snapToGrid w:val="0"/>
              <w:spacing w:line="500" w:lineRule="exact"/>
              <w:rPr>
                <w:sz w:val="24"/>
                <w:szCs w:val="24"/>
              </w:rPr>
            </w:pPr>
            <w:bookmarkStart w:id="60" w:name="_Hlk162188544"/>
            <w:r>
              <w:rPr>
                <w:sz w:val="24"/>
                <w:szCs w:val="24"/>
              </w:rPr>
              <w:t>预算执行率</w:t>
            </w:r>
            <w:bookmarkEnd w:id="60"/>
          </w:p>
        </w:tc>
        <w:tc>
          <w:tcPr>
            <w:tcW w:w="2552" w:type="dxa"/>
          </w:tcPr>
          <w:p>
            <w:pPr>
              <w:tabs>
                <w:tab w:val="left" w:pos="5387"/>
              </w:tabs>
              <w:snapToGrid w:val="0"/>
              <w:spacing w:line="500" w:lineRule="exact"/>
              <w:jc w:val="center"/>
              <w:rPr>
                <w:sz w:val="24"/>
                <w:szCs w:val="24"/>
              </w:rPr>
            </w:pPr>
            <w:r>
              <w:rPr>
                <w:sz w:val="24"/>
                <w:szCs w:val="24"/>
              </w:rPr>
              <w:t>10</w:t>
            </w:r>
          </w:p>
        </w:tc>
        <w:tc>
          <w:tcPr>
            <w:tcW w:w="2835" w:type="dxa"/>
          </w:tcPr>
          <w:p>
            <w:pPr>
              <w:tabs>
                <w:tab w:val="left" w:pos="5387"/>
              </w:tabs>
              <w:snapToGrid w:val="0"/>
              <w:spacing w:line="500" w:lineRule="exact"/>
              <w:jc w:val="center"/>
              <w:rPr>
                <w:sz w:val="24"/>
                <w:szCs w:val="24"/>
              </w:rPr>
            </w:pPr>
            <w:r>
              <w:rPr>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tabs>
                <w:tab w:val="left" w:pos="5387"/>
              </w:tabs>
              <w:snapToGrid w:val="0"/>
              <w:spacing w:line="500" w:lineRule="exact"/>
              <w:jc w:val="center"/>
              <w:rPr>
                <w:sz w:val="24"/>
                <w:szCs w:val="24"/>
              </w:rPr>
            </w:pPr>
            <w:r>
              <w:rPr>
                <w:sz w:val="24"/>
                <w:szCs w:val="24"/>
              </w:rPr>
              <w:t>二</w:t>
            </w:r>
          </w:p>
        </w:tc>
        <w:tc>
          <w:tcPr>
            <w:tcW w:w="2585" w:type="dxa"/>
          </w:tcPr>
          <w:p>
            <w:pPr>
              <w:tabs>
                <w:tab w:val="left" w:pos="5387"/>
              </w:tabs>
              <w:snapToGrid w:val="0"/>
              <w:spacing w:line="500" w:lineRule="exact"/>
              <w:rPr>
                <w:sz w:val="24"/>
                <w:szCs w:val="24"/>
              </w:rPr>
            </w:pPr>
            <w:r>
              <w:rPr>
                <w:sz w:val="24"/>
                <w:szCs w:val="24"/>
              </w:rPr>
              <w:t>产出指标</w:t>
            </w:r>
          </w:p>
        </w:tc>
        <w:tc>
          <w:tcPr>
            <w:tcW w:w="2552" w:type="dxa"/>
          </w:tcPr>
          <w:p>
            <w:pPr>
              <w:tabs>
                <w:tab w:val="left" w:pos="5387"/>
              </w:tabs>
              <w:snapToGrid w:val="0"/>
              <w:spacing w:line="500" w:lineRule="exact"/>
              <w:jc w:val="center"/>
              <w:rPr>
                <w:sz w:val="24"/>
                <w:szCs w:val="24"/>
              </w:rPr>
            </w:pPr>
            <w:r>
              <w:rPr>
                <w:sz w:val="24"/>
                <w:szCs w:val="24"/>
              </w:rPr>
              <w:t>40</w:t>
            </w:r>
          </w:p>
        </w:tc>
        <w:tc>
          <w:tcPr>
            <w:tcW w:w="2835" w:type="dxa"/>
          </w:tcPr>
          <w:p>
            <w:pPr>
              <w:tabs>
                <w:tab w:val="left" w:pos="5387"/>
              </w:tabs>
              <w:snapToGrid w:val="0"/>
              <w:spacing w:line="500" w:lineRule="exact"/>
              <w:jc w:val="center"/>
              <w:rPr>
                <w:sz w:val="24"/>
                <w:szCs w:val="24"/>
              </w:rPr>
            </w:pPr>
            <w:r>
              <w:rPr>
                <w:sz w:val="24"/>
                <w:szCs w:val="24"/>
              </w:rPr>
              <w:t>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tabs>
                <w:tab w:val="left" w:pos="5387"/>
              </w:tabs>
              <w:snapToGrid w:val="0"/>
              <w:spacing w:line="500" w:lineRule="exact"/>
              <w:jc w:val="center"/>
              <w:rPr>
                <w:sz w:val="24"/>
                <w:szCs w:val="24"/>
              </w:rPr>
            </w:pPr>
            <w:r>
              <w:rPr>
                <w:sz w:val="24"/>
                <w:szCs w:val="24"/>
              </w:rPr>
              <w:t>1</w:t>
            </w:r>
          </w:p>
        </w:tc>
        <w:tc>
          <w:tcPr>
            <w:tcW w:w="2585" w:type="dxa"/>
          </w:tcPr>
          <w:p>
            <w:pPr>
              <w:tabs>
                <w:tab w:val="left" w:pos="5387"/>
              </w:tabs>
              <w:snapToGrid w:val="0"/>
              <w:spacing w:line="500" w:lineRule="exact"/>
              <w:ind w:firstLine="240" w:firstLineChars="100"/>
              <w:rPr>
                <w:sz w:val="24"/>
                <w:szCs w:val="24"/>
              </w:rPr>
            </w:pPr>
            <w:r>
              <w:rPr>
                <w:sz w:val="24"/>
                <w:szCs w:val="24"/>
              </w:rPr>
              <w:t>数量指标</w:t>
            </w:r>
          </w:p>
        </w:tc>
        <w:tc>
          <w:tcPr>
            <w:tcW w:w="2552" w:type="dxa"/>
          </w:tcPr>
          <w:p>
            <w:pPr>
              <w:tabs>
                <w:tab w:val="left" w:pos="5387"/>
              </w:tabs>
              <w:snapToGrid w:val="0"/>
              <w:spacing w:line="500" w:lineRule="exact"/>
              <w:jc w:val="center"/>
              <w:rPr>
                <w:sz w:val="24"/>
                <w:szCs w:val="24"/>
              </w:rPr>
            </w:pPr>
            <w:r>
              <w:rPr>
                <w:sz w:val="24"/>
                <w:szCs w:val="24"/>
              </w:rPr>
              <w:t>20</w:t>
            </w:r>
          </w:p>
        </w:tc>
        <w:tc>
          <w:tcPr>
            <w:tcW w:w="2835" w:type="dxa"/>
          </w:tcPr>
          <w:p>
            <w:pPr>
              <w:tabs>
                <w:tab w:val="left" w:pos="5387"/>
              </w:tabs>
              <w:snapToGrid w:val="0"/>
              <w:spacing w:line="500" w:lineRule="exact"/>
              <w:jc w:val="center"/>
              <w:rPr>
                <w:sz w:val="24"/>
                <w:szCs w:val="24"/>
              </w:rPr>
            </w:pPr>
            <w:r>
              <w:rPr>
                <w:rFonts w:hint="eastAsia"/>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tabs>
                <w:tab w:val="left" w:pos="5387"/>
              </w:tabs>
              <w:snapToGrid w:val="0"/>
              <w:spacing w:line="500" w:lineRule="exact"/>
              <w:jc w:val="center"/>
              <w:rPr>
                <w:sz w:val="24"/>
                <w:szCs w:val="24"/>
              </w:rPr>
            </w:pPr>
            <w:r>
              <w:rPr>
                <w:sz w:val="24"/>
                <w:szCs w:val="24"/>
              </w:rPr>
              <w:t>2</w:t>
            </w:r>
          </w:p>
        </w:tc>
        <w:tc>
          <w:tcPr>
            <w:tcW w:w="2585" w:type="dxa"/>
          </w:tcPr>
          <w:p>
            <w:pPr>
              <w:tabs>
                <w:tab w:val="left" w:pos="5387"/>
              </w:tabs>
              <w:snapToGrid w:val="0"/>
              <w:spacing w:line="500" w:lineRule="exact"/>
              <w:ind w:firstLine="240" w:firstLineChars="100"/>
              <w:rPr>
                <w:sz w:val="24"/>
                <w:szCs w:val="24"/>
              </w:rPr>
            </w:pPr>
            <w:r>
              <w:rPr>
                <w:sz w:val="24"/>
                <w:szCs w:val="24"/>
              </w:rPr>
              <w:t>质量指标</w:t>
            </w:r>
          </w:p>
        </w:tc>
        <w:tc>
          <w:tcPr>
            <w:tcW w:w="2552" w:type="dxa"/>
          </w:tcPr>
          <w:p>
            <w:pPr>
              <w:tabs>
                <w:tab w:val="left" w:pos="5387"/>
              </w:tabs>
              <w:snapToGrid w:val="0"/>
              <w:spacing w:line="500" w:lineRule="exact"/>
              <w:jc w:val="center"/>
              <w:rPr>
                <w:sz w:val="24"/>
                <w:szCs w:val="24"/>
              </w:rPr>
            </w:pPr>
            <w:r>
              <w:rPr>
                <w:sz w:val="24"/>
                <w:szCs w:val="24"/>
              </w:rPr>
              <w:t>10</w:t>
            </w:r>
          </w:p>
        </w:tc>
        <w:tc>
          <w:tcPr>
            <w:tcW w:w="2835" w:type="dxa"/>
          </w:tcPr>
          <w:p>
            <w:pPr>
              <w:tabs>
                <w:tab w:val="left" w:pos="5387"/>
              </w:tabs>
              <w:snapToGrid w:val="0"/>
              <w:spacing w:line="500" w:lineRule="exact"/>
              <w:jc w:val="center"/>
              <w:rPr>
                <w:sz w:val="24"/>
                <w:szCs w:val="24"/>
              </w:rPr>
            </w:pPr>
            <w:r>
              <w:rPr>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tabs>
                <w:tab w:val="left" w:pos="5387"/>
              </w:tabs>
              <w:snapToGrid w:val="0"/>
              <w:spacing w:line="500" w:lineRule="exact"/>
              <w:jc w:val="center"/>
              <w:rPr>
                <w:sz w:val="24"/>
                <w:szCs w:val="24"/>
              </w:rPr>
            </w:pPr>
            <w:r>
              <w:rPr>
                <w:sz w:val="24"/>
                <w:szCs w:val="24"/>
              </w:rPr>
              <w:t>3</w:t>
            </w:r>
          </w:p>
        </w:tc>
        <w:tc>
          <w:tcPr>
            <w:tcW w:w="2585" w:type="dxa"/>
          </w:tcPr>
          <w:p>
            <w:pPr>
              <w:tabs>
                <w:tab w:val="left" w:pos="5387"/>
              </w:tabs>
              <w:snapToGrid w:val="0"/>
              <w:spacing w:line="500" w:lineRule="exact"/>
              <w:ind w:firstLine="240" w:firstLineChars="100"/>
              <w:rPr>
                <w:sz w:val="24"/>
                <w:szCs w:val="24"/>
              </w:rPr>
            </w:pPr>
            <w:r>
              <w:rPr>
                <w:sz w:val="24"/>
                <w:szCs w:val="24"/>
              </w:rPr>
              <w:t>时效指标</w:t>
            </w:r>
          </w:p>
        </w:tc>
        <w:tc>
          <w:tcPr>
            <w:tcW w:w="2552" w:type="dxa"/>
          </w:tcPr>
          <w:p>
            <w:pPr>
              <w:tabs>
                <w:tab w:val="left" w:pos="5387"/>
              </w:tabs>
              <w:snapToGrid w:val="0"/>
              <w:spacing w:line="500" w:lineRule="exact"/>
              <w:jc w:val="center"/>
              <w:rPr>
                <w:sz w:val="24"/>
                <w:szCs w:val="24"/>
              </w:rPr>
            </w:pPr>
            <w:r>
              <w:rPr>
                <w:sz w:val="24"/>
                <w:szCs w:val="24"/>
              </w:rPr>
              <w:t>10</w:t>
            </w:r>
          </w:p>
        </w:tc>
        <w:tc>
          <w:tcPr>
            <w:tcW w:w="2835" w:type="dxa"/>
          </w:tcPr>
          <w:p>
            <w:pPr>
              <w:tabs>
                <w:tab w:val="left" w:pos="5387"/>
              </w:tabs>
              <w:snapToGrid w:val="0"/>
              <w:spacing w:line="500" w:lineRule="exact"/>
              <w:jc w:val="center"/>
              <w:rPr>
                <w:sz w:val="24"/>
                <w:szCs w:val="24"/>
              </w:rPr>
            </w:pPr>
            <w:r>
              <w:rPr>
                <w:rFonts w:hint="eastAsia"/>
                <w:sz w:val="24"/>
                <w:szCs w:val="24"/>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tabs>
                <w:tab w:val="left" w:pos="5387"/>
              </w:tabs>
              <w:snapToGrid w:val="0"/>
              <w:spacing w:line="500" w:lineRule="exact"/>
              <w:jc w:val="center"/>
              <w:rPr>
                <w:sz w:val="24"/>
                <w:szCs w:val="24"/>
              </w:rPr>
            </w:pPr>
            <w:r>
              <w:rPr>
                <w:sz w:val="24"/>
                <w:szCs w:val="24"/>
              </w:rPr>
              <w:t>三</w:t>
            </w:r>
          </w:p>
        </w:tc>
        <w:tc>
          <w:tcPr>
            <w:tcW w:w="2585" w:type="dxa"/>
          </w:tcPr>
          <w:p>
            <w:pPr>
              <w:tabs>
                <w:tab w:val="left" w:pos="5387"/>
              </w:tabs>
              <w:snapToGrid w:val="0"/>
              <w:spacing w:line="500" w:lineRule="exact"/>
              <w:rPr>
                <w:sz w:val="24"/>
                <w:szCs w:val="24"/>
              </w:rPr>
            </w:pPr>
            <w:r>
              <w:rPr>
                <w:sz w:val="24"/>
                <w:szCs w:val="24"/>
              </w:rPr>
              <w:t>效益指标</w:t>
            </w:r>
          </w:p>
        </w:tc>
        <w:tc>
          <w:tcPr>
            <w:tcW w:w="2552" w:type="dxa"/>
          </w:tcPr>
          <w:p>
            <w:pPr>
              <w:tabs>
                <w:tab w:val="left" w:pos="5387"/>
              </w:tabs>
              <w:snapToGrid w:val="0"/>
              <w:spacing w:line="500" w:lineRule="exact"/>
              <w:jc w:val="center"/>
              <w:rPr>
                <w:sz w:val="24"/>
                <w:szCs w:val="24"/>
              </w:rPr>
            </w:pPr>
            <w:r>
              <w:rPr>
                <w:sz w:val="24"/>
                <w:szCs w:val="24"/>
              </w:rPr>
              <w:t>30</w:t>
            </w:r>
          </w:p>
        </w:tc>
        <w:tc>
          <w:tcPr>
            <w:tcW w:w="2835" w:type="dxa"/>
          </w:tcPr>
          <w:p>
            <w:pPr>
              <w:tabs>
                <w:tab w:val="left" w:pos="5387"/>
              </w:tabs>
              <w:snapToGrid w:val="0"/>
              <w:spacing w:line="500" w:lineRule="exact"/>
              <w:jc w:val="center"/>
              <w:rPr>
                <w:sz w:val="24"/>
                <w:szCs w:val="24"/>
              </w:rPr>
            </w:pPr>
            <w:r>
              <w:rPr>
                <w:rFonts w:hint="eastAsia"/>
                <w:sz w:val="24"/>
                <w:szCs w:val="24"/>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tabs>
                <w:tab w:val="left" w:pos="5387"/>
              </w:tabs>
              <w:snapToGrid w:val="0"/>
              <w:spacing w:line="500" w:lineRule="exact"/>
              <w:jc w:val="center"/>
              <w:rPr>
                <w:sz w:val="24"/>
                <w:szCs w:val="24"/>
              </w:rPr>
            </w:pPr>
            <w:r>
              <w:rPr>
                <w:sz w:val="24"/>
                <w:szCs w:val="24"/>
              </w:rPr>
              <w:t>四</w:t>
            </w:r>
          </w:p>
        </w:tc>
        <w:tc>
          <w:tcPr>
            <w:tcW w:w="2585" w:type="dxa"/>
          </w:tcPr>
          <w:p>
            <w:pPr>
              <w:tabs>
                <w:tab w:val="left" w:pos="5387"/>
              </w:tabs>
              <w:snapToGrid w:val="0"/>
              <w:spacing w:line="500" w:lineRule="exact"/>
              <w:rPr>
                <w:sz w:val="24"/>
                <w:szCs w:val="24"/>
              </w:rPr>
            </w:pPr>
            <w:r>
              <w:rPr>
                <w:sz w:val="24"/>
                <w:szCs w:val="24"/>
              </w:rPr>
              <w:t>满意度指标</w:t>
            </w:r>
          </w:p>
        </w:tc>
        <w:tc>
          <w:tcPr>
            <w:tcW w:w="2552" w:type="dxa"/>
          </w:tcPr>
          <w:p>
            <w:pPr>
              <w:tabs>
                <w:tab w:val="left" w:pos="5387"/>
              </w:tabs>
              <w:snapToGrid w:val="0"/>
              <w:spacing w:line="500" w:lineRule="exact"/>
              <w:jc w:val="center"/>
              <w:rPr>
                <w:sz w:val="24"/>
                <w:szCs w:val="24"/>
              </w:rPr>
            </w:pPr>
            <w:r>
              <w:rPr>
                <w:sz w:val="24"/>
                <w:szCs w:val="24"/>
              </w:rPr>
              <w:t>10</w:t>
            </w:r>
          </w:p>
        </w:tc>
        <w:tc>
          <w:tcPr>
            <w:tcW w:w="2835" w:type="dxa"/>
          </w:tcPr>
          <w:p>
            <w:pPr>
              <w:tabs>
                <w:tab w:val="left" w:pos="5387"/>
              </w:tabs>
              <w:snapToGrid w:val="0"/>
              <w:spacing w:line="500" w:lineRule="exact"/>
              <w:jc w:val="center"/>
              <w:rPr>
                <w:sz w:val="24"/>
                <w:szCs w:val="24"/>
              </w:rPr>
            </w:pPr>
            <w:r>
              <w:rPr>
                <w:rFonts w:hint="eastAsia"/>
                <w:sz w:val="24"/>
                <w:szCs w:val="24"/>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tabs>
                <w:tab w:val="left" w:pos="5387"/>
              </w:tabs>
              <w:snapToGrid w:val="0"/>
              <w:spacing w:line="500" w:lineRule="exact"/>
              <w:jc w:val="center"/>
              <w:rPr>
                <w:sz w:val="24"/>
                <w:szCs w:val="24"/>
              </w:rPr>
            </w:pPr>
            <w:r>
              <w:rPr>
                <w:sz w:val="24"/>
                <w:szCs w:val="24"/>
              </w:rPr>
              <w:t>五</w:t>
            </w:r>
          </w:p>
        </w:tc>
        <w:tc>
          <w:tcPr>
            <w:tcW w:w="2585" w:type="dxa"/>
          </w:tcPr>
          <w:p>
            <w:pPr>
              <w:tabs>
                <w:tab w:val="left" w:pos="5387"/>
              </w:tabs>
              <w:snapToGrid w:val="0"/>
              <w:spacing w:line="500" w:lineRule="exact"/>
              <w:rPr>
                <w:sz w:val="24"/>
                <w:szCs w:val="24"/>
              </w:rPr>
            </w:pPr>
            <w:r>
              <w:rPr>
                <w:sz w:val="24"/>
                <w:szCs w:val="24"/>
              </w:rPr>
              <w:t>成本指标</w:t>
            </w:r>
          </w:p>
        </w:tc>
        <w:tc>
          <w:tcPr>
            <w:tcW w:w="2552" w:type="dxa"/>
          </w:tcPr>
          <w:p>
            <w:pPr>
              <w:tabs>
                <w:tab w:val="left" w:pos="5387"/>
              </w:tabs>
              <w:snapToGrid w:val="0"/>
              <w:spacing w:line="500" w:lineRule="exact"/>
              <w:jc w:val="center"/>
              <w:rPr>
                <w:sz w:val="24"/>
                <w:szCs w:val="24"/>
              </w:rPr>
            </w:pPr>
            <w:r>
              <w:rPr>
                <w:sz w:val="24"/>
                <w:szCs w:val="24"/>
              </w:rPr>
              <w:t>10</w:t>
            </w:r>
          </w:p>
        </w:tc>
        <w:tc>
          <w:tcPr>
            <w:tcW w:w="2835" w:type="dxa"/>
          </w:tcPr>
          <w:p>
            <w:pPr>
              <w:tabs>
                <w:tab w:val="left" w:pos="5387"/>
              </w:tabs>
              <w:snapToGrid w:val="0"/>
              <w:spacing w:line="500" w:lineRule="exact"/>
              <w:jc w:val="center"/>
              <w:rPr>
                <w:sz w:val="24"/>
                <w:szCs w:val="24"/>
              </w:rPr>
            </w:pPr>
            <w:r>
              <w:rPr>
                <w:sz w:val="24"/>
                <w:szCs w:val="24"/>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9" w:type="dxa"/>
          </w:tcPr>
          <w:p>
            <w:pPr>
              <w:tabs>
                <w:tab w:val="left" w:pos="5387"/>
              </w:tabs>
              <w:snapToGrid w:val="0"/>
              <w:spacing w:line="500" w:lineRule="exact"/>
              <w:jc w:val="center"/>
              <w:rPr>
                <w:sz w:val="24"/>
                <w:szCs w:val="24"/>
              </w:rPr>
            </w:pPr>
            <w:r>
              <w:rPr>
                <w:sz w:val="24"/>
                <w:szCs w:val="24"/>
              </w:rPr>
              <w:t>合计</w:t>
            </w:r>
          </w:p>
        </w:tc>
        <w:tc>
          <w:tcPr>
            <w:tcW w:w="2585" w:type="dxa"/>
          </w:tcPr>
          <w:p>
            <w:pPr>
              <w:tabs>
                <w:tab w:val="left" w:pos="5387"/>
              </w:tabs>
              <w:snapToGrid w:val="0"/>
              <w:spacing w:line="500" w:lineRule="exact"/>
              <w:rPr>
                <w:sz w:val="24"/>
                <w:szCs w:val="24"/>
              </w:rPr>
            </w:pPr>
          </w:p>
        </w:tc>
        <w:tc>
          <w:tcPr>
            <w:tcW w:w="2552" w:type="dxa"/>
          </w:tcPr>
          <w:p>
            <w:pPr>
              <w:tabs>
                <w:tab w:val="left" w:pos="5387"/>
              </w:tabs>
              <w:snapToGrid w:val="0"/>
              <w:spacing w:line="500" w:lineRule="exact"/>
              <w:jc w:val="center"/>
              <w:rPr>
                <w:sz w:val="24"/>
                <w:szCs w:val="24"/>
              </w:rPr>
            </w:pPr>
            <w:r>
              <w:rPr>
                <w:sz w:val="24"/>
                <w:szCs w:val="24"/>
              </w:rPr>
              <w:t>100</w:t>
            </w:r>
          </w:p>
        </w:tc>
        <w:tc>
          <w:tcPr>
            <w:tcW w:w="2835" w:type="dxa"/>
          </w:tcPr>
          <w:p>
            <w:pPr>
              <w:tabs>
                <w:tab w:val="left" w:pos="5387"/>
              </w:tabs>
              <w:snapToGrid w:val="0"/>
              <w:spacing w:line="500" w:lineRule="exact"/>
              <w:jc w:val="center"/>
              <w:rPr>
                <w:sz w:val="24"/>
                <w:szCs w:val="24"/>
              </w:rPr>
            </w:pPr>
            <w:r>
              <w:rPr>
                <w:rFonts w:hint="eastAsia"/>
                <w:sz w:val="24"/>
                <w:szCs w:val="24"/>
              </w:rPr>
              <w:t>95</w:t>
            </w:r>
          </w:p>
        </w:tc>
      </w:tr>
      <w:bookmarkEnd w:id="5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44" w:type="dxa"/>
            <w:gridSpan w:val="2"/>
          </w:tcPr>
          <w:p>
            <w:pPr>
              <w:tabs>
                <w:tab w:val="left" w:pos="5387"/>
              </w:tabs>
              <w:snapToGrid w:val="0"/>
              <w:spacing w:line="500" w:lineRule="exact"/>
              <w:jc w:val="center"/>
              <w:rPr>
                <w:sz w:val="24"/>
                <w:szCs w:val="24"/>
              </w:rPr>
            </w:pPr>
            <w:r>
              <w:rPr>
                <w:sz w:val="24"/>
                <w:szCs w:val="24"/>
              </w:rPr>
              <w:t>评价等级</w:t>
            </w:r>
          </w:p>
        </w:tc>
        <w:tc>
          <w:tcPr>
            <w:tcW w:w="5387" w:type="dxa"/>
            <w:gridSpan w:val="2"/>
          </w:tcPr>
          <w:p>
            <w:pPr>
              <w:tabs>
                <w:tab w:val="left" w:pos="5387"/>
              </w:tabs>
              <w:snapToGrid w:val="0"/>
              <w:spacing w:line="500" w:lineRule="exact"/>
              <w:jc w:val="center"/>
              <w:rPr>
                <w:sz w:val="24"/>
                <w:szCs w:val="24"/>
              </w:rPr>
            </w:pPr>
            <w:r>
              <w:rPr>
                <w:sz w:val="24"/>
                <w:szCs w:val="24"/>
              </w:rPr>
              <w:t>优秀■   良好口   一般口  较差口</w:t>
            </w:r>
          </w:p>
        </w:tc>
      </w:tr>
    </w:tbl>
    <w:p>
      <w:pPr>
        <w:tabs>
          <w:tab w:val="left" w:pos="5387"/>
        </w:tabs>
        <w:snapToGrid w:val="0"/>
        <w:spacing w:line="500" w:lineRule="exact"/>
        <w:ind w:firstLine="504" w:firstLineChars="210"/>
        <w:rPr>
          <w:sz w:val="24"/>
          <w:szCs w:val="24"/>
        </w:rPr>
      </w:pPr>
    </w:p>
    <w:p>
      <w:pPr>
        <w:pStyle w:val="2"/>
        <w:ind w:left="210" w:right="210"/>
        <w:rPr>
          <w:rFonts w:ascii="Times New Roman" w:hAnsi="Times New Roman"/>
        </w:rPr>
      </w:pPr>
      <w:bookmarkStart w:id="61" w:name="_Toc162339093"/>
      <w:r>
        <w:rPr>
          <w:rFonts w:ascii="Times New Roman" w:hAnsi="Times New Roman"/>
        </w:rPr>
        <w:t>五、项目改进建议</w:t>
      </w:r>
      <w:bookmarkEnd w:id="61"/>
    </w:p>
    <w:p>
      <w:pPr>
        <w:pStyle w:val="3"/>
        <w:ind w:right="210"/>
        <w:rPr>
          <w:rFonts w:ascii="Times New Roman" w:hAnsi="Times New Roman" w:cs="Times New Roman"/>
        </w:rPr>
      </w:pPr>
      <w:bookmarkStart w:id="62" w:name="_Toc162339094"/>
      <w:r>
        <w:rPr>
          <w:rFonts w:ascii="Times New Roman" w:hAnsi="Times New Roman" w:cs="Times New Roman"/>
        </w:rPr>
        <w:t>（一）项目决策方面</w:t>
      </w:r>
      <w:bookmarkEnd w:id="62"/>
    </w:p>
    <w:p>
      <w:pPr>
        <w:tabs>
          <w:tab w:val="left" w:pos="5387"/>
        </w:tabs>
        <w:snapToGrid w:val="0"/>
        <w:spacing w:line="500" w:lineRule="exact"/>
        <w:ind w:firstLine="504" w:firstLineChars="210"/>
        <w:rPr>
          <w:sz w:val="24"/>
          <w:szCs w:val="24"/>
        </w:rPr>
      </w:pPr>
      <w:r>
        <w:rPr>
          <w:sz w:val="24"/>
          <w:szCs w:val="24"/>
        </w:rPr>
        <w:t>改进建议：结合项目预算内容制定绩效目标，明确预算年度项目的产出和效果，进一步细化、量化绩效产出指标。绩效目标的设定要与确定下达的项目任务相匹配。如朝阳区科协</w:t>
      </w:r>
      <w:r>
        <w:rPr>
          <w:rFonts w:hint="eastAsia"/>
          <w:sz w:val="24"/>
          <w:szCs w:val="24"/>
        </w:rPr>
        <w:t>向区财政申报的绩效目标表的</w:t>
      </w:r>
      <w:r>
        <w:rPr>
          <w:sz w:val="24"/>
          <w:szCs w:val="24"/>
        </w:rPr>
        <w:t>满意度指标</w:t>
      </w:r>
      <w:r>
        <w:rPr>
          <w:rFonts w:hint="eastAsia"/>
          <w:sz w:val="24"/>
          <w:szCs w:val="24"/>
        </w:rPr>
        <w:t>设定</w:t>
      </w:r>
      <w:r>
        <w:rPr>
          <w:sz w:val="24"/>
          <w:szCs w:val="24"/>
        </w:rPr>
        <w:t>为95%，但在</w:t>
      </w:r>
      <w:r>
        <w:rPr>
          <w:rFonts w:hint="eastAsia"/>
          <w:sz w:val="24"/>
          <w:szCs w:val="24"/>
        </w:rPr>
        <w:t>实际与项目承担单位签订的合同</w:t>
      </w:r>
      <w:r>
        <w:rPr>
          <w:sz w:val="24"/>
          <w:szCs w:val="24"/>
        </w:rPr>
        <w:t>任务书中</w:t>
      </w:r>
      <w:r>
        <w:rPr>
          <w:rFonts w:hint="eastAsia"/>
          <w:sz w:val="24"/>
          <w:szCs w:val="24"/>
        </w:rPr>
        <w:t>满意度指标</w:t>
      </w:r>
      <w:r>
        <w:rPr>
          <w:sz w:val="24"/>
          <w:szCs w:val="24"/>
        </w:rPr>
        <w:t>为90%</w:t>
      </w:r>
      <w:r>
        <w:rPr>
          <w:rFonts w:hint="eastAsia"/>
          <w:sz w:val="24"/>
          <w:szCs w:val="24"/>
        </w:rPr>
        <w:t>，两者存在不一致</w:t>
      </w:r>
      <w:r>
        <w:rPr>
          <w:sz w:val="24"/>
          <w:szCs w:val="24"/>
        </w:rPr>
        <w:t>。</w:t>
      </w:r>
    </w:p>
    <w:p>
      <w:pPr>
        <w:pStyle w:val="3"/>
        <w:ind w:right="210"/>
        <w:rPr>
          <w:rFonts w:ascii="Times New Roman" w:hAnsi="Times New Roman" w:cs="Times New Roman"/>
        </w:rPr>
      </w:pPr>
      <w:bookmarkStart w:id="63" w:name="_Toc162339095"/>
      <w:r>
        <w:rPr>
          <w:rFonts w:ascii="Times New Roman" w:hAnsi="Times New Roman" w:cs="Times New Roman"/>
        </w:rPr>
        <w:t>（二）项目管理方面</w:t>
      </w:r>
      <w:bookmarkEnd w:id="63"/>
    </w:p>
    <w:p>
      <w:pPr>
        <w:tabs>
          <w:tab w:val="left" w:pos="5387"/>
        </w:tabs>
        <w:snapToGrid w:val="0"/>
        <w:spacing w:line="500" w:lineRule="exact"/>
        <w:ind w:firstLine="504" w:firstLineChars="210"/>
        <w:rPr>
          <w:sz w:val="24"/>
          <w:szCs w:val="24"/>
        </w:rPr>
      </w:pPr>
      <w:r>
        <w:rPr>
          <w:sz w:val="24"/>
          <w:szCs w:val="24"/>
        </w:rPr>
        <w:t>该项目过程管理比较规范，对项目承担单位进行持续有效的后续跟踪和监管。笫一场活动——“预见．看见．实践”工业互联科学趋势分享会任务书规定举办时间为2023年4月，实际举办时间为2023年5月。其他五场活动均如期举办。</w:t>
      </w:r>
    </w:p>
    <w:p>
      <w:pPr>
        <w:tabs>
          <w:tab w:val="left" w:pos="5387"/>
        </w:tabs>
        <w:snapToGrid w:val="0"/>
        <w:spacing w:line="500" w:lineRule="exact"/>
        <w:ind w:firstLine="504" w:firstLineChars="210"/>
        <w:rPr>
          <w:sz w:val="24"/>
          <w:szCs w:val="24"/>
        </w:rPr>
      </w:pPr>
      <w:r>
        <w:rPr>
          <w:sz w:val="24"/>
          <w:szCs w:val="24"/>
        </w:rPr>
        <w:t>改进建议： 进一步加强项目绩效跟踪管理， 以发挥绩效目标在项目管理中的引导作用，持续进行后续跟踪监管，定期检查、持续跟进，要求活动按计划时间举办。</w:t>
      </w:r>
    </w:p>
    <w:p>
      <w:pPr>
        <w:pStyle w:val="3"/>
        <w:spacing w:line="480" w:lineRule="exact"/>
        <w:ind w:right="210"/>
        <w:rPr>
          <w:rFonts w:ascii="Times New Roman" w:hAnsi="Times New Roman" w:cs="Times New Roman"/>
        </w:rPr>
      </w:pPr>
      <w:bookmarkStart w:id="64" w:name="_Toc162339096"/>
      <w:r>
        <w:rPr>
          <w:rFonts w:hint="eastAsia" w:ascii="Times New Roman" w:hAnsi="Times New Roman" w:cs="Times New Roman"/>
        </w:rPr>
        <w:t>（三）项目绩效方面</w:t>
      </w:r>
      <w:bookmarkEnd w:id="64"/>
    </w:p>
    <w:p>
      <w:pPr>
        <w:tabs>
          <w:tab w:val="left" w:pos="5387"/>
        </w:tabs>
        <w:snapToGrid w:val="0"/>
        <w:spacing w:line="480" w:lineRule="exact"/>
        <w:ind w:firstLine="504" w:firstLineChars="210"/>
        <w:rPr>
          <w:sz w:val="24"/>
          <w:szCs w:val="24"/>
        </w:rPr>
      </w:pPr>
      <w:r>
        <w:rPr>
          <w:rFonts w:hint="eastAsia"/>
          <w:sz w:val="24"/>
          <w:szCs w:val="24"/>
        </w:rPr>
        <w:t>通过该项目形成3个数据库，具体为：问题库、成果库、项目库，编写专题报告1篇《数字经济人才赋能朝阳创新发展的研究及建议》，建立高端专家资源库。</w:t>
      </w:r>
    </w:p>
    <w:p>
      <w:pPr>
        <w:tabs>
          <w:tab w:val="left" w:pos="5387"/>
        </w:tabs>
        <w:snapToGrid w:val="0"/>
        <w:spacing w:line="480" w:lineRule="exact"/>
        <w:ind w:firstLine="504" w:firstLineChars="210"/>
        <w:rPr>
          <w:sz w:val="24"/>
          <w:szCs w:val="24"/>
        </w:rPr>
      </w:pPr>
      <w:r>
        <w:rPr>
          <w:rFonts w:hint="eastAsia"/>
          <w:sz w:val="24"/>
          <w:szCs w:val="24"/>
        </w:rPr>
        <w:t>通过活动的开展，打造“朝阳科学家会客厅”品牌，以线下线上的形式，多渠道、全方位宣传科学家会客厅活动，活动直播共吸引11万观众线上观看，共同为活动建言献策，累计受益人数突破48万人次。</w:t>
      </w:r>
    </w:p>
    <w:p>
      <w:pPr>
        <w:tabs>
          <w:tab w:val="left" w:pos="5387"/>
        </w:tabs>
        <w:snapToGrid w:val="0"/>
        <w:spacing w:line="480" w:lineRule="exact"/>
        <w:ind w:firstLine="504" w:firstLineChars="210"/>
        <w:rPr>
          <w:sz w:val="24"/>
          <w:szCs w:val="24"/>
        </w:rPr>
      </w:pPr>
      <w:r>
        <w:rPr>
          <w:rFonts w:hint="eastAsia"/>
          <w:sz w:val="24"/>
          <w:szCs w:val="24"/>
        </w:rPr>
        <w:t>改进建议：通过媒体加大宣传力度，树立“科学家会客厅”品牌影响力，进一步完善项目绩效成果的归集体系，扩大汇聚国内外前沿科技领域知名专家库；同时基于“企业科学家会客厅”汇总梳理的项目库，推进“科学家会客厅”企业站活动</w:t>
      </w:r>
      <w:r>
        <w:rPr>
          <w:rFonts w:hint="eastAsia"/>
          <w:sz w:val="24"/>
          <w:szCs w:val="24"/>
          <w:lang w:eastAsia="zh-CN"/>
        </w:rPr>
        <w:t>经常化</w:t>
      </w:r>
      <w:r>
        <w:rPr>
          <w:rFonts w:hint="eastAsia"/>
          <w:sz w:val="24"/>
          <w:szCs w:val="24"/>
        </w:rPr>
        <w:t>开展。</w:t>
      </w:r>
    </w:p>
    <w:p>
      <w:pPr>
        <w:tabs>
          <w:tab w:val="left" w:pos="5387"/>
        </w:tabs>
        <w:snapToGrid w:val="0"/>
        <w:spacing w:line="500" w:lineRule="exact"/>
        <w:ind w:firstLine="504" w:firstLineChars="210"/>
        <w:rPr>
          <w:sz w:val="24"/>
          <w:szCs w:val="24"/>
        </w:rPr>
      </w:pPr>
    </w:p>
    <w:p>
      <w:pPr>
        <w:tabs>
          <w:tab w:val="left" w:pos="5387"/>
        </w:tabs>
        <w:snapToGrid w:val="0"/>
        <w:spacing w:line="500" w:lineRule="exact"/>
        <w:ind w:firstLine="504" w:firstLineChars="210"/>
        <w:rPr>
          <w:sz w:val="24"/>
          <w:szCs w:val="24"/>
        </w:rPr>
      </w:pPr>
      <w:r>
        <w:rPr>
          <w:rFonts w:hint="eastAsia"/>
          <w:sz w:val="24"/>
          <w:szCs w:val="24"/>
        </w:rPr>
        <w:t>附件：</w:t>
      </w:r>
    </w:p>
    <w:p>
      <w:pPr>
        <w:tabs>
          <w:tab w:val="left" w:pos="5387"/>
        </w:tabs>
        <w:snapToGrid w:val="0"/>
        <w:spacing w:line="500" w:lineRule="exact"/>
        <w:ind w:firstLine="504" w:firstLineChars="210"/>
        <w:rPr>
          <w:sz w:val="24"/>
          <w:szCs w:val="24"/>
        </w:rPr>
      </w:pPr>
      <w:r>
        <w:rPr>
          <w:sz w:val="24"/>
          <w:szCs w:val="24"/>
        </w:rPr>
        <w:t>1、项目支出绩效自评表</w:t>
      </w:r>
    </w:p>
    <w:p>
      <w:pPr>
        <w:tabs>
          <w:tab w:val="left" w:pos="5387"/>
        </w:tabs>
        <w:snapToGrid w:val="0"/>
        <w:spacing w:line="500" w:lineRule="exact"/>
        <w:ind w:firstLine="504" w:firstLineChars="210"/>
        <w:rPr>
          <w:sz w:val="24"/>
          <w:szCs w:val="24"/>
        </w:rPr>
      </w:pPr>
      <w:r>
        <w:rPr>
          <w:sz w:val="24"/>
          <w:szCs w:val="24"/>
        </w:rPr>
        <w:t>2、专家及评价工作组情况表</w:t>
      </w:r>
    </w:p>
    <w:p>
      <w:pPr>
        <w:tabs>
          <w:tab w:val="left" w:pos="5387"/>
        </w:tabs>
        <w:snapToGrid w:val="0"/>
        <w:spacing w:line="500" w:lineRule="exact"/>
        <w:ind w:firstLine="504" w:firstLineChars="210"/>
        <w:rPr>
          <w:sz w:val="24"/>
          <w:szCs w:val="24"/>
        </w:rPr>
      </w:pPr>
      <w:r>
        <w:rPr>
          <w:sz w:val="24"/>
          <w:szCs w:val="24"/>
        </w:rPr>
        <w:t>3、专家意见汇总书</w:t>
      </w:r>
    </w:p>
    <w:p>
      <w:pPr>
        <w:tabs>
          <w:tab w:val="left" w:pos="5387"/>
        </w:tabs>
        <w:snapToGrid w:val="0"/>
        <w:spacing w:line="500" w:lineRule="exact"/>
        <w:ind w:firstLine="504" w:firstLineChars="210"/>
        <w:rPr>
          <w:sz w:val="24"/>
          <w:szCs w:val="24"/>
        </w:rPr>
      </w:pPr>
      <w:r>
        <w:rPr>
          <w:sz w:val="24"/>
          <w:szCs w:val="24"/>
        </w:rPr>
        <w:t>4、指标体系及打分情况表</w:t>
      </w:r>
    </w:p>
    <w:p>
      <w:pPr>
        <w:tabs>
          <w:tab w:val="left" w:pos="5387"/>
        </w:tabs>
        <w:snapToGrid w:val="0"/>
        <w:spacing w:line="500" w:lineRule="exact"/>
        <w:ind w:firstLine="504" w:firstLineChars="210"/>
        <w:rPr>
          <w:sz w:val="24"/>
          <w:szCs w:val="24"/>
        </w:rPr>
      </w:pPr>
    </w:p>
    <w:p>
      <w:pPr>
        <w:tabs>
          <w:tab w:val="left" w:pos="5387"/>
        </w:tabs>
        <w:snapToGrid w:val="0"/>
        <w:spacing w:line="500" w:lineRule="exact"/>
        <w:ind w:firstLine="504" w:firstLineChars="210"/>
        <w:rPr>
          <w:sz w:val="24"/>
          <w:szCs w:val="24"/>
        </w:rPr>
      </w:pPr>
    </w:p>
    <w:p>
      <w:pPr>
        <w:tabs>
          <w:tab w:val="left" w:pos="5387"/>
        </w:tabs>
        <w:snapToGrid w:val="0"/>
        <w:spacing w:line="500" w:lineRule="exact"/>
        <w:ind w:firstLine="504" w:firstLineChars="210"/>
        <w:rPr>
          <w:rFonts w:hint="eastAsia"/>
          <w:sz w:val="24"/>
          <w:szCs w:val="24"/>
        </w:rPr>
      </w:pPr>
    </w:p>
    <w:p>
      <w:pPr>
        <w:rPr>
          <w:sz w:val="28"/>
          <w:szCs w:val="28"/>
        </w:rPr>
      </w:pPr>
    </w:p>
    <w:p>
      <w:pPr>
        <w:rPr>
          <w:sz w:val="28"/>
          <w:szCs w:val="28"/>
        </w:rPr>
      </w:pPr>
    </w:p>
    <w:p>
      <w:pPr>
        <w:rPr>
          <w:sz w:val="28"/>
          <w:szCs w:val="28"/>
        </w:rPr>
      </w:pPr>
    </w:p>
    <w:p>
      <w:pPr>
        <w:rPr>
          <w:sz w:val="28"/>
          <w:szCs w:val="28"/>
        </w:rPr>
      </w:pPr>
    </w:p>
    <w:p>
      <w:pPr>
        <w:rPr>
          <w:sz w:val="28"/>
          <w:szCs w:val="28"/>
        </w:rPr>
      </w:pPr>
    </w:p>
    <w:p>
      <w:pPr>
        <w:rPr>
          <w:sz w:val="28"/>
          <w:szCs w:val="28"/>
        </w:rPr>
      </w:pPr>
    </w:p>
    <w:p>
      <w:pPr>
        <w:tabs>
          <w:tab w:val="left" w:pos="5387"/>
        </w:tabs>
        <w:rPr>
          <w:sz w:val="28"/>
          <w:szCs w:val="28"/>
        </w:rPr>
      </w:pPr>
    </w:p>
    <w:p>
      <w:pPr>
        <w:rPr>
          <w:sz w:val="28"/>
          <w:szCs w:val="28"/>
        </w:rPr>
      </w:pPr>
    </w:p>
    <w:p>
      <w:pPr>
        <w:spacing w:line="560" w:lineRule="exact"/>
        <w:rPr>
          <w:sz w:val="24"/>
          <w:szCs w:val="24"/>
        </w:rPr>
      </w:pPr>
      <w:r>
        <w:rPr>
          <w:sz w:val="24"/>
          <w:szCs w:val="24"/>
        </w:rPr>
        <w:t>附件1</w:t>
      </w:r>
      <w:r>
        <w:rPr>
          <w:rFonts w:hint="eastAsia"/>
          <w:sz w:val="24"/>
          <w:szCs w:val="24"/>
        </w:rPr>
        <w:t>：</w:t>
      </w:r>
    </w:p>
    <w:p>
      <w:pPr>
        <w:spacing w:line="560" w:lineRule="exact"/>
        <w:rPr>
          <w:rFonts w:eastAsia="黑体"/>
          <w:sz w:val="24"/>
          <w:szCs w:val="24"/>
        </w:rPr>
      </w:pPr>
    </w:p>
    <w:tbl>
      <w:tblPr>
        <w:tblStyle w:val="29"/>
        <w:tblW w:w="9567" w:type="dxa"/>
        <w:jc w:val="center"/>
        <w:tblInd w:w="0" w:type="dxa"/>
        <w:tblLayout w:type="fixed"/>
        <w:tblCellMar>
          <w:top w:w="0" w:type="dxa"/>
          <w:left w:w="108" w:type="dxa"/>
          <w:bottom w:w="0" w:type="dxa"/>
          <w:right w:w="108" w:type="dxa"/>
        </w:tblCellMar>
      </w:tblPr>
      <w:tblGrid>
        <w:gridCol w:w="9567"/>
      </w:tblGrid>
      <w:tr>
        <w:tblPrEx>
          <w:tblLayout w:type="fixed"/>
          <w:tblCellMar>
            <w:top w:w="0" w:type="dxa"/>
            <w:left w:w="108" w:type="dxa"/>
            <w:bottom w:w="0" w:type="dxa"/>
            <w:right w:w="108" w:type="dxa"/>
          </w:tblCellMar>
        </w:tblPrEx>
        <w:trPr>
          <w:trHeight w:val="440" w:hRule="exact"/>
          <w:jc w:val="center"/>
        </w:trPr>
        <w:tc>
          <w:tcPr>
            <w:tcW w:w="9567" w:type="dxa"/>
            <w:tcBorders>
              <w:top w:val="nil"/>
              <w:left w:val="nil"/>
              <w:bottom w:val="nil"/>
              <w:right w:val="nil"/>
            </w:tcBorders>
            <w:vAlign w:val="center"/>
          </w:tcPr>
          <w:p>
            <w:pPr>
              <w:widowControl/>
              <w:spacing w:line="320" w:lineRule="exact"/>
              <w:jc w:val="center"/>
              <w:rPr>
                <w:b/>
                <w:bCs/>
                <w:kern w:val="0"/>
                <w:sz w:val="32"/>
                <w:szCs w:val="32"/>
              </w:rPr>
            </w:pPr>
            <w:r>
              <w:rPr>
                <w:b/>
                <w:bCs/>
                <w:kern w:val="0"/>
                <w:sz w:val="32"/>
                <w:szCs w:val="32"/>
              </w:rPr>
              <w:t>项目支出绩效自评表</w:t>
            </w:r>
          </w:p>
        </w:tc>
      </w:tr>
      <w:tr>
        <w:tblPrEx>
          <w:tblLayout w:type="fixed"/>
          <w:tblCellMar>
            <w:top w:w="0" w:type="dxa"/>
            <w:left w:w="108" w:type="dxa"/>
            <w:bottom w:w="0" w:type="dxa"/>
            <w:right w:w="108" w:type="dxa"/>
          </w:tblCellMar>
        </w:tblPrEx>
        <w:trPr>
          <w:trHeight w:val="194" w:hRule="atLeast"/>
          <w:jc w:val="center"/>
        </w:trPr>
        <w:tc>
          <w:tcPr>
            <w:tcW w:w="9567" w:type="dxa"/>
            <w:tcBorders>
              <w:top w:val="nil"/>
              <w:left w:val="nil"/>
              <w:bottom w:val="nil"/>
              <w:right w:val="nil"/>
            </w:tcBorders>
          </w:tcPr>
          <w:p>
            <w:pPr>
              <w:widowControl/>
              <w:jc w:val="center"/>
              <w:rPr>
                <w:kern w:val="0"/>
                <w:sz w:val="22"/>
              </w:rPr>
            </w:pPr>
            <w:r>
              <w:rPr>
                <w:kern w:val="0"/>
                <w:sz w:val="22"/>
              </w:rPr>
              <w:t>（2023年度）</w:t>
            </w:r>
          </w:p>
          <w:p>
            <w:pPr>
              <w:widowControl/>
              <w:jc w:val="center"/>
              <w:rPr>
                <w:kern w:val="0"/>
                <w:sz w:val="22"/>
              </w:rPr>
            </w:pPr>
          </w:p>
          <w:tbl>
            <w:tblPr>
              <w:tblStyle w:val="29"/>
              <w:tblW w:w="9353" w:type="dxa"/>
              <w:tblInd w:w="0" w:type="dxa"/>
              <w:tblLayout w:type="fixed"/>
              <w:tblCellMar>
                <w:top w:w="0" w:type="dxa"/>
                <w:left w:w="108" w:type="dxa"/>
                <w:bottom w:w="0" w:type="dxa"/>
                <w:right w:w="108" w:type="dxa"/>
              </w:tblCellMar>
            </w:tblPr>
            <w:tblGrid>
              <w:gridCol w:w="456"/>
              <w:gridCol w:w="959"/>
              <w:gridCol w:w="1133"/>
              <w:gridCol w:w="1319"/>
              <w:gridCol w:w="625"/>
              <w:gridCol w:w="183"/>
              <w:gridCol w:w="852"/>
              <w:gridCol w:w="21"/>
              <w:gridCol w:w="1038"/>
              <w:gridCol w:w="38"/>
              <w:gridCol w:w="36"/>
              <w:gridCol w:w="685"/>
              <w:gridCol w:w="11"/>
              <w:gridCol w:w="10"/>
              <w:gridCol w:w="853"/>
              <w:gridCol w:w="10"/>
              <w:gridCol w:w="1124"/>
            </w:tblGrid>
            <w:tr>
              <w:tblPrEx>
                <w:tblLayout w:type="fixed"/>
                <w:tblCellMar>
                  <w:top w:w="0" w:type="dxa"/>
                  <w:left w:w="108" w:type="dxa"/>
                  <w:bottom w:w="0" w:type="dxa"/>
                  <w:right w:w="108" w:type="dxa"/>
                </w:tblCellMar>
              </w:tblPrEx>
              <w:trPr>
                <w:trHeight w:val="285" w:hRule="atLeast"/>
              </w:trPr>
              <w:tc>
                <w:tcPr>
                  <w:tcW w:w="14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项目名称</w:t>
                  </w:r>
                </w:p>
              </w:tc>
              <w:tc>
                <w:tcPr>
                  <w:tcW w:w="7938" w:type="dxa"/>
                  <w:gridSpan w:val="15"/>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人才发展资金（组织部还原）</w:t>
                  </w:r>
                </w:p>
              </w:tc>
            </w:tr>
            <w:tr>
              <w:tblPrEx>
                <w:tblLayout w:type="fixed"/>
                <w:tblCellMar>
                  <w:top w:w="0" w:type="dxa"/>
                  <w:left w:w="108" w:type="dxa"/>
                  <w:bottom w:w="0" w:type="dxa"/>
                  <w:right w:w="108" w:type="dxa"/>
                </w:tblCellMar>
              </w:tblPrEx>
              <w:trPr>
                <w:trHeight w:val="285" w:hRule="atLeast"/>
              </w:trPr>
              <w:tc>
                <w:tcPr>
                  <w:tcW w:w="14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主管部门</w:t>
                  </w:r>
                </w:p>
              </w:tc>
              <w:tc>
                <w:tcPr>
                  <w:tcW w:w="411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中共北京市朝阳区委组织部</w:t>
                  </w:r>
                </w:p>
              </w:tc>
              <w:tc>
                <w:tcPr>
                  <w:tcW w:w="1133"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实施单位</w:t>
                  </w:r>
                </w:p>
              </w:tc>
              <w:tc>
                <w:tcPr>
                  <w:tcW w:w="269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bookmarkStart w:id="65" w:name="_Hlk161877440"/>
                  <w:r>
                    <w:rPr>
                      <w:color w:val="000000"/>
                      <w:kern w:val="0"/>
                      <w:sz w:val="18"/>
                      <w:szCs w:val="18"/>
                    </w:rPr>
                    <w:t>北京市朝阳区科学技术协会</w:t>
                  </w:r>
                  <w:bookmarkEnd w:id="65"/>
                </w:p>
              </w:tc>
            </w:tr>
            <w:tr>
              <w:tblPrEx>
                <w:tblLayout w:type="fixed"/>
                <w:tblCellMar>
                  <w:top w:w="0" w:type="dxa"/>
                  <w:left w:w="108" w:type="dxa"/>
                  <w:bottom w:w="0" w:type="dxa"/>
                  <w:right w:w="108" w:type="dxa"/>
                </w:tblCellMar>
              </w:tblPrEx>
              <w:trPr>
                <w:trHeight w:val="285" w:hRule="atLeast"/>
              </w:trPr>
              <w:tc>
                <w:tcPr>
                  <w:tcW w:w="1415"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项目负责人</w:t>
                  </w:r>
                </w:p>
              </w:tc>
              <w:tc>
                <w:tcPr>
                  <w:tcW w:w="4112" w:type="dxa"/>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王涛</w:t>
                  </w:r>
                </w:p>
              </w:tc>
              <w:tc>
                <w:tcPr>
                  <w:tcW w:w="1133"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联系电话</w:t>
                  </w:r>
                </w:p>
              </w:tc>
              <w:tc>
                <w:tcPr>
                  <w:tcW w:w="2693"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65090847</w:t>
                  </w:r>
                </w:p>
              </w:tc>
            </w:tr>
            <w:tr>
              <w:tblPrEx>
                <w:tblLayout w:type="fixed"/>
                <w:tblCellMar>
                  <w:top w:w="0" w:type="dxa"/>
                  <w:left w:w="108" w:type="dxa"/>
                  <w:bottom w:w="0" w:type="dxa"/>
                  <w:right w:w="108" w:type="dxa"/>
                </w:tblCellMar>
              </w:tblPrEx>
              <w:trPr>
                <w:trHeight w:val="285" w:hRule="atLeast"/>
              </w:trPr>
              <w:tc>
                <w:tcPr>
                  <w:tcW w:w="141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项目资金</w:t>
                  </w:r>
                  <w:r>
                    <w:rPr>
                      <w:b/>
                      <w:bCs/>
                      <w:color w:val="000000"/>
                      <w:kern w:val="0"/>
                      <w:sz w:val="18"/>
                      <w:szCs w:val="18"/>
                    </w:rPr>
                    <w:br w:type="textWrapping"/>
                  </w:r>
                  <w:r>
                    <w:rPr>
                      <w:b/>
                      <w:bCs/>
                      <w:color w:val="000000"/>
                      <w:kern w:val="0"/>
                      <w:sz w:val="18"/>
                      <w:szCs w:val="18"/>
                    </w:rPr>
                    <w:t>（万元）</w:t>
                  </w:r>
                </w:p>
              </w:tc>
              <w:tc>
                <w:tcPr>
                  <w:tcW w:w="24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　</w:t>
                  </w:r>
                </w:p>
              </w:tc>
              <w:tc>
                <w:tcPr>
                  <w:tcW w:w="808" w:type="dxa"/>
                  <w:gridSpan w:val="2"/>
                  <w:tcBorders>
                    <w:top w:val="nil"/>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年初预算数</w:t>
                  </w:r>
                </w:p>
              </w:tc>
              <w:tc>
                <w:tcPr>
                  <w:tcW w:w="852" w:type="dxa"/>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全年预算数</w:t>
                  </w:r>
                </w:p>
              </w:tc>
              <w:tc>
                <w:tcPr>
                  <w:tcW w:w="1133"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全年执行数</w:t>
                  </w:r>
                </w:p>
              </w:tc>
              <w:tc>
                <w:tcPr>
                  <w:tcW w:w="685" w:type="dxa"/>
                  <w:tcBorders>
                    <w:top w:val="nil"/>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分值</w:t>
                  </w:r>
                </w:p>
              </w:tc>
              <w:tc>
                <w:tcPr>
                  <w:tcW w:w="874" w:type="dxa"/>
                  <w:gridSpan w:val="3"/>
                  <w:tcBorders>
                    <w:top w:val="nil"/>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执行率</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得分</w:t>
                  </w:r>
                </w:p>
              </w:tc>
            </w:tr>
            <w:tr>
              <w:tblPrEx>
                <w:tblLayout w:type="fixed"/>
                <w:tblCellMar>
                  <w:top w:w="0" w:type="dxa"/>
                  <w:left w:w="108" w:type="dxa"/>
                  <w:bottom w:w="0" w:type="dxa"/>
                  <w:right w:w="108" w:type="dxa"/>
                </w:tblCellMar>
              </w:tblPrEx>
              <w:trPr>
                <w:trHeight w:val="285" w:hRule="atLeast"/>
              </w:trPr>
              <w:tc>
                <w:tcPr>
                  <w:tcW w:w="14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b/>
                      <w:bCs/>
                      <w:color w:val="000000"/>
                      <w:kern w:val="0"/>
                      <w:sz w:val="18"/>
                      <w:szCs w:val="18"/>
                    </w:rPr>
                  </w:pPr>
                </w:p>
              </w:tc>
              <w:tc>
                <w:tcPr>
                  <w:tcW w:w="2452" w:type="dxa"/>
                  <w:gridSpan w:val="2"/>
                  <w:tcBorders>
                    <w:top w:val="single" w:color="auto" w:sz="4" w:space="0"/>
                    <w:left w:val="nil"/>
                    <w:bottom w:val="single" w:color="auto" w:sz="4" w:space="0"/>
                    <w:right w:val="single" w:color="auto" w:sz="4" w:space="0"/>
                  </w:tcBorders>
                  <w:shd w:val="clear" w:color="auto" w:fill="auto"/>
                  <w:vAlign w:val="center"/>
                </w:tcPr>
                <w:p>
                  <w:pPr>
                    <w:widowControl/>
                    <w:rPr>
                      <w:b/>
                      <w:bCs/>
                      <w:color w:val="000000"/>
                      <w:kern w:val="0"/>
                      <w:sz w:val="18"/>
                      <w:szCs w:val="18"/>
                    </w:rPr>
                  </w:pPr>
                  <w:r>
                    <w:rPr>
                      <w:b/>
                      <w:bCs/>
                      <w:color w:val="000000"/>
                      <w:kern w:val="0"/>
                      <w:sz w:val="18"/>
                      <w:szCs w:val="18"/>
                    </w:rPr>
                    <w:t>年度资金总额</w:t>
                  </w:r>
                </w:p>
              </w:tc>
              <w:tc>
                <w:tcPr>
                  <w:tcW w:w="808"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50</w:t>
                  </w:r>
                </w:p>
              </w:tc>
              <w:tc>
                <w:tcPr>
                  <w:tcW w:w="852"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50</w:t>
                  </w:r>
                </w:p>
              </w:tc>
              <w:tc>
                <w:tcPr>
                  <w:tcW w:w="1133"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50</w:t>
                  </w:r>
                </w:p>
              </w:tc>
              <w:tc>
                <w:tcPr>
                  <w:tcW w:w="685" w:type="dxa"/>
                  <w:tcBorders>
                    <w:top w:val="nil"/>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10</w:t>
                  </w:r>
                </w:p>
              </w:tc>
              <w:tc>
                <w:tcPr>
                  <w:tcW w:w="874" w:type="dxa"/>
                  <w:gridSpan w:val="3"/>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w:t>
                  </w:r>
                </w:p>
              </w:tc>
            </w:tr>
            <w:tr>
              <w:tblPrEx>
                <w:tblLayout w:type="fixed"/>
                <w:tblCellMar>
                  <w:top w:w="0" w:type="dxa"/>
                  <w:left w:w="108" w:type="dxa"/>
                  <w:bottom w:w="0" w:type="dxa"/>
                  <w:right w:w="108" w:type="dxa"/>
                </w:tblCellMar>
              </w:tblPrEx>
              <w:trPr>
                <w:trHeight w:val="300" w:hRule="atLeast"/>
              </w:trPr>
              <w:tc>
                <w:tcPr>
                  <w:tcW w:w="14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b/>
                      <w:bCs/>
                      <w:color w:val="000000"/>
                      <w:kern w:val="0"/>
                      <w:sz w:val="18"/>
                      <w:szCs w:val="18"/>
                    </w:rPr>
                  </w:pPr>
                </w:p>
              </w:tc>
              <w:tc>
                <w:tcPr>
                  <w:tcW w:w="24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其中：当年财政拨款</w:t>
                  </w:r>
                </w:p>
              </w:tc>
              <w:tc>
                <w:tcPr>
                  <w:tcW w:w="808"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50</w:t>
                  </w:r>
                </w:p>
              </w:tc>
              <w:tc>
                <w:tcPr>
                  <w:tcW w:w="852"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50</w:t>
                  </w:r>
                </w:p>
              </w:tc>
              <w:tc>
                <w:tcPr>
                  <w:tcW w:w="1133"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50</w:t>
                  </w:r>
                </w:p>
              </w:tc>
              <w:tc>
                <w:tcPr>
                  <w:tcW w:w="685"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w:t>
                  </w:r>
                </w:p>
              </w:tc>
              <w:tc>
                <w:tcPr>
                  <w:tcW w:w="874" w:type="dxa"/>
                  <w:gridSpan w:val="3"/>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w:t>
                  </w:r>
                </w:p>
              </w:tc>
            </w:tr>
            <w:tr>
              <w:tblPrEx>
                <w:tblLayout w:type="fixed"/>
                <w:tblCellMar>
                  <w:top w:w="0" w:type="dxa"/>
                  <w:left w:w="108" w:type="dxa"/>
                  <w:bottom w:w="0" w:type="dxa"/>
                  <w:right w:w="108" w:type="dxa"/>
                </w:tblCellMar>
              </w:tblPrEx>
              <w:trPr>
                <w:trHeight w:val="300" w:hRule="atLeast"/>
              </w:trPr>
              <w:tc>
                <w:tcPr>
                  <w:tcW w:w="14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b/>
                      <w:bCs/>
                      <w:color w:val="000000"/>
                      <w:kern w:val="0"/>
                      <w:sz w:val="18"/>
                      <w:szCs w:val="18"/>
                    </w:rPr>
                  </w:pPr>
                </w:p>
              </w:tc>
              <w:tc>
                <w:tcPr>
                  <w:tcW w:w="24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 xml:space="preserve">     上年结转资金</w:t>
                  </w:r>
                </w:p>
              </w:tc>
              <w:tc>
                <w:tcPr>
                  <w:tcW w:w="808"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852"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1133"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685"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w:t>
                  </w:r>
                </w:p>
              </w:tc>
              <w:tc>
                <w:tcPr>
                  <w:tcW w:w="874" w:type="dxa"/>
                  <w:gridSpan w:val="3"/>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w:t>
                  </w:r>
                </w:p>
              </w:tc>
            </w:tr>
            <w:tr>
              <w:tblPrEx>
                <w:tblLayout w:type="fixed"/>
                <w:tblCellMar>
                  <w:top w:w="0" w:type="dxa"/>
                  <w:left w:w="108" w:type="dxa"/>
                  <w:bottom w:w="0" w:type="dxa"/>
                  <w:right w:w="108" w:type="dxa"/>
                </w:tblCellMar>
              </w:tblPrEx>
              <w:trPr>
                <w:trHeight w:val="300" w:hRule="atLeast"/>
              </w:trPr>
              <w:tc>
                <w:tcPr>
                  <w:tcW w:w="1415"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b/>
                      <w:bCs/>
                      <w:color w:val="000000"/>
                      <w:kern w:val="0"/>
                      <w:sz w:val="18"/>
                      <w:szCs w:val="18"/>
                    </w:rPr>
                  </w:pPr>
                </w:p>
              </w:tc>
              <w:tc>
                <w:tcPr>
                  <w:tcW w:w="2452"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 xml:space="preserve">  其他资金</w:t>
                  </w:r>
                </w:p>
              </w:tc>
              <w:tc>
                <w:tcPr>
                  <w:tcW w:w="808"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852" w:type="dxa"/>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1133"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685" w:type="dxa"/>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w:t>
                  </w:r>
                </w:p>
              </w:tc>
              <w:tc>
                <w:tcPr>
                  <w:tcW w:w="874" w:type="dxa"/>
                  <w:gridSpan w:val="3"/>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w:t>
                  </w:r>
                </w:p>
              </w:tc>
            </w:tr>
            <w:tr>
              <w:tblPrEx>
                <w:tblLayout w:type="fixed"/>
                <w:tblCellMar>
                  <w:top w:w="0" w:type="dxa"/>
                  <w:left w:w="108" w:type="dxa"/>
                  <w:bottom w:w="0" w:type="dxa"/>
                  <w:right w:w="108" w:type="dxa"/>
                </w:tblCellMar>
              </w:tblPrEx>
              <w:trPr>
                <w:trHeight w:val="285" w:hRule="atLeast"/>
              </w:trPr>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年度总体目标</w:t>
                  </w:r>
                </w:p>
              </w:tc>
              <w:tc>
                <w:tcPr>
                  <w:tcW w:w="5092"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预期目标</w:t>
                  </w:r>
                </w:p>
              </w:tc>
              <w:tc>
                <w:tcPr>
                  <w:tcW w:w="3805" w:type="dxa"/>
                  <w:gridSpan w:val="9"/>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实际完成情况</w:t>
                  </w:r>
                </w:p>
              </w:tc>
            </w:tr>
            <w:tr>
              <w:tblPrEx>
                <w:tblLayout w:type="fixed"/>
                <w:tblCellMar>
                  <w:top w:w="0" w:type="dxa"/>
                  <w:left w:w="108" w:type="dxa"/>
                  <w:bottom w:w="0" w:type="dxa"/>
                  <w:right w:w="108" w:type="dxa"/>
                </w:tblCellMar>
              </w:tblPrEx>
              <w:trPr>
                <w:trHeight w:val="211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b/>
                      <w:bCs/>
                      <w:color w:val="000000"/>
                      <w:kern w:val="0"/>
                      <w:sz w:val="18"/>
                      <w:szCs w:val="18"/>
                    </w:rPr>
                  </w:pPr>
                </w:p>
              </w:tc>
              <w:tc>
                <w:tcPr>
                  <w:tcW w:w="5092" w:type="dxa"/>
                  <w:gridSpan w:val="7"/>
                  <w:tcBorders>
                    <w:top w:val="single" w:color="auto" w:sz="4" w:space="0"/>
                    <w:left w:val="nil"/>
                    <w:bottom w:val="single" w:color="auto" w:sz="4" w:space="0"/>
                    <w:right w:val="single" w:color="000000" w:sz="4" w:space="0"/>
                  </w:tcBorders>
                  <w:shd w:val="clear" w:color="auto" w:fill="auto"/>
                  <w:vAlign w:val="center"/>
                </w:tcPr>
                <w:p>
                  <w:pPr>
                    <w:widowControl/>
                    <w:jc w:val="left"/>
                    <w:rPr>
                      <w:color w:val="000000"/>
                      <w:kern w:val="0"/>
                      <w:sz w:val="18"/>
                      <w:szCs w:val="18"/>
                    </w:rPr>
                  </w:pPr>
                  <w:r>
                    <w:rPr>
                      <w:color w:val="000000"/>
                      <w:kern w:val="0"/>
                      <w:sz w:val="18"/>
                      <w:szCs w:val="18"/>
                    </w:rPr>
                    <w:t>紧密围绕朝阳区“文化、国际化、大尺度绿化”发展，聚焦“四区”建设，坚持“五子联动”，发挥朝阳区发挥人才和智力优势，以夯实朝阳区域国际品质、高端科技创新服务的公共科学交流平台，形成引领一流资源、打造一流平台、开展一流服务，推动朝阳区产业高质量发展和科技创新高地建设。</w:t>
                  </w:r>
                </w:p>
              </w:tc>
              <w:tc>
                <w:tcPr>
                  <w:tcW w:w="3805" w:type="dxa"/>
                  <w:gridSpan w:val="9"/>
                  <w:tcBorders>
                    <w:top w:val="single" w:color="auto" w:sz="4" w:space="0"/>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围绕朝阳区1234发展战略，聚焦3+X区域发展方向和重点产业，实施科学家会客厅品牌项目，举办学术交流、圆桌论坛、科学峰会、技术研讨、项目路演等6场活动，吸引了52名科学家，12万名观众进行线上线下联动交流，总结沉淀专家学者碰撞出的真知灼见，形成《数字经济人才赋能朝阳创新发展的研究及建议》，为区委区政府科学决策提供参考咨询，赋能赋智朝阳区高质量发展。</w:t>
                  </w:r>
                </w:p>
              </w:tc>
            </w:tr>
            <w:tr>
              <w:tblPrEx>
                <w:tblLayout w:type="fixed"/>
                <w:tblCellMar>
                  <w:top w:w="0" w:type="dxa"/>
                  <w:left w:w="108" w:type="dxa"/>
                  <w:bottom w:w="0" w:type="dxa"/>
                  <w:right w:w="108" w:type="dxa"/>
                </w:tblCellMar>
              </w:tblPrEx>
              <w:trPr>
                <w:trHeight w:val="870" w:hRule="atLeast"/>
              </w:trPr>
              <w:tc>
                <w:tcPr>
                  <w:tcW w:w="456" w:type="dxa"/>
                  <w:vMerge w:val="restart"/>
                  <w:tcBorders>
                    <w:top w:val="nil"/>
                    <w:left w:val="single" w:color="auto" w:sz="4" w:space="0"/>
                    <w:bottom w:val="nil"/>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绩</w:t>
                  </w:r>
                  <w:r>
                    <w:rPr>
                      <w:b/>
                      <w:bCs/>
                      <w:color w:val="000000"/>
                      <w:kern w:val="0"/>
                      <w:sz w:val="18"/>
                      <w:szCs w:val="18"/>
                    </w:rPr>
                    <w:br w:type="textWrapping"/>
                  </w:r>
                  <w:r>
                    <w:rPr>
                      <w:b/>
                      <w:bCs/>
                      <w:color w:val="000000"/>
                      <w:kern w:val="0"/>
                      <w:sz w:val="18"/>
                      <w:szCs w:val="18"/>
                    </w:rPr>
                    <w:t>效</w:t>
                  </w:r>
                  <w:r>
                    <w:rPr>
                      <w:b/>
                      <w:bCs/>
                      <w:color w:val="000000"/>
                      <w:kern w:val="0"/>
                      <w:sz w:val="18"/>
                      <w:szCs w:val="18"/>
                    </w:rPr>
                    <w:br w:type="textWrapping"/>
                  </w:r>
                  <w:r>
                    <w:rPr>
                      <w:b/>
                      <w:bCs/>
                      <w:color w:val="000000"/>
                      <w:kern w:val="0"/>
                      <w:sz w:val="18"/>
                      <w:szCs w:val="18"/>
                    </w:rPr>
                    <w:t>指</w:t>
                  </w:r>
                  <w:r>
                    <w:rPr>
                      <w:b/>
                      <w:bCs/>
                      <w:color w:val="000000"/>
                      <w:kern w:val="0"/>
                      <w:sz w:val="18"/>
                      <w:szCs w:val="18"/>
                    </w:rPr>
                    <w:br w:type="textWrapping"/>
                  </w:r>
                  <w:r>
                    <w:rPr>
                      <w:b/>
                      <w:bCs/>
                      <w:color w:val="000000"/>
                      <w:kern w:val="0"/>
                      <w:sz w:val="18"/>
                      <w:szCs w:val="18"/>
                    </w:rPr>
                    <w:t>标</w:t>
                  </w:r>
                </w:p>
              </w:tc>
              <w:tc>
                <w:tcPr>
                  <w:tcW w:w="959" w:type="dxa"/>
                  <w:tcBorders>
                    <w:top w:val="nil"/>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一级指标</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二级指标</w:t>
                  </w:r>
                </w:p>
              </w:tc>
              <w:tc>
                <w:tcPr>
                  <w:tcW w:w="19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三级指标</w:t>
                  </w:r>
                </w:p>
              </w:tc>
              <w:tc>
                <w:tcPr>
                  <w:tcW w:w="1035" w:type="dxa"/>
                  <w:gridSpan w:val="2"/>
                  <w:tcBorders>
                    <w:top w:val="nil"/>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年度</w:t>
                  </w:r>
                  <w:r>
                    <w:rPr>
                      <w:b/>
                      <w:bCs/>
                      <w:color w:val="000000"/>
                      <w:kern w:val="0"/>
                      <w:sz w:val="18"/>
                      <w:szCs w:val="18"/>
                    </w:rPr>
                    <w:br w:type="textWrapping"/>
                  </w:r>
                  <w:r>
                    <w:rPr>
                      <w:b/>
                      <w:bCs/>
                      <w:color w:val="000000"/>
                      <w:kern w:val="0"/>
                      <w:sz w:val="18"/>
                      <w:szCs w:val="18"/>
                    </w:rPr>
                    <w:t>指标值</w:t>
                  </w:r>
                </w:p>
              </w:tc>
              <w:tc>
                <w:tcPr>
                  <w:tcW w:w="1059" w:type="dxa"/>
                  <w:gridSpan w:val="2"/>
                  <w:tcBorders>
                    <w:top w:val="nil"/>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实际</w:t>
                  </w:r>
                  <w:r>
                    <w:rPr>
                      <w:b/>
                      <w:bCs/>
                      <w:color w:val="000000"/>
                      <w:kern w:val="0"/>
                      <w:sz w:val="18"/>
                      <w:szCs w:val="18"/>
                    </w:rPr>
                    <w:br w:type="textWrapping"/>
                  </w:r>
                  <w:r>
                    <w:rPr>
                      <w:b/>
                      <w:bCs/>
                      <w:color w:val="000000"/>
                      <w:kern w:val="0"/>
                      <w:sz w:val="18"/>
                      <w:szCs w:val="18"/>
                    </w:rPr>
                    <w:t>完成值</w:t>
                  </w:r>
                </w:p>
              </w:tc>
              <w:tc>
                <w:tcPr>
                  <w:tcW w:w="77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分值</w:t>
                  </w:r>
                </w:p>
              </w:tc>
              <w:tc>
                <w:tcPr>
                  <w:tcW w:w="863" w:type="dxa"/>
                  <w:gridSpan w:val="2"/>
                  <w:tcBorders>
                    <w:top w:val="nil"/>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得分</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偏差原因</w:t>
                  </w:r>
                </w:p>
                <w:p>
                  <w:pPr>
                    <w:widowControl/>
                    <w:jc w:val="center"/>
                    <w:rPr>
                      <w:b/>
                      <w:bCs/>
                      <w:color w:val="000000"/>
                      <w:kern w:val="0"/>
                      <w:sz w:val="18"/>
                      <w:szCs w:val="18"/>
                    </w:rPr>
                  </w:pPr>
                  <w:r>
                    <w:rPr>
                      <w:b/>
                      <w:bCs/>
                      <w:color w:val="000000"/>
                      <w:kern w:val="0"/>
                      <w:sz w:val="18"/>
                      <w:szCs w:val="18"/>
                    </w:rPr>
                    <w:t>分析及改进措施</w:t>
                  </w:r>
                </w:p>
              </w:tc>
            </w:tr>
            <w:tr>
              <w:tblPrEx>
                <w:tblLayout w:type="fixed"/>
                <w:tblCellMar>
                  <w:top w:w="0" w:type="dxa"/>
                  <w:left w:w="108" w:type="dxa"/>
                  <w:bottom w:w="0" w:type="dxa"/>
                  <w:right w:w="108" w:type="dxa"/>
                </w:tblCellMar>
              </w:tblPrEx>
              <w:trPr>
                <w:trHeight w:val="465" w:hRule="atLeast"/>
              </w:trPr>
              <w:tc>
                <w:tcPr>
                  <w:tcW w:w="456" w:type="dxa"/>
                  <w:vMerge w:val="continue"/>
                  <w:tcBorders>
                    <w:top w:val="nil"/>
                    <w:left w:val="single" w:color="auto" w:sz="4" w:space="0"/>
                    <w:bottom w:val="nil"/>
                    <w:right w:val="single" w:color="auto" w:sz="4" w:space="0"/>
                  </w:tcBorders>
                  <w:vAlign w:val="center"/>
                </w:tcPr>
                <w:p>
                  <w:pPr>
                    <w:widowControl/>
                    <w:jc w:val="left"/>
                    <w:rPr>
                      <w:b/>
                      <w:bCs/>
                      <w:color w:val="000000"/>
                      <w:kern w:val="0"/>
                      <w:sz w:val="18"/>
                      <w:szCs w:val="18"/>
                    </w:rPr>
                  </w:pPr>
                </w:p>
              </w:tc>
              <w:tc>
                <w:tcPr>
                  <w:tcW w:w="959"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产出指标</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数量指标</w:t>
                  </w:r>
                </w:p>
              </w:tc>
              <w:tc>
                <w:tcPr>
                  <w:tcW w:w="19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活动场次</w:t>
                  </w:r>
                </w:p>
              </w:tc>
              <w:tc>
                <w:tcPr>
                  <w:tcW w:w="1035"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6场次</w:t>
                  </w:r>
                </w:p>
              </w:tc>
              <w:tc>
                <w:tcPr>
                  <w:tcW w:w="1059"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6场次</w:t>
                  </w:r>
                </w:p>
              </w:tc>
              <w:tc>
                <w:tcPr>
                  <w:tcW w:w="77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20</w:t>
                  </w:r>
                </w:p>
              </w:tc>
              <w:tc>
                <w:tcPr>
                  <w:tcW w:w="863"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20</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Layout w:type="fixed"/>
                <w:tblCellMar>
                  <w:top w:w="0" w:type="dxa"/>
                  <w:left w:w="108" w:type="dxa"/>
                  <w:bottom w:w="0" w:type="dxa"/>
                  <w:right w:w="108" w:type="dxa"/>
                </w:tblCellMar>
              </w:tblPrEx>
              <w:trPr>
                <w:trHeight w:val="465" w:hRule="atLeast"/>
              </w:trPr>
              <w:tc>
                <w:tcPr>
                  <w:tcW w:w="456" w:type="dxa"/>
                  <w:vMerge w:val="continue"/>
                  <w:tcBorders>
                    <w:top w:val="nil"/>
                    <w:left w:val="single" w:color="auto" w:sz="4" w:space="0"/>
                    <w:bottom w:val="nil"/>
                    <w:right w:val="single" w:color="auto" w:sz="4" w:space="0"/>
                  </w:tcBorders>
                  <w:vAlign w:val="center"/>
                </w:tcPr>
                <w:p>
                  <w:pPr>
                    <w:widowControl/>
                    <w:jc w:val="left"/>
                    <w:rPr>
                      <w:b/>
                      <w:bCs/>
                      <w:color w:val="000000"/>
                      <w:kern w:val="0"/>
                      <w:sz w:val="18"/>
                      <w:szCs w:val="18"/>
                    </w:rPr>
                  </w:pPr>
                </w:p>
              </w:tc>
              <w:tc>
                <w:tcPr>
                  <w:tcW w:w="959" w:type="dxa"/>
                  <w:vMerge w:val="continue"/>
                  <w:tcBorders>
                    <w:top w:val="nil"/>
                    <w:left w:val="single" w:color="auto" w:sz="4" w:space="0"/>
                    <w:bottom w:val="single" w:color="auto" w:sz="4" w:space="0"/>
                    <w:right w:val="single" w:color="auto" w:sz="4" w:space="0"/>
                  </w:tcBorders>
                  <w:vAlign w:val="center"/>
                </w:tcPr>
                <w:p>
                  <w:pPr>
                    <w:widowControl/>
                    <w:jc w:val="left"/>
                    <w:rPr>
                      <w:b/>
                      <w:bCs/>
                      <w:color w:val="000000"/>
                      <w:kern w:val="0"/>
                      <w:sz w:val="18"/>
                      <w:szCs w:val="18"/>
                    </w:rPr>
                  </w:pPr>
                </w:p>
              </w:tc>
              <w:tc>
                <w:tcPr>
                  <w:tcW w:w="1133" w:type="dxa"/>
                  <w:tcBorders>
                    <w:top w:val="nil"/>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质量指标</w:t>
                  </w:r>
                </w:p>
              </w:tc>
              <w:tc>
                <w:tcPr>
                  <w:tcW w:w="19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项目达到预期效果</w:t>
                  </w:r>
                </w:p>
              </w:tc>
              <w:tc>
                <w:tcPr>
                  <w:tcW w:w="1035"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好</w:t>
                  </w:r>
                </w:p>
              </w:tc>
              <w:tc>
                <w:tcPr>
                  <w:tcW w:w="1059"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好</w:t>
                  </w:r>
                </w:p>
              </w:tc>
              <w:tc>
                <w:tcPr>
                  <w:tcW w:w="77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w:t>
                  </w:r>
                </w:p>
              </w:tc>
              <w:tc>
                <w:tcPr>
                  <w:tcW w:w="863"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Layout w:type="fixed"/>
                <w:tblCellMar>
                  <w:top w:w="0" w:type="dxa"/>
                  <w:left w:w="108" w:type="dxa"/>
                  <w:bottom w:w="0" w:type="dxa"/>
                  <w:right w:w="108" w:type="dxa"/>
                </w:tblCellMar>
              </w:tblPrEx>
              <w:trPr>
                <w:trHeight w:val="465" w:hRule="atLeast"/>
              </w:trPr>
              <w:tc>
                <w:tcPr>
                  <w:tcW w:w="456" w:type="dxa"/>
                  <w:vMerge w:val="continue"/>
                  <w:tcBorders>
                    <w:top w:val="nil"/>
                    <w:left w:val="single" w:color="auto" w:sz="4" w:space="0"/>
                    <w:bottom w:val="nil"/>
                    <w:right w:val="single" w:color="auto" w:sz="4" w:space="0"/>
                  </w:tcBorders>
                  <w:vAlign w:val="center"/>
                </w:tcPr>
                <w:p>
                  <w:pPr>
                    <w:widowControl/>
                    <w:jc w:val="left"/>
                    <w:rPr>
                      <w:b/>
                      <w:bCs/>
                      <w:color w:val="000000"/>
                      <w:kern w:val="0"/>
                      <w:sz w:val="18"/>
                      <w:szCs w:val="18"/>
                    </w:rPr>
                  </w:pPr>
                </w:p>
              </w:tc>
              <w:tc>
                <w:tcPr>
                  <w:tcW w:w="959" w:type="dxa"/>
                  <w:vMerge w:val="continue"/>
                  <w:tcBorders>
                    <w:top w:val="nil"/>
                    <w:left w:val="single" w:color="auto" w:sz="4" w:space="0"/>
                    <w:bottom w:val="single" w:color="auto" w:sz="4" w:space="0"/>
                    <w:right w:val="single" w:color="auto" w:sz="4" w:space="0"/>
                  </w:tcBorders>
                  <w:vAlign w:val="center"/>
                </w:tcPr>
                <w:p>
                  <w:pPr>
                    <w:widowControl/>
                    <w:jc w:val="left"/>
                    <w:rPr>
                      <w:b/>
                      <w:bCs/>
                      <w:color w:val="000000"/>
                      <w:kern w:val="0"/>
                      <w:sz w:val="18"/>
                      <w:szCs w:val="18"/>
                    </w:rPr>
                  </w:pPr>
                </w:p>
              </w:tc>
              <w:tc>
                <w:tcPr>
                  <w:tcW w:w="1133" w:type="dxa"/>
                  <w:tcBorders>
                    <w:top w:val="nil"/>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时效指标</w:t>
                  </w:r>
                </w:p>
              </w:tc>
              <w:tc>
                <w:tcPr>
                  <w:tcW w:w="19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项目执行期完成</w:t>
                  </w:r>
                </w:p>
              </w:tc>
              <w:tc>
                <w:tcPr>
                  <w:tcW w:w="1035"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w:t>
                  </w:r>
                </w:p>
              </w:tc>
              <w:tc>
                <w:tcPr>
                  <w:tcW w:w="1059"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w:t>
                  </w:r>
                </w:p>
              </w:tc>
              <w:tc>
                <w:tcPr>
                  <w:tcW w:w="77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w:t>
                  </w:r>
                </w:p>
              </w:tc>
              <w:tc>
                <w:tcPr>
                  <w:tcW w:w="863"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Layout w:type="fixed"/>
                <w:tblCellMar>
                  <w:top w:w="0" w:type="dxa"/>
                  <w:left w:w="108" w:type="dxa"/>
                  <w:bottom w:w="0" w:type="dxa"/>
                  <w:right w:w="108" w:type="dxa"/>
                </w:tblCellMar>
              </w:tblPrEx>
              <w:trPr>
                <w:trHeight w:val="600" w:hRule="atLeast"/>
              </w:trPr>
              <w:tc>
                <w:tcPr>
                  <w:tcW w:w="456" w:type="dxa"/>
                  <w:vMerge w:val="continue"/>
                  <w:tcBorders>
                    <w:top w:val="nil"/>
                    <w:left w:val="single" w:color="auto" w:sz="4" w:space="0"/>
                    <w:bottom w:val="nil"/>
                    <w:right w:val="single" w:color="auto" w:sz="4" w:space="0"/>
                  </w:tcBorders>
                  <w:vAlign w:val="center"/>
                </w:tcPr>
                <w:p>
                  <w:pPr>
                    <w:widowControl/>
                    <w:jc w:val="left"/>
                    <w:rPr>
                      <w:b/>
                      <w:bCs/>
                      <w:color w:val="000000"/>
                      <w:kern w:val="0"/>
                      <w:sz w:val="18"/>
                      <w:szCs w:val="18"/>
                    </w:rPr>
                  </w:pPr>
                </w:p>
              </w:tc>
              <w:tc>
                <w:tcPr>
                  <w:tcW w:w="959" w:type="dxa"/>
                  <w:tcBorders>
                    <w:top w:val="nil"/>
                    <w:left w:val="nil"/>
                    <w:bottom w:val="nil"/>
                    <w:right w:val="single" w:color="auto" w:sz="4" w:space="0"/>
                  </w:tcBorders>
                  <w:shd w:val="clear" w:color="auto" w:fill="auto"/>
                  <w:vAlign w:val="center"/>
                </w:tcPr>
                <w:p>
                  <w:pPr>
                    <w:widowControl/>
                    <w:jc w:val="center"/>
                    <w:rPr>
                      <w:b/>
                      <w:bCs/>
                      <w:kern w:val="0"/>
                      <w:sz w:val="18"/>
                      <w:szCs w:val="18"/>
                    </w:rPr>
                  </w:pPr>
                  <w:r>
                    <w:rPr>
                      <w:b/>
                      <w:bCs/>
                      <w:kern w:val="0"/>
                      <w:sz w:val="18"/>
                      <w:szCs w:val="18"/>
                    </w:rPr>
                    <w:t>成本指标</w:t>
                  </w:r>
                </w:p>
              </w:tc>
              <w:tc>
                <w:tcPr>
                  <w:tcW w:w="1133" w:type="dxa"/>
                  <w:tcBorders>
                    <w:top w:val="nil"/>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经济成本</w:t>
                  </w:r>
                </w:p>
                <w:p>
                  <w:pPr>
                    <w:widowControl/>
                    <w:jc w:val="center"/>
                    <w:rPr>
                      <w:b/>
                      <w:bCs/>
                      <w:color w:val="000000"/>
                      <w:kern w:val="0"/>
                      <w:sz w:val="18"/>
                      <w:szCs w:val="18"/>
                    </w:rPr>
                  </w:pPr>
                  <w:r>
                    <w:rPr>
                      <w:b/>
                      <w:bCs/>
                      <w:color w:val="000000"/>
                      <w:kern w:val="0"/>
                      <w:sz w:val="18"/>
                      <w:szCs w:val="18"/>
                    </w:rPr>
                    <w:t>指标</w:t>
                  </w:r>
                </w:p>
              </w:tc>
              <w:tc>
                <w:tcPr>
                  <w:tcW w:w="19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预算控制数</w:t>
                  </w:r>
                </w:p>
              </w:tc>
              <w:tc>
                <w:tcPr>
                  <w:tcW w:w="1035"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50万元</w:t>
                  </w:r>
                </w:p>
              </w:tc>
              <w:tc>
                <w:tcPr>
                  <w:tcW w:w="1059"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50万元</w:t>
                  </w:r>
                </w:p>
              </w:tc>
              <w:tc>
                <w:tcPr>
                  <w:tcW w:w="77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w:t>
                  </w:r>
                </w:p>
              </w:tc>
              <w:tc>
                <w:tcPr>
                  <w:tcW w:w="863"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Layout w:type="fixed"/>
                <w:tblCellMar>
                  <w:top w:w="0" w:type="dxa"/>
                  <w:left w:w="108" w:type="dxa"/>
                  <w:bottom w:w="0" w:type="dxa"/>
                  <w:right w:w="108" w:type="dxa"/>
                </w:tblCellMar>
              </w:tblPrEx>
              <w:trPr>
                <w:trHeight w:val="705" w:hRule="atLeast"/>
              </w:trPr>
              <w:tc>
                <w:tcPr>
                  <w:tcW w:w="456" w:type="dxa"/>
                  <w:vMerge w:val="continue"/>
                  <w:tcBorders>
                    <w:top w:val="nil"/>
                    <w:left w:val="single" w:color="auto" w:sz="4" w:space="0"/>
                    <w:bottom w:val="nil"/>
                    <w:right w:val="single" w:color="auto" w:sz="4" w:space="0"/>
                  </w:tcBorders>
                  <w:vAlign w:val="center"/>
                </w:tcPr>
                <w:p>
                  <w:pPr>
                    <w:widowControl/>
                    <w:jc w:val="left"/>
                    <w:rPr>
                      <w:b/>
                      <w:bCs/>
                      <w:color w:val="000000"/>
                      <w:kern w:val="0"/>
                      <w:sz w:val="18"/>
                      <w:szCs w:val="18"/>
                    </w:rPr>
                  </w:pPr>
                </w:p>
              </w:tc>
              <w:tc>
                <w:tcPr>
                  <w:tcW w:w="959" w:type="dxa"/>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效益指标</w:t>
                  </w:r>
                </w:p>
              </w:tc>
              <w:tc>
                <w:tcPr>
                  <w:tcW w:w="1133" w:type="dxa"/>
                  <w:tcBorders>
                    <w:top w:val="nil"/>
                    <w:left w:val="nil"/>
                    <w:bottom w:val="nil"/>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社会效益</w:t>
                  </w:r>
                </w:p>
                <w:p>
                  <w:pPr>
                    <w:widowControl/>
                    <w:jc w:val="center"/>
                    <w:rPr>
                      <w:b/>
                      <w:bCs/>
                      <w:color w:val="000000"/>
                      <w:kern w:val="0"/>
                      <w:sz w:val="18"/>
                      <w:szCs w:val="18"/>
                    </w:rPr>
                  </w:pPr>
                  <w:r>
                    <w:rPr>
                      <w:b/>
                      <w:bCs/>
                      <w:color w:val="000000"/>
                      <w:kern w:val="0"/>
                      <w:sz w:val="18"/>
                      <w:szCs w:val="18"/>
                    </w:rPr>
                    <w:t>指标</w:t>
                  </w:r>
                </w:p>
              </w:tc>
              <w:tc>
                <w:tcPr>
                  <w:tcW w:w="19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color w:val="000000"/>
                      <w:kern w:val="0"/>
                      <w:sz w:val="18"/>
                      <w:szCs w:val="18"/>
                    </w:rPr>
                  </w:pPr>
                  <w:r>
                    <w:rPr>
                      <w:color w:val="000000"/>
                      <w:kern w:val="0"/>
                      <w:sz w:val="18"/>
                      <w:szCs w:val="18"/>
                    </w:rPr>
                    <w:t>数据库</w:t>
                  </w:r>
                </w:p>
              </w:tc>
              <w:tc>
                <w:tcPr>
                  <w:tcW w:w="1035"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3个</w:t>
                  </w:r>
                </w:p>
              </w:tc>
              <w:tc>
                <w:tcPr>
                  <w:tcW w:w="1059"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3个</w:t>
                  </w:r>
                </w:p>
              </w:tc>
              <w:tc>
                <w:tcPr>
                  <w:tcW w:w="77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30</w:t>
                  </w:r>
                </w:p>
              </w:tc>
              <w:tc>
                <w:tcPr>
                  <w:tcW w:w="863"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30</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Layout w:type="fixed"/>
                <w:tblCellMar>
                  <w:top w:w="0" w:type="dxa"/>
                  <w:left w:w="108" w:type="dxa"/>
                  <w:bottom w:w="0" w:type="dxa"/>
                  <w:right w:w="108" w:type="dxa"/>
                </w:tblCellMar>
              </w:tblPrEx>
              <w:trPr>
                <w:trHeight w:val="840" w:hRule="atLeast"/>
              </w:trPr>
              <w:tc>
                <w:tcPr>
                  <w:tcW w:w="456" w:type="dxa"/>
                  <w:vMerge w:val="continue"/>
                  <w:tcBorders>
                    <w:top w:val="nil"/>
                    <w:left w:val="single" w:color="auto" w:sz="4" w:space="0"/>
                    <w:bottom w:val="nil"/>
                    <w:right w:val="single" w:color="auto" w:sz="4" w:space="0"/>
                  </w:tcBorders>
                  <w:vAlign w:val="center"/>
                </w:tcPr>
                <w:p>
                  <w:pPr>
                    <w:widowControl/>
                    <w:jc w:val="left"/>
                    <w:rPr>
                      <w:b/>
                      <w:bCs/>
                      <w:color w:val="000000"/>
                      <w:kern w:val="0"/>
                      <w:sz w:val="18"/>
                      <w:szCs w:val="18"/>
                    </w:rPr>
                  </w:pPr>
                </w:p>
              </w:tc>
              <w:tc>
                <w:tcPr>
                  <w:tcW w:w="959" w:type="dxa"/>
                  <w:tcBorders>
                    <w:top w:val="nil"/>
                    <w:left w:val="nil"/>
                    <w:bottom w:val="nil"/>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满意度</w:t>
                  </w:r>
                  <w:r>
                    <w:rPr>
                      <w:b/>
                      <w:bCs/>
                      <w:color w:val="000000"/>
                      <w:kern w:val="0"/>
                      <w:sz w:val="18"/>
                      <w:szCs w:val="18"/>
                    </w:rPr>
                    <w:br w:type="textWrapping"/>
                  </w:r>
                  <w:r>
                    <w:rPr>
                      <w:b/>
                      <w:bCs/>
                      <w:color w:val="000000"/>
                      <w:kern w:val="0"/>
                      <w:sz w:val="18"/>
                      <w:szCs w:val="18"/>
                    </w:rPr>
                    <w:t>指标</w:t>
                  </w:r>
                </w:p>
              </w:tc>
              <w:tc>
                <w:tcPr>
                  <w:tcW w:w="1133" w:type="dxa"/>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服务对象满意度指标</w:t>
                  </w:r>
                </w:p>
              </w:tc>
              <w:tc>
                <w:tcPr>
                  <w:tcW w:w="1944"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b/>
                      <w:bCs/>
                      <w:color w:val="000000"/>
                      <w:kern w:val="0"/>
                      <w:sz w:val="18"/>
                      <w:szCs w:val="18"/>
                    </w:rPr>
                  </w:pPr>
                  <w:r>
                    <w:rPr>
                      <w:b/>
                      <w:bCs/>
                      <w:color w:val="000000"/>
                      <w:kern w:val="0"/>
                      <w:sz w:val="18"/>
                      <w:szCs w:val="18"/>
                    </w:rPr>
                    <w:t>指标1</w:t>
                  </w:r>
                  <w:r>
                    <w:rPr>
                      <w:color w:val="000000"/>
                      <w:kern w:val="0"/>
                      <w:sz w:val="18"/>
                      <w:szCs w:val="18"/>
                    </w:rPr>
                    <w:t>：科技人才满意度</w:t>
                  </w:r>
                </w:p>
              </w:tc>
              <w:tc>
                <w:tcPr>
                  <w:tcW w:w="1035"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95%</w:t>
                  </w:r>
                </w:p>
              </w:tc>
              <w:tc>
                <w:tcPr>
                  <w:tcW w:w="1059"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w:t>
                  </w:r>
                </w:p>
              </w:tc>
              <w:tc>
                <w:tcPr>
                  <w:tcW w:w="77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w:t>
                  </w:r>
                </w:p>
              </w:tc>
              <w:tc>
                <w:tcPr>
                  <w:tcW w:w="863"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w:t>
                  </w:r>
                </w:p>
              </w:tc>
              <w:tc>
                <w:tcPr>
                  <w:tcW w:w="1134"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　</w:t>
                  </w:r>
                </w:p>
              </w:tc>
            </w:tr>
            <w:tr>
              <w:tblPrEx>
                <w:tblLayout w:type="fixed"/>
                <w:tblCellMar>
                  <w:top w:w="0" w:type="dxa"/>
                  <w:left w:w="108" w:type="dxa"/>
                  <w:bottom w:w="0" w:type="dxa"/>
                  <w:right w:w="108" w:type="dxa"/>
                </w:tblCellMar>
              </w:tblPrEx>
              <w:trPr>
                <w:trHeight w:val="495" w:hRule="atLeast"/>
              </w:trPr>
              <w:tc>
                <w:tcPr>
                  <w:tcW w:w="6624" w:type="dxa"/>
                  <w:gridSpan w:val="10"/>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总分</w:t>
                  </w:r>
                </w:p>
              </w:tc>
              <w:tc>
                <w:tcPr>
                  <w:tcW w:w="742"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b/>
                      <w:bCs/>
                      <w:color w:val="000000"/>
                      <w:kern w:val="0"/>
                      <w:sz w:val="18"/>
                      <w:szCs w:val="18"/>
                    </w:rPr>
                  </w:pPr>
                  <w:r>
                    <w:rPr>
                      <w:b/>
                      <w:bCs/>
                      <w:color w:val="000000"/>
                      <w:kern w:val="0"/>
                      <w:sz w:val="18"/>
                      <w:szCs w:val="18"/>
                    </w:rPr>
                    <w:t>100</w:t>
                  </w:r>
                </w:p>
              </w:tc>
              <w:tc>
                <w:tcPr>
                  <w:tcW w:w="863" w:type="dxa"/>
                  <w:gridSpan w:val="2"/>
                  <w:tcBorders>
                    <w:top w:val="nil"/>
                    <w:left w:val="nil"/>
                    <w:bottom w:val="single" w:color="auto" w:sz="4" w:space="0"/>
                    <w:right w:val="single" w:color="auto" w:sz="4" w:space="0"/>
                  </w:tcBorders>
                  <w:shd w:val="clear" w:color="auto" w:fill="auto"/>
                  <w:vAlign w:val="center"/>
                </w:tcPr>
                <w:p>
                  <w:pPr>
                    <w:widowControl/>
                    <w:jc w:val="center"/>
                    <w:rPr>
                      <w:color w:val="000000"/>
                      <w:kern w:val="0"/>
                      <w:sz w:val="18"/>
                      <w:szCs w:val="18"/>
                    </w:rPr>
                  </w:pPr>
                  <w:r>
                    <w:rPr>
                      <w:color w:val="000000"/>
                      <w:kern w:val="0"/>
                      <w:sz w:val="18"/>
                      <w:szCs w:val="18"/>
                    </w:rPr>
                    <w:t>100</w:t>
                  </w:r>
                </w:p>
              </w:tc>
              <w:tc>
                <w:tcPr>
                  <w:tcW w:w="1124" w:type="dxa"/>
                  <w:tcBorders>
                    <w:top w:val="nil"/>
                    <w:left w:val="nil"/>
                    <w:bottom w:val="single" w:color="auto" w:sz="4" w:space="0"/>
                    <w:right w:val="single" w:color="auto" w:sz="4" w:space="0"/>
                  </w:tcBorders>
                  <w:shd w:val="clear" w:color="auto" w:fill="auto"/>
                  <w:vAlign w:val="center"/>
                </w:tcPr>
                <w:p>
                  <w:pPr>
                    <w:widowControl/>
                    <w:jc w:val="left"/>
                    <w:rPr>
                      <w:color w:val="000000"/>
                      <w:kern w:val="0"/>
                      <w:sz w:val="22"/>
                      <w:szCs w:val="22"/>
                    </w:rPr>
                  </w:pPr>
                  <w:r>
                    <w:rPr>
                      <w:color w:val="000000"/>
                      <w:kern w:val="0"/>
                      <w:sz w:val="22"/>
                      <w:szCs w:val="22"/>
                    </w:rPr>
                    <w:t>　</w:t>
                  </w:r>
                </w:p>
              </w:tc>
            </w:tr>
          </w:tbl>
          <w:p>
            <w:pPr>
              <w:widowControl/>
              <w:jc w:val="center"/>
              <w:rPr>
                <w:kern w:val="0"/>
                <w:sz w:val="22"/>
              </w:rPr>
            </w:pPr>
          </w:p>
          <w:p>
            <w:pPr>
              <w:widowControl/>
              <w:jc w:val="center"/>
              <w:rPr>
                <w:kern w:val="0"/>
                <w:sz w:val="22"/>
              </w:rPr>
            </w:pPr>
          </w:p>
        </w:tc>
      </w:tr>
    </w:tbl>
    <w:p>
      <w:pPr>
        <w:rPr>
          <w:rFonts w:eastAsiaTheme="majorEastAsia"/>
          <w:sz w:val="24"/>
          <w:szCs w:val="24"/>
        </w:rPr>
      </w:pPr>
    </w:p>
    <w:p>
      <w:pPr>
        <w:rPr>
          <w:rFonts w:eastAsiaTheme="majorEastAsia"/>
          <w:sz w:val="24"/>
          <w:szCs w:val="24"/>
        </w:rPr>
      </w:pPr>
      <w:r>
        <w:rPr>
          <w:rFonts w:eastAsiaTheme="majorEastAsia"/>
          <w:sz w:val="24"/>
          <w:szCs w:val="24"/>
        </w:rPr>
        <w:t>附件</w:t>
      </w:r>
      <w:r>
        <w:rPr>
          <w:rFonts w:hint="eastAsia" w:eastAsiaTheme="majorEastAsia"/>
          <w:sz w:val="24"/>
          <w:szCs w:val="24"/>
        </w:rPr>
        <w:t>2：</w:t>
      </w:r>
    </w:p>
    <w:p>
      <w:pPr>
        <w:spacing w:line="360" w:lineRule="auto"/>
        <w:jc w:val="center"/>
        <w:rPr>
          <w:b/>
          <w:sz w:val="36"/>
          <w:szCs w:val="36"/>
        </w:rPr>
      </w:pPr>
    </w:p>
    <w:p>
      <w:pPr>
        <w:spacing w:line="360" w:lineRule="auto"/>
        <w:jc w:val="center"/>
        <w:rPr>
          <w:b/>
          <w:sz w:val="36"/>
          <w:szCs w:val="36"/>
        </w:rPr>
      </w:pPr>
    </w:p>
    <w:p>
      <w:pPr>
        <w:spacing w:line="360" w:lineRule="auto"/>
        <w:jc w:val="center"/>
        <w:rPr>
          <w:b/>
          <w:sz w:val="36"/>
          <w:szCs w:val="36"/>
        </w:rPr>
      </w:pPr>
      <w:r>
        <w:rPr>
          <w:b/>
          <w:sz w:val="36"/>
          <w:szCs w:val="36"/>
        </w:rPr>
        <w:t>专家</w:t>
      </w:r>
      <w:r>
        <w:rPr>
          <w:rFonts w:hint="eastAsia"/>
          <w:b/>
          <w:sz w:val="36"/>
          <w:szCs w:val="36"/>
        </w:rPr>
        <w:t>及评价工作组情况表</w:t>
      </w:r>
    </w:p>
    <w:p>
      <w:pPr>
        <w:spacing w:line="360" w:lineRule="auto"/>
        <w:jc w:val="center"/>
        <w:rPr>
          <w:b/>
          <w:sz w:val="36"/>
          <w:szCs w:val="36"/>
        </w:rPr>
      </w:pPr>
    </w:p>
    <w:p>
      <w:pPr>
        <w:adjustRightInd w:val="0"/>
        <w:snapToGrid w:val="0"/>
        <w:spacing w:before="156" w:beforeLines="50" w:line="360" w:lineRule="auto"/>
        <w:jc w:val="left"/>
        <w:rPr>
          <w:sz w:val="28"/>
          <w:szCs w:val="28"/>
        </w:rPr>
      </w:pPr>
      <w:r>
        <w:rPr>
          <w:sz w:val="28"/>
          <w:szCs w:val="28"/>
        </w:rPr>
        <w:t>项目名称： 2023年北京朝阳科学家会客厅活动</w:t>
      </w:r>
    </w:p>
    <w:tbl>
      <w:tblPr>
        <w:tblStyle w:val="29"/>
        <w:tblW w:w="92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3251"/>
        <w:gridCol w:w="2160"/>
        <w:gridCol w:w="1397"/>
        <w:gridCol w:w="1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atLeast"/>
        </w:trPr>
        <w:tc>
          <w:tcPr>
            <w:tcW w:w="1040" w:type="dxa"/>
            <w:vAlign w:val="center"/>
          </w:tcPr>
          <w:p>
            <w:pPr>
              <w:jc w:val="center"/>
              <w:rPr>
                <w:b/>
                <w:sz w:val="20"/>
              </w:rPr>
            </w:pPr>
            <w:r>
              <w:rPr>
                <w:b/>
                <w:sz w:val="20"/>
              </w:rPr>
              <w:t>姓名</w:t>
            </w:r>
          </w:p>
        </w:tc>
        <w:tc>
          <w:tcPr>
            <w:tcW w:w="3251" w:type="dxa"/>
            <w:vAlign w:val="center"/>
          </w:tcPr>
          <w:p>
            <w:pPr>
              <w:jc w:val="center"/>
              <w:rPr>
                <w:b/>
                <w:sz w:val="20"/>
              </w:rPr>
            </w:pPr>
            <w:r>
              <w:rPr>
                <w:b/>
                <w:sz w:val="20"/>
              </w:rPr>
              <w:t>工作单位</w:t>
            </w:r>
          </w:p>
        </w:tc>
        <w:tc>
          <w:tcPr>
            <w:tcW w:w="2160" w:type="dxa"/>
            <w:vAlign w:val="center"/>
          </w:tcPr>
          <w:p>
            <w:pPr>
              <w:jc w:val="center"/>
              <w:rPr>
                <w:b/>
                <w:sz w:val="20"/>
              </w:rPr>
            </w:pPr>
            <w:r>
              <w:rPr>
                <w:b/>
                <w:sz w:val="20"/>
              </w:rPr>
              <w:t>职称</w:t>
            </w:r>
          </w:p>
        </w:tc>
        <w:tc>
          <w:tcPr>
            <w:tcW w:w="1397" w:type="dxa"/>
            <w:vAlign w:val="center"/>
          </w:tcPr>
          <w:p>
            <w:pPr>
              <w:jc w:val="center"/>
              <w:rPr>
                <w:b/>
                <w:sz w:val="20"/>
              </w:rPr>
            </w:pPr>
            <w:r>
              <w:rPr>
                <w:b/>
                <w:sz w:val="20"/>
              </w:rPr>
              <w:t>专业</w:t>
            </w:r>
          </w:p>
        </w:tc>
        <w:tc>
          <w:tcPr>
            <w:tcW w:w="1440" w:type="dxa"/>
            <w:vAlign w:val="center"/>
          </w:tcPr>
          <w:p>
            <w:pPr>
              <w:jc w:val="center"/>
              <w:rPr>
                <w:b/>
                <w:sz w:val="20"/>
              </w:rPr>
            </w:pPr>
            <w:r>
              <w:rPr>
                <w:b/>
                <w:sz w:val="2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1040" w:type="dxa"/>
            <w:vAlign w:val="center"/>
          </w:tcPr>
          <w:p>
            <w:pPr>
              <w:jc w:val="center"/>
              <w:rPr>
                <w:sz w:val="20"/>
              </w:rPr>
            </w:pPr>
            <w:r>
              <w:rPr>
                <w:sz w:val="20"/>
              </w:rPr>
              <w:t>刘蔚</w:t>
            </w:r>
          </w:p>
        </w:tc>
        <w:tc>
          <w:tcPr>
            <w:tcW w:w="3251" w:type="dxa"/>
            <w:vAlign w:val="center"/>
          </w:tcPr>
          <w:p>
            <w:pPr>
              <w:jc w:val="center"/>
              <w:rPr>
                <w:sz w:val="20"/>
              </w:rPr>
            </w:pPr>
            <w:r>
              <w:rPr>
                <w:sz w:val="20"/>
              </w:rPr>
              <w:t>北京联首会计师事务所（普通合伙）</w:t>
            </w:r>
          </w:p>
        </w:tc>
        <w:tc>
          <w:tcPr>
            <w:tcW w:w="2160" w:type="dxa"/>
            <w:vAlign w:val="center"/>
          </w:tcPr>
          <w:p>
            <w:pPr>
              <w:jc w:val="center"/>
              <w:rPr>
                <w:sz w:val="20"/>
              </w:rPr>
            </w:pPr>
            <w:r>
              <w:rPr>
                <w:sz w:val="20"/>
              </w:rPr>
              <w:t>中国注册会计师</w:t>
            </w:r>
          </w:p>
        </w:tc>
        <w:tc>
          <w:tcPr>
            <w:tcW w:w="1397" w:type="dxa"/>
            <w:vAlign w:val="center"/>
          </w:tcPr>
          <w:p>
            <w:pPr>
              <w:jc w:val="center"/>
              <w:rPr>
                <w:sz w:val="20"/>
              </w:rPr>
            </w:pPr>
            <w:r>
              <w:rPr>
                <w:rFonts w:hint="eastAsia"/>
                <w:sz w:val="20"/>
              </w:rPr>
              <w:t>审计</w:t>
            </w:r>
          </w:p>
        </w:tc>
        <w:tc>
          <w:tcPr>
            <w:tcW w:w="1440" w:type="dxa"/>
            <w:vAlign w:val="center"/>
          </w:tcPr>
          <w:p>
            <w:pPr>
              <w:jc w:val="center"/>
              <w:rPr>
                <w:sz w:val="20"/>
              </w:rPr>
            </w:pPr>
            <w:r>
              <w:rPr>
                <w:sz w:val="20"/>
              </w:rPr>
              <w:t>管理专家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3" w:hRule="atLeast"/>
        </w:trPr>
        <w:tc>
          <w:tcPr>
            <w:tcW w:w="1040" w:type="dxa"/>
            <w:vAlign w:val="center"/>
          </w:tcPr>
          <w:p>
            <w:pPr>
              <w:jc w:val="center"/>
              <w:rPr>
                <w:sz w:val="20"/>
              </w:rPr>
            </w:pPr>
            <w:r>
              <w:rPr>
                <w:sz w:val="20"/>
              </w:rPr>
              <w:t>雷彩萍</w:t>
            </w:r>
          </w:p>
        </w:tc>
        <w:tc>
          <w:tcPr>
            <w:tcW w:w="3251" w:type="dxa"/>
            <w:vAlign w:val="center"/>
          </w:tcPr>
          <w:p>
            <w:pPr>
              <w:jc w:val="center"/>
              <w:rPr>
                <w:sz w:val="20"/>
              </w:rPr>
            </w:pPr>
            <w:r>
              <w:rPr>
                <w:sz w:val="20"/>
              </w:rPr>
              <w:t>北京联首会计师事务所（普通合伙）</w:t>
            </w:r>
          </w:p>
        </w:tc>
        <w:tc>
          <w:tcPr>
            <w:tcW w:w="2160" w:type="dxa"/>
            <w:vAlign w:val="center"/>
          </w:tcPr>
          <w:p>
            <w:pPr>
              <w:jc w:val="center"/>
              <w:rPr>
                <w:sz w:val="20"/>
              </w:rPr>
            </w:pPr>
            <w:r>
              <w:rPr>
                <w:sz w:val="20"/>
              </w:rPr>
              <w:t>中国注册会计师</w:t>
            </w:r>
          </w:p>
        </w:tc>
        <w:tc>
          <w:tcPr>
            <w:tcW w:w="1397" w:type="dxa"/>
            <w:vAlign w:val="center"/>
          </w:tcPr>
          <w:p>
            <w:pPr>
              <w:jc w:val="center"/>
              <w:rPr>
                <w:sz w:val="20"/>
              </w:rPr>
            </w:pPr>
            <w:r>
              <w:rPr>
                <w:sz w:val="20"/>
              </w:rPr>
              <w:t>财务管理</w:t>
            </w:r>
          </w:p>
        </w:tc>
        <w:tc>
          <w:tcPr>
            <w:tcW w:w="1440" w:type="dxa"/>
            <w:vAlign w:val="center"/>
          </w:tcPr>
          <w:p>
            <w:pPr>
              <w:jc w:val="center"/>
              <w:rPr>
                <w:sz w:val="20"/>
              </w:rPr>
            </w:pPr>
            <w:r>
              <w:rPr>
                <w:sz w:val="20"/>
              </w:rPr>
              <w:t>财务专家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82" w:hRule="atLeast"/>
        </w:trPr>
        <w:tc>
          <w:tcPr>
            <w:tcW w:w="1040" w:type="dxa"/>
            <w:vAlign w:val="center"/>
          </w:tcPr>
          <w:p>
            <w:pPr>
              <w:jc w:val="center"/>
              <w:rPr>
                <w:sz w:val="20"/>
              </w:rPr>
            </w:pPr>
            <w:r>
              <w:rPr>
                <w:sz w:val="20"/>
              </w:rPr>
              <w:t>刘松</w:t>
            </w:r>
          </w:p>
        </w:tc>
        <w:tc>
          <w:tcPr>
            <w:tcW w:w="3251" w:type="dxa"/>
            <w:vAlign w:val="center"/>
          </w:tcPr>
          <w:p>
            <w:pPr>
              <w:jc w:val="center"/>
              <w:rPr>
                <w:sz w:val="20"/>
              </w:rPr>
            </w:pPr>
            <w:r>
              <w:rPr>
                <w:sz w:val="20"/>
              </w:rPr>
              <w:t>北京联首资产评估事务所有限公司</w:t>
            </w:r>
          </w:p>
        </w:tc>
        <w:tc>
          <w:tcPr>
            <w:tcW w:w="2160" w:type="dxa"/>
            <w:vAlign w:val="center"/>
          </w:tcPr>
          <w:p>
            <w:pPr>
              <w:jc w:val="center"/>
              <w:rPr>
                <w:sz w:val="20"/>
              </w:rPr>
            </w:pPr>
            <w:r>
              <w:rPr>
                <w:sz w:val="20"/>
              </w:rPr>
              <w:t>中国注册评估师</w:t>
            </w:r>
          </w:p>
        </w:tc>
        <w:tc>
          <w:tcPr>
            <w:tcW w:w="1397" w:type="dxa"/>
            <w:vAlign w:val="center"/>
          </w:tcPr>
          <w:p>
            <w:pPr>
              <w:jc w:val="center"/>
              <w:rPr>
                <w:sz w:val="20"/>
              </w:rPr>
            </w:pPr>
            <w:r>
              <w:rPr>
                <w:sz w:val="20"/>
              </w:rPr>
              <w:t>资产评估</w:t>
            </w:r>
          </w:p>
        </w:tc>
        <w:tc>
          <w:tcPr>
            <w:tcW w:w="1440" w:type="dxa"/>
            <w:vAlign w:val="center"/>
          </w:tcPr>
          <w:p>
            <w:pPr>
              <w:jc w:val="center"/>
              <w:rPr>
                <w:sz w:val="20"/>
              </w:rPr>
            </w:pPr>
            <w:r>
              <w:rPr>
                <w:sz w:val="20"/>
              </w:rPr>
              <w:t>业务专家</w:t>
            </w:r>
          </w:p>
        </w:tc>
      </w:tr>
    </w:tbl>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p>
    <w:p>
      <w:pPr>
        <w:rPr>
          <w:rFonts w:eastAsiaTheme="majorEastAsia"/>
          <w:sz w:val="24"/>
          <w:szCs w:val="24"/>
        </w:rPr>
      </w:pPr>
      <w:r>
        <w:rPr>
          <w:rFonts w:eastAsiaTheme="majorEastAsia"/>
          <w:sz w:val="24"/>
          <w:szCs w:val="24"/>
        </w:rPr>
        <w:t>附件</w:t>
      </w:r>
      <w:r>
        <w:rPr>
          <w:rFonts w:hint="eastAsia" w:eastAsiaTheme="majorEastAsia"/>
          <w:sz w:val="24"/>
          <w:szCs w:val="24"/>
        </w:rPr>
        <w:t>3：</w:t>
      </w:r>
    </w:p>
    <w:p/>
    <w:p>
      <w:pPr>
        <w:spacing w:line="360" w:lineRule="auto"/>
        <w:jc w:val="center"/>
        <w:outlineLvl w:val="0"/>
        <w:rPr>
          <w:rFonts w:eastAsia="黑体"/>
          <w:b/>
          <w:bCs/>
          <w:sz w:val="36"/>
          <w:szCs w:val="36"/>
        </w:rPr>
      </w:pPr>
    </w:p>
    <w:p>
      <w:pPr>
        <w:spacing w:line="360" w:lineRule="auto"/>
        <w:jc w:val="center"/>
        <w:outlineLvl w:val="0"/>
        <w:rPr>
          <w:rFonts w:eastAsia="黑体"/>
          <w:b/>
          <w:bCs/>
          <w:sz w:val="36"/>
          <w:szCs w:val="36"/>
        </w:rPr>
      </w:pPr>
    </w:p>
    <w:p>
      <w:pPr>
        <w:jc w:val="center"/>
        <w:rPr>
          <w:rFonts w:eastAsia="黑体"/>
          <w:sz w:val="36"/>
          <w:szCs w:val="36"/>
        </w:rPr>
      </w:pPr>
      <w:r>
        <w:rPr>
          <w:rFonts w:eastAsia="黑体"/>
          <w:sz w:val="36"/>
          <w:szCs w:val="36"/>
        </w:rPr>
        <w:t>北京市项目支出绩效评价</w:t>
      </w:r>
      <w:r>
        <w:rPr>
          <w:rFonts w:eastAsia="黑体"/>
          <w:sz w:val="36"/>
          <w:szCs w:val="36"/>
        </w:rPr>
        <w:br w:type="textWrapping" w:clear="all"/>
      </w:r>
      <w:r>
        <w:rPr>
          <w:rFonts w:eastAsia="黑体"/>
          <w:spacing w:val="20"/>
          <w:sz w:val="36"/>
          <w:szCs w:val="36"/>
        </w:rPr>
        <w:t>专家意见汇总书</w:t>
      </w:r>
      <w:r>
        <w:rPr>
          <w:rFonts w:eastAsia="黑体"/>
          <w:spacing w:val="20"/>
          <w:sz w:val="36"/>
          <w:szCs w:val="36"/>
        </w:rPr>
        <w:br w:type="textWrapping" w:clear="all"/>
      </w:r>
    </w:p>
    <w:p>
      <w:pPr>
        <w:spacing w:line="360" w:lineRule="auto"/>
        <w:ind w:firstLine="960"/>
        <w:jc w:val="center"/>
        <w:rPr>
          <w:rFonts w:eastAsia="黑体"/>
          <w:sz w:val="48"/>
          <w:szCs w:val="48"/>
        </w:rPr>
      </w:pPr>
    </w:p>
    <w:p>
      <w:pPr>
        <w:spacing w:line="360" w:lineRule="auto"/>
        <w:ind w:firstLine="960"/>
        <w:jc w:val="center"/>
        <w:rPr>
          <w:rFonts w:eastAsia="黑体"/>
          <w:sz w:val="48"/>
          <w:szCs w:val="48"/>
        </w:rPr>
      </w:pPr>
    </w:p>
    <w:p>
      <w:pPr>
        <w:spacing w:line="360" w:lineRule="auto"/>
        <w:ind w:firstLine="960"/>
        <w:jc w:val="center"/>
        <w:rPr>
          <w:rFonts w:eastAsia="黑体"/>
          <w:sz w:val="48"/>
          <w:szCs w:val="48"/>
        </w:rPr>
      </w:pPr>
    </w:p>
    <w:p>
      <w:pPr>
        <w:spacing w:line="360" w:lineRule="auto"/>
        <w:ind w:firstLine="960"/>
        <w:jc w:val="center"/>
        <w:rPr>
          <w:rFonts w:eastAsia="黑体"/>
          <w:sz w:val="48"/>
          <w:szCs w:val="48"/>
        </w:rPr>
      </w:pPr>
    </w:p>
    <w:p>
      <w:pPr>
        <w:spacing w:line="360" w:lineRule="auto"/>
        <w:ind w:firstLine="960"/>
        <w:jc w:val="center"/>
        <w:rPr>
          <w:rFonts w:eastAsia="黑体"/>
          <w:sz w:val="48"/>
          <w:szCs w:val="48"/>
        </w:rPr>
      </w:pPr>
    </w:p>
    <w:p>
      <w:pPr>
        <w:snapToGrid w:val="0"/>
        <w:spacing w:line="420" w:lineRule="auto"/>
        <w:ind w:right="120" w:firstLine="1420" w:firstLineChars="592"/>
        <w:rPr>
          <w:sz w:val="24"/>
          <w:u w:val="single"/>
        </w:rPr>
      </w:pPr>
      <w:r>
        <w:rPr>
          <w:sz w:val="24"/>
        </w:rPr>
        <w:t>项目名称：</w:t>
      </w:r>
      <w:r>
        <w:rPr>
          <w:sz w:val="24"/>
          <w:u w:val="single"/>
        </w:rPr>
        <w:t xml:space="preserve">2023年北京朝阳科学家会客厅活动 </w:t>
      </w:r>
    </w:p>
    <w:p>
      <w:pPr>
        <w:snapToGrid w:val="0"/>
        <w:spacing w:line="420" w:lineRule="auto"/>
        <w:ind w:right="120" w:firstLine="1420" w:firstLineChars="592"/>
        <w:rPr>
          <w:sz w:val="24"/>
          <w:u w:val="single"/>
        </w:rPr>
      </w:pPr>
      <w:r>
        <w:rPr>
          <w:sz w:val="24"/>
        </w:rPr>
        <w:t>项目单位：</w:t>
      </w:r>
      <w:r>
        <w:rPr>
          <w:sz w:val="24"/>
          <w:u w:val="single"/>
        </w:rPr>
        <w:t xml:space="preserve">北京市朝阳区科学技术协会   </w:t>
      </w:r>
    </w:p>
    <w:p>
      <w:pPr>
        <w:snapToGrid w:val="0"/>
        <w:spacing w:line="420" w:lineRule="auto"/>
        <w:ind w:right="120" w:firstLine="1420" w:firstLineChars="592"/>
        <w:rPr>
          <w:sz w:val="24"/>
        </w:rPr>
      </w:pPr>
      <w:r>
        <w:rPr>
          <w:sz w:val="24"/>
        </w:rPr>
        <w:t>承办单位：</w:t>
      </w:r>
      <w:r>
        <w:rPr>
          <w:sz w:val="24"/>
          <w:u w:val="single"/>
        </w:rPr>
        <w:t xml:space="preserve">北京市朝阳区企业联合会     </w:t>
      </w:r>
    </w:p>
    <w:p>
      <w:pPr>
        <w:snapToGrid w:val="0"/>
        <w:spacing w:line="420" w:lineRule="auto"/>
        <w:ind w:right="120" w:firstLine="1420" w:firstLineChars="592"/>
        <w:rPr>
          <w:sz w:val="24"/>
          <w:u w:val="single"/>
        </w:rPr>
      </w:pPr>
      <w:r>
        <w:rPr>
          <w:sz w:val="24"/>
        </w:rPr>
        <w:t>主管部门：</w:t>
      </w:r>
      <w:r>
        <w:rPr>
          <w:rFonts w:hint="eastAsia"/>
          <w:sz w:val="24"/>
          <w:u w:val="single"/>
          <w:lang w:eastAsia="zh-CN"/>
        </w:rPr>
        <w:t>北京市朝阳区科学技术协会</w:t>
      </w:r>
      <w:r>
        <w:rPr>
          <w:sz w:val="24"/>
          <w:u w:val="single"/>
        </w:rPr>
        <w:t xml:space="preserve">   </w:t>
      </w:r>
    </w:p>
    <w:p>
      <w:pPr>
        <w:snapToGrid w:val="0"/>
        <w:spacing w:line="420" w:lineRule="auto"/>
        <w:ind w:firstLine="1440" w:firstLineChars="600"/>
        <w:rPr>
          <w:sz w:val="24"/>
        </w:rPr>
      </w:pPr>
      <w:r>
        <w:rPr>
          <w:sz w:val="24"/>
        </w:rPr>
        <w:t>评价时间：</w:t>
      </w:r>
      <w:r>
        <w:rPr>
          <w:sz w:val="24"/>
          <w:u w:val="single"/>
        </w:rPr>
        <w:t>2024</w:t>
      </w:r>
      <w:r>
        <w:rPr>
          <w:sz w:val="24"/>
        </w:rPr>
        <w:t>年</w:t>
      </w:r>
      <w:r>
        <w:rPr>
          <w:sz w:val="24"/>
          <w:u w:val="single"/>
        </w:rPr>
        <w:t>03</w:t>
      </w:r>
      <w:r>
        <w:rPr>
          <w:sz w:val="24"/>
        </w:rPr>
        <w:t>月</w:t>
      </w:r>
      <w:r>
        <w:rPr>
          <w:sz w:val="24"/>
          <w:u w:val="single"/>
        </w:rPr>
        <w:t>25</w:t>
      </w:r>
      <w:r>
        <w:rPr>
          <w:sz w:val="24"/>
        </w:rPr>
        <w:t>日</w:t>
      </w:r>
    </w:p>
    <w:p>
      <w:pPr>
        <w:spacing w:line="480" w:lineRule="auto"/>
        <w:ind w:firstLine="560"/>
        <w:rPr>
          <w:szCs w:val="28"/>
        </w:rPr>
      </w:pPr>
    </w:p>
    <w:p>
      <w:pPr>
        <w:ind w:firstLine="562"/>
        <w:rPr>
          <w:b/>
          <w:bCs/>
        </w:rPr>
      </w:pPr>
    </w:p>
    <w:p>
      <w:pPr>
        <w:ind w:firstLine="562"/>
        <w:rPr>
          <w:b/>
          <w:bCs/>
        </w:rPr>
      </w:pPr>
    </w:p>
    <w:p/>
    <w:p/>
    <w:p/>
    <w:p/>
    <w:p/>
    <w:p/>
    <w:p/>
    <w:p/>
    <w:p/>
    <w:p/>
    <w:p/>
    <w:p/>
    <w:p/>
    <w:p>
      <w:pPr>
        <w:widowControl/>
        <w:numPr>
          <w:ilvl w:val="0"/>
          <w:numId w:val="3"/>
        </w:numPr>
        <w:spacing w:line="400" w:lineRule="exact"/>
        <w:rPr>
          <w:rFonts w:eastAsiaTheme="majorEastAsia"/>
          <w:b/>
          <w:sz w:val="24"/>
        </w:rPr>
      </w:pPr>
      <w:r>
        <w:rPr>
          <w:rFonts w:eastAsiaTheme="majorEastAsia"/>
          <w:b/>
          <w:sz w:val="24"/>
        </w:rPr>
        <w:t>专家评分汇总表</w:t>
      </w:r>
    </w:p>
    <w:p>
      <w:pPr>
        <w:widowControl/>
        <w:spacing w:line="400" w:lineRule="exact"/>
        <w:ind w:left="720"/>
        <w:rPr>
          <w:rFonts w:eastAsiaTheme="majorEastAsia"/>
          <w:b/>
          <w:sz w:val="24"/>
        </w:rPr>
      </w:pPr>
    </w:p>
    <w:p>
      <w:pPr>
        <w:rPr>
          <w:rFonts w:eastAsiaTheme="majorEastAsia"/>
          <w:vanish/>
        </w:rPr>
      </w:pPr>
    </w:p>
    <w:tbl>
      <w:tblPr>
        <w:tblStyle w:val="29"/>
        <w:tblW w:w="9079"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9"/>
        <w:gridCol w:w="2827"/>
        <w:gridCol w:w="862"/>
        <w:gridCol w:w="6"/>
        <w:gridCol w:w="983"/>
        <w:gridCol w:w="993"/>
        <w:gridCol w:w="992"/>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trPr>
        <w:tc>
          <w:tcPr>
            <w:tcW w:w="1559" w:type="dxa"/>
            <w:vMerge w:val="restart"/>
            <w:shd w:val="clear" w:color="auto" w:fill="auto"/>
            <w:vAlign w:val="center"/>
          </w:tcPr>
          <w:p>
            <w:pPr>
              <w:jc w:val="center"/>
              <w:rPr>
                <w:rFonts w:eastAsiaTheme="majorEastAsia"/>
                <w:b/>
                <w:sz w:val="24"/>
                <w:szCs w:val="24"/>
              </w:rPr>
            </w:pPr>
            <w:r>
              <w:rPr>
                <w:rFonts w:eastAsiaTheme="majorEastAsia"/>
                <w:b/>
                <w:sz w:val="24"/>
                <w:szCs w:val="24"/>
              </w:rPr>
              <w:t>明细</w:t>
            </w:r>
          </w:p>
        </w:tc>
        <w:tc>
          <w:tcPr>
            <w:tcW w:w="3695" w:type="dxa"/>
            <w:gridSpan w:val="3"/>
            <w:shd w:val="clear" w:color="auto" w:fill="auto"/>
            <w:vAlign w:val="center"/>
          </w:tcPr>
          <w:p>
            <w:pPr>
              <w:jc w:val="center"/>
              <w:rPr>
                <w:rFonts w:eastAsiaTheme="majorEastAsia"/>
                <w:sz w:val="24"/>
                <w:szCs w:val="24"/>
              </w:rPr>
            </w:pPr>
            <w:r>
              <w:rPr>
                <w:rFonts w:eastAsiaTheme="majorEastAsia"/>
                <w:b/>
                <w:bCs/>
                <w:color w:val="000000"/>
                <w:kern w:val="0"/>
                <w:sz w:val="24"/>
                <w:szCs w:val="24"/>
              </w:rPr>
              <w:t>评价指标及分值</w:t>
            </w:r>
          </w:p>
        </w:tc>
        <w:tc>
          <w:tcPr>
            <w:tcW w:w="3825" w:type="dxa"/>
            <w:gridSpan w:val="4"/>
            <w:shd w:val="clear" w:color="auto" w:fill="auto"/>
            <w:vAlign w:val="center"/>
          </w:tcPr>
          <w:p>
            <w:pPr>
              <w:jc w:val="center"/>
              <w:rPr>
                <w:rFonts w:eastAsiaTheme="majorEastAsia"/>
              </w:rPr>
            </w:pPr>
            <w:r>
              <w:rPr>
                <w:rFonts w:eastAsiaTheme="majorEastAsia"/>
                <w:b/>
                <w:bCs/>
                <w:color w:val="000000"/>
                <w:kern w:val="0"/>
                <w:sz w:val="20"/>
              </w:rPr>
              <w:t>专家评分汇总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trPr>
        <w:tc>
          <w:tcPr>
            <w:tcW w:w="1559" w:type="dxa"/>
            <w:vMerge w:val="continue"/>
            <w:shd w:val="clear" w:color="auto" w:fill="auto"/>
          </w:tcPr>
          <w:p>
            <w:pPr>
              <w:jc w:val="center"/>
              <w:rPr>
                <w:rFonts w:eastAsiaTheme="majorEastAsia"/>
                <w:b/>
                <w:sz w:val="24"/>
                <w:szCs w:val="24"/>
              </w:rPr>
            </w:pPr>
          </w:p>
        </w:tc>
        <w:tc>
          <w:tcPr>
            <w:tcW w:w="2827" w:type="dxa"/>
            <w:shd w:val="clear" w:color="auto" w:fill="auto"/>
            <w:vAlign w:val="center"/>
          </w:tcPr>
          <w:p>
            <w:pPr>
              <w:jc w:val="center"/>
              <w:rPr>
                <w:rFonts w:eastAsiaTheme="majorEastAsia"/>
                <w:b/>
                <w:color w:val="000000"/>
                <w:kern w:val="0"/>
                <w:sz w:val="24"/>
                <w:szCs w:val="24"/>
              </w:rPr>
            </w:pPr>
            <w:r>
              <w:rPr>
                <w:rFonts w:eastAsiaTheme="majorEastAsia"/>
                <w:b/>
                <w:bCs/>
                <w:color w:val="000000"/>
                <w:kern w:val="0"/>
                <w:sz w:val="24"/>
                <w:szCs w:val="24"/>
              </w:rPr>
              <w:t>评价指标</w:t>
            </w:r>
          </w:p>
        </w:tc>
        <w:tc>
          <w:tcPr>
            <w:tcW w:w="862" w:type="dxa"/>
            <w:shd w:val="clear" w:color="auto" w:fill="auto"/>
            <w:vAlign w:val="center"/>
          </w:tcPr>
          <w:p>
            <w:pPr>
              <w:jc w:val="center"/>
              <w:rPr>
                <w:rFonts w:eastAsiaTheme="majorEastAsia"/>
              </w:rPr>
            </w:pPr>
            <w:r>
              <w:rPr>
                <w:rFonts w:eastAsiaTheme="majorEastAsia"/>
                <w:b/>
                <w:bCs/>
                <w:color w:val="000000"/>
                <w:kern w:val="0"/>
                <w:sz w:val="20"/>
              </w:rPr>
              <w:t>分值</w:t>
            </w:r>
          </w:p>
        </w:tc>
        <w:tc>
          <w:tcPr>
            <w:tcW w:w="989" w:type="dxa"/>
            <w:gridSpan w:val="2"/>
            <w:shd w:val="clear" w:color="auto" w:fill="auto"/>
            <w:vAlign w:val="center"/>
          </w:tcPr>
          <w:p>
            <w:pPr>
              <w:jc w:val="center"/>
              <w:rPr>
                <w:rFonts w:eastAsiaTheme="majorEastAsia"/>
              </w:rPr>
            </w:pPr>
            <w:r>
              <w:rPr>
                <w:rFonts w:eastAsiaTheme="majorEastAsia"/>
                <w:b/>
                <w:bCs/>
                <w:color w:val="000000"/>
                <w:kern w:val="0"/>
                <w:sz w:val="20"/>
              </w:rPr>
              <w:t>专家1</w:t>
            </w:r>
          </w:p>
        </w:tc>
        <w:tc>
          <w:tcPr>
            <w:tcW w:w="993" w:type="dxa"/>
            <w:shd w:val="clear" w:color="auto" w:fill="auto"/>
            <w:vAlign w:val="center"/>
          </w:tcPr>
          <w:p>
            <w:pPr>
              <w:jc w:val="center"/>
              <w:rPr>
                <w:rFonts w:eastAsiaTheme="majorEastAsia"/>
              </w:rPr>
            </w:pPr>
            <w:r>
              <w:rPr>
                <w:rFonts w:eastAsiaTheme="majorEastAsia"/>
                <w:b/>
                <w:bCs/>
                <w:color w:val="000000"/>
                <w:kern w:val="0"/>
                <w:sz w:val="20"/>
              </w:rPr>
              <w:t>专家2</w:t>
            </w:r>
          </w:p>
        </w:tc>
        <w:tc>
          <w:tcPr>
            <w:tcW w:w="992" w:type="dxa"/>
            <w:shd w:val="clear" w:color="auto" w:fill="auto"/>
            <w:vAlign w:val="center"/>
          </w:tcPr>
          <w:p>
            <w:pPr>
              <w:jc w:val="center"/>
              <w:rPr>
                <w:rFonts w:eastAsiaTheme="majorEastAsia"/>
              </w:rPr>
            </w:pPr>
            <w:r>
              <w:rPr>
                <w:rFonts w:eastAsiaTheme="majorEastAsia"/>
                <w:b/>
                <w:bCs/>
                <w:color w:val="000000"/>
                <w:kern w:val="0"/>
                <w:sz w:val="20"/>
              </w:rPr>
              <w:t>专家3</w:t>
            </w:r>
          </w:p>
        </w:tc>
        <w:tc>
          <w:tcPr>
            <w:tcW w:w="857" w:type="dxa"/>
            <w:shd w:val="clear" w:color="auto" w:fill="auto"/>
            <w:vAlign w:val="center"/>
          </w:tcPr>
          <w:p>
            <w:pPr>
              <w:jc w:val="center"/>
              <w:rPr>
                <w:rFonts w:eastAsiaTheme="majorEastAsia"/>
              </w:rPr>
            </w:pPr>
            <w:r>
              <w:rPr>
                <w:rFonts w:eastAsiaTheme="majorEastAsia"/>
                <w:b/>
                <w:bCs/>
                <w:color w:val="000000"/>
                <w:kern w:val="0"/>
                <w:sz w:val="20"/>
              </w:rPr>
              <w:t>平均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trPr>
        <w:tc>
          <w:tcPr>
            <w:tcW w:w="1559" w:type="dxa"/>
            <w:shd w:val="clear" w:color="auto" w:fill="auto"/>
            <w:vAlign w:val="center"/>
          </w:tcPr>
          <w:p>
            <w:pPr>
              <w:jc w:val="left"/>
              <w:rPr>
                <w:rFonts w:eastAsiaTheme="majorEastAsia"/>
                <w:b/>
                <w:sz w:val="24"/>
                <w:szCs w:val="24"/>
              </w:rPr>
            </w:pPr>
            <w:r>
              <w:rPr>
                <w:rFonts w:eastAsiaTheme="majorEastAsia"/>
                <w:b/>
                <w:sz w:val="24"/>
                <w:szCs w:val="24"/>
              </w:rPr>
              <w:t>预算执行率</w:t>
            </w:r>
          </w:p>
        </w:tc>
        <w:tc>
          <w:tcPr>
            <w:tcW w:w="2827" w:type="dxa"/>
            <w:shd w:val="clear" w:color="auto" w:fill="auto"/>
            <w:vAlign w:val="center"/>
          </w:tcPr>
          <w:p>
            <w:pPr>
              <w:rPr>
                <w:rFonts w:eastAsiaTheme="majorEastAsia"/>
                <w:b/>
                <w:color w:val="000000"/>
                <w:kern w:val="0"/>
                <w:sz w:val="24"/>
                <w:szCs w:val="24"/>
              </w:rPr>
            </w:pPr>
            <w:r>
              <w:rPr>
                <w:rFonts w:eastAsiaTheme="majorEastAsia"/>
                <w:b/>
                <w:color w:val="000000"/>
                <w:kern w:val="0"/>
                <w:sz w:val="24"/>
                <w:szCs w:val="24"/>
              </w:rPr>
              <w:t>预算执行率</w:t>
            </w:r>
          </w:p>
        </w:tc>
        <w:tc>
          <w:tcPr>
            <w:tcW w:w="862" w:type="dxa"/>
            <w:shd w:val="clear" w:color="auto" w:fill="auto"/>
            <w:vAlign w:val="center"/>
          </w:tcPr>
          <w:p>
            <w:pPr>
              <w:jc w:val="right"/>
              <w:rPr>
                <w:rFonts w:eastAsiaTheme="majorEastAsia"/>
              </w:rPr>
            </w:pPr>
            <w:r>
              <w:rPr>
                <w:rFonts w:eastAsiaTheme="majorEastAsia"/>
              </w:rPr>
              <w:t>10</w:t>
            </w:r>
          </w:p>
        </w:tc>
        <w:tc>
          <w:tcPr>
            <w:tcW w:w="98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10</w:t>
            </w:r>
          </w:p>
        </w:tc>
        <w:tc>
          <w:tcPr>
            <w:tcW w:w="993" w:type="dxa"/>
            <w:tcBorders>
              <w:top w:val="single" w:color="auto" w:sz="4" w:space="0"/>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10</w:t>
            </w:r>
          </w:p>
        </w:tc>
        <w:tc>
          <w:tcPr>
            <w:tcW w:w="992" w:type="dxa"/>
            <w:tcBorders>
              <w:top w:val="single" w:color="auto" w:sz="4" w:space="0"/>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10</w:t>
            </w:r>
          </w:p>
        </w:tc>
        <w:tc>
          <w:tcPr>
            <w:tcW w:w="857" w:type="dxa"/>
            <w:tcBorders>
              <w:top w:val="single" w:color="auto" w:sz="4" w:space="0"/>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trPr>
        <w:tc>
          <w:tcPr>
            <w:tcW w:w="1559" w:type="dxa"/>
            <w:vMerge w:val="restart"/>
            <w:shd w:val="clear" w:color="auto" w:fill="auto"/>
            <w:vAlign w:val="center"/>
          </w:tcPr>
          <w:p>
            <w:pPr>
              <w:jc w:val="left"/>
              <w:rPr>
                <w:rFonts w:eastAsiaTheme="majorEastAsia"/>
                <w:sz w:val="24"/>
                <w:szCs w:val="24"/>
              </w:rPr>
            </w:pPr>
            <w:r>
              <w:rPr>
                <w:rFonts w:eastAsiaTheme="majorEastAsia"/>
                <w:b/>
                <w:sz w:val="24"/>
                <w:szCs w:val="24"/>
              </w:rPr>
              <w:t>产出指标</w:t>
            </w:r>
          </w:p>
        </w:tc>
        <w:tc>
          <w:tcPr>
            <w:tcW w:w="2827" w:type="dxa"/>
            <w:shd w:val="clear" w:color="auto" w:fill="auto"/>
            <w:vAlign w:val="center"/>
          </w:tcPr>
          <w:p>
            <w:pPr>
              <w:rPr>
                <w:rFonts w:eastAsiaTheme="majorEastAsia"/>
                <w:sz w:val="24"/>
                <w:szCs w:val="24"/>
              </w:rPr>
            </w:pPr>
            <w:r>
              <w:rPr>
                <w:rFonts w:eastAsiaTheme="majorEastAsia"/>
                <w:b/>
                <w:color w:val="000000"/>
                <w:kern w:val="0"/>
                <w:sz w:val="24"/>
                <w:szCs w:val="24"/>
              </w:rPr>
              <w:t>数量指标</w:t>
            </w:r>
          </w:p>
        </w:tc>
        <w:tc>
          <w:tcPr>
            <w:tcW w:w="862" w:type="dxa"/>
            <w:shd w:val="clear" w:color="auto" w:fill="auto"/>
            <w:vAlign w:val="center"/>
          </w:tcPr>
          <w:p>
            <w:pPr>
              <w:jc w:val="right"/>
              <w:rPr>
                <w:rFonts w:eastAsiaTheme="majorEastAsia"/>
              </w:rPr>
            </w:pPr>
            <w:r>
              <w:rPr>
                <w:rFonts w:eastAsiaTheme="majorEastAsia"/>
              </w:rPr>
              <w:t>20</w:t>
            </w:r>
          </w:p>
        </w:tc>
        <w:tc>
          <w:tcPr>
            <w:tcW w:w="989" w:type="dxa"/>
            <w:gridSpan w:val="2"/>
            <w:tcBorders>
              <w:top w:val="nil"/>
              <w:left w:val="single" w:color="auto" w:sz="4" w:space="0"/>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20</w:t>
            </w:r>
          </w:p>
        </w:tc>
        <w:tc>
          <w:tcPr>
            <w:tcW w:w="993"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20</w:t>
            </w:r>
          </w:p>
        </w:tc>
        <w:tc>
          <w:tcPr>
            <w:tcW w:w="992"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20</w:t>
            </w:r>
          </w:p>
        </w:tc>
        <w:tc>
          <w:tcPr>
            <w:tcW w:w="857"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trPr>
        <w:tc>
          <w:tcPr>
            <w:tcW w:w="1559" w:type="dxa"/>
            <w:vMerge w:val="continue"/>
            <w:shd w:val="clear" w:color="auto" w:fill="auto"/>
            <w:vAlign w:val="center"/>
          </w:tcPr>
          <w:p>
            <w:pPr>
              <w:jc w:val="left"/>
              <w:rPr>
                <w:rFonts w:eastAsiaTheme="majorEastAsia"/>
                <w:b/>
                <w:sz w:val="24"/>
                <w:szCs w:val="24"/>
              </w:rPr>
            </w:pPr>
          </w:p>
        </w:tc>
        <w:tc>
          <w:tcPr>
            <w:tcW w:w="2827" w:type="dxa"/>
            <w:shd w:val="clear" w:color="auto" w:fill="auto"/>
            <w:vAlign w:val="center"/>
          </w:tcPr>
          <w:p>
            <w:pPr>
              <w:ind w:firstLine="240" w:firstLineChars="100"/>
              <w:rPr>
                <w:rFonts w:eastAsiaTheme="majorEastAsia"/>
                <w:bCs/>
                <w:color w:val="000000"/>
                <w:kern w:val="0"/>
                <w:sz w:val="24"/>
                <w:szCs w:val="24"/>
              </w:rPr>
            </w:pPr>
            <w:r>
              <w:rPr>
                <w:rFonts w:eastAsiaTheme="majorEastAsia"/>
                <w:bCs/>
                <w:color w:val="000000"/>
                <w:kern w:val="0"/>
                <w:sz w:val="24"/>
                <w:szCs w:val="24"/>
              </w:rPr>
              <w:t>活动场次</w:t>
            </w:r>
          </w:p>
        </w:tc>
        <w:tc>
          <w:tcPr>
            <w:tcW w:w="862" w:type="dxa"/>
            <w:shd w:val="clear" w:color="auto" w:fill="auto"/>
            <w:vAlign w:val="center"/>
          </w:tcPr>
          <w:p>
            <w:pPr>
              <w:jc w:val="right"/>
              <w:rPr>
                <w:rFonts w:eastAsiaTheme="majorEastAsia"/>
              </w:rPr>
            </w:pPr>
          </w:p>
        </w:tc>
        <w:tc>
          <w:tcPr>
            <w:tcW w:w="989" w:type="dxa"/>
            <w:gridSpan w:val="2"/>
            <w:tcBorders>
              <w:top w:val="nil"/>
              <w:left w:val="single" w:color="auto" w:sz="4" w:space="0"/>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　</w:t>
            </w:r>
          </w:p>
        </w:tc>
        <w:tc>
          <w:tcPr>
            <w:tcW w:w="993"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　</w:t>
            </w:r>
          </w:p>
        </w:tc>
        <w:tc>
          <w:tcPr>
            <w:tcW w:w="992"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　</w:t>
            </w:r>
          </w:p>
        </w:tc>
        <w:tc>
          <w:tcPr>
            <w:tcW w:w="857" w:type="dxa"/>
            <w:tcBorders>
              <w:top w:val="nil"/>
              <w:left w:val="nil"/>
              <w:bottom w:val="single" w:color="auto" w:sz="4" w:space="0"/>
              <w:right w:val="single" w:color="auto" w:sz="4" w:space="0"/>
            </w:tcBorders>
            <w:shd w:val="clear" w:color="auto" w:fill="auto"/>
            <w:vAlign w:val="center"/>
          </w:tcPr>
          <w:p>
            <w:pPr>
              <w:jc w:val="right"/>
              <w:rPr>
                <w:rFonts w:eastAsiaTheme="maj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559" w:type="dxa"/>
            <w:vMerge w:val="continue"/>
            <w:shd w:val="clear" w:color="auto" w:fill="auto"/>
          </w:tcPr>
          <w:p>
            <w:pPr>
              <w:rPr>
                <w:rFonts w:eastAsiaTheme="majorEastAsia"/>
                <w:sz w:val="24"/>
                <w:szCs w:val="24"/>
              </w:rPr>
            </w:pPr>
          </w:p>
        </w:tc>
        <w:tc>
          <w:tcPr>
            <w:tcW w:w="2827" w:type="dxa"/>
            <w:shd w:val="clear" w:color="auto" w:fill="auto"/>
            <w:vAlign w:val="center"/>
          </w:tcPr>
          <w:p>
            <w:pPr>
              <w:jc w:val="left"/>
              <w:rPr>
                <w:rFonts w:eastAsiaTheme="majorEastAsia"/>
                <w:b/>
                <w:bCs/>
                <w:sz w:val="24"/>
                <w:szCs w:val="24"/>
              </w:rPr>
            </w:pPr>
            <w:r>
              <w:rPr>
                <w:rFonts w:eastAsiaTheme="majorEastAsia"/>
                <w:b/>
                <w:bCs/>
                <w:color w:val="000000"/>
                <w:kern w:val="0"/>
                <w:sz w:val="24"/>
                <w:szCs w:val="24"/>
              </w:rPr>
              <w:t>质量指标</w:t>
            </w:r>
          </w:p>
        </w:tc>
        <w:tc>
          <w:tcPr>
            <w:tcW w:w="862" w:type="dxa"/>
            <w:shd w:val="clear" w:color="auto" w:fill="auto"/>
            <w:vAlign w:val="center"/>
          </w:tcPr>
          <w:p>
            <w:pPr>
              <w:jc w:val="right"/>
              <w:rPr>
                <w:rFonts w:eastAsiaTheme="majorEastAsia"/>
              </w:rPr>
            </w:pPr>
            <w:r>
              <w:rPr>
                <w:rFonts w:eastAsiaTheme="majorEastAsia"/>
              </w:rPr>
              <w:t>10</w:t>
            </w:r>
          </w:p>
        </w:tc>
        <w:tc>
          <w:tcPr>
            <w:tcW w:w="989" w:type="dxa"/>
            <w:gridSpan w:val="2"/>
            <w:tcBorders>
              <w:top w:val="nil"/>
              <w:left w:val="single" w:color="auto" w:sz="4" w:space="0"/>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10</w:t>
            </w:r>
          </w:p>
        </w:tc>
        <w:tc>
          <w:tcPr>
            <w:tcW w:w="993"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10</w:t>
            </w:r>
          </w:p>
        </w:tc>
        <w:tc>
          <w:tcPr>
            <w:tcW w:w="992"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10</w:t>
            </w:r>
          </w:p>
        </w:tc>
        <w:tc>
          <w:tcPr>
            <w:tcW w:w="857"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559" w:type="dxa"/>
            <w:vMerge w:val="continue"/>
            <w:shd w:val="clear" w:color="auto" w:fill="auto"/>
          </w:tcPr>
          <w:p>
            <w:pPr>
              <w:rPr>
                <w:rFonts w:eastAsiaTheme="majorEastAsia"/>
                <w:sz w:val="24"/>
                <w:szCs w:val="24"/>
              </w:rPr>
            </w:pPr>
          </w:p>
        </w:tc>
        <w:tc>
          <w:tcPr>
            <w:tcW w:w="2827" w:type="dxa"/>
            <w:shd w:val="clear" w:color="auto" w:fill="auto"/>
            <w:vAlign w:val="center"/>
          </w:tcPr>
          <w:p>
            <w:pPr>
              <w:ind w:firstLine="240" w:firstLineChars="100"/>
              <w:rPr>
                <w:rFonts w:eastAsiaTheme="majorEastAsia"/>
                <w:color w:val="000000"/>
                <w:kern w:val="0"/>
                <w:sz w:val="24"/>
                <w:szCs w:val="24"/>
              </w:rPr>
            </w:pPr>
            <w:r>
              <w:rPr>
                <w:rFonts w:eastAsiaTheme="majorEastAsia"/>
                <w:color w:val="000000"/>
                <w:kern w:val="0"/>
                <w:sz w:val="24"/>
                <w:szCs w:val="24"/>
              </w:rPr>
              <w:t>项目达到预期效果</w:t>
            </w:r>
          </w:p>
        </w:tc>
        <w:tc>
          <w:tcPr>
            <w:tcW w:w="862" w:type="dxa"/>
            <w:shd w:val="clear" w:color="auto" w:fill="auto"/>
            <w:vAlign w:val="center"/>
          </w:tcPr>
          <w:p>
            <w:pPr>
              <w:jc w:val="right"/>
              <w:rPr>
                <w:rFonts w:eastAsiaTheme="majorEastAsia"/>
              </w:rPr>
            </w:pPr>
          </w:p>
        </w:tc>
        <w:tc>
          <w:tcPr>
            <w:tcW w:w="989" w:type="dxa"/>
            <w:gridSpan w:val="2"/>
            <w:tcBorders>
              <w:top w:val="nil"/>
              <w:left w:val="single" w:color="auto" w:sz="4" w:space="0"/>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　</w:t>
            </w:r>
          </w:p>
        </w:tc>
        <w:tc>
          <w:tcPr>
            <w:tcW w:w="993"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　</w:t>
            </w:r>
          </w:p>
        </w:tc>
        <w:tc>
          <w:tcPr>
            <w:tcW w:w="992"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　</w:t>
            </w:r>
          </w:p>
        </w:tc>
        <w:tc>
          <w:tcPr>
            <w:tcW w:w="857" w:type="dxa"/>
            <w:tcBorders>
              <w:top w:val="nil"/>
              <w:left w:val="nil"/>
              <w:bottom w:val="single" w:color="auto" w:sz="4" w:space="0"/>
              <w:right w:val="single" w:color="auto" w:sz="4" w:space="0"/>
            </w:tcBorders>
            <w:shd w:val="clear" w:color="auto" w:fill="auto"/>
            <w:vAlign w:val="center"/>
          </w:tcPr>
          <w:p>
            <w:pPr>
              <w:jc w:val="right"/>
              <w:rPr>
                <w:rFonts w:eastAsiaTheme="maj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1559" w:type="dxa"/>
            <w:vMerge w:val="continue"/>
            <w:shd w:val="clear" w:color="auto" w:fill="auto"/>
          </w:tcPr>
          <w:p>
            <w:pPr>
              <w:rPr>
                <w:rFonts w:eastAsiaTheme="majorEastAsia"/>
                <w:sz w:val="24"/>
                <w:szCs w:val="24"/>
              </w:rPr>
            </w:pPr>
          </w:p>
        </w:tc>
        <w:tc>
          <w:tcPr>
            <w:tcW w:w="2827" w:type="dxa"/>
            <w:shd w:val="clear" w:color="auto" w:fill="auto"/>
            <w:vAlign w:val="center"/>
          </w:tcPr>
          <w:p>
            <w:pPr>
              <w:rPr>
                <w:rFonts w:eastAsiaTheme="majorEastAsia"/>
                <w:sz w:val="24"/>
                <w:szCs w:val="24"/>
              </w:rPr>
            </w:pPr>
            <w:r>
              <w:rPr>
                <w:rFonts w:eastAsiaTheme="majorEastAsia"/>
                <w:b/>
                <w:color w:val="000000"/>
                <w:kern w:val="0"/>
                <w:sz w:val="24"/>
                <w:szCs w:val="24"/>
              </w:rPr>
              <w:t>时效指标</w:t>
            </w:r>
          </w:p>
        </w:tc>
        <w:tc>
          <w:tcPr>
            <w:tcW w:w="862" w:type="dxa"/>
            <w:shd w:val="clear" w:color="auto" w:fill="auto"/>
            <w:vAlign w:val="center"/>
          </w:tcPr>
          <w:p>
            <w:pPr>
              <w:jc w:val="right"/>
              <w:rPr>
                <w:rFonts w:eastAsiaTheme="majorEastAsia"/>
              </w:rPr>
            </w:pPr>
            <w:r>
              <w:rPr>
                <w:rFonts w:eastAsiaTheme="majorEastAsia"/>
              </w:rPr>
              <w:t>10</w:t>
            </w:r>
          </w:p>
        </w:tc>
        <w:tc>
          <w:tcPr>
            <w:tcW w:w="989" w:type="dxa"/>
            <w:gridSpan w:val="2"/>
            <w:tcBorders>
              <w:top w:val="nil"/>
              <w:left w:val="single" w:color="auto" w:sz="4" w:space="0"/>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8</w:t>
            </w:r>
          </w:p>
        </w:tc>
        <w:tc>
          <w:tcPr>
            <w:tcW w:w="993"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8</w:t>
            </w:r>
          </w:p>
        </w:tc>
        <w:tc>
          <w:tcPr>
            <w:tcW w:w="992"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8</w:t>
            </w:r>
          </w:p>
        </w:tc>
        <w:tc>
          <w:tcPr>
            <w:tcW w:w="857"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559" w:type="dxa"/>
            <w:vMerge w:val="continue"/>
            <w:shd w:val="clear" w:color="auto" w:fill="auto"/>
          </w:tcPr>
          <w:p>
            <w:pPr>
              <w:rPr>
                <w:rFonts w:eastAsiaTheme="majorEastAsia"/>
                <w:sz w:val="24"/>
                <w:szCs w:val="24"/>
              </w:rPr>
            </w:pPr>
          </w:p>
        </w:tc>
        <w:tc>
          <w:tcPr>
            <w:tcW w:w="2827" w:type="dxa"/>
            <w:shd w:val="clear" w:color="auto" w:fill="auto"/>
            <w:vAlign w:val="center"/>
          </w:tcPr>
          <w:p>
            <w:pPr>
              <w:ind w:firstLine="240" w:firstLineChars="100"/>
              <w:rPr>
                <w:rFonts w:eastAsiaTheme="majorEastAsia"/>
                <w:sz w:val="24"/>
                <w:szCs w:val="24"/>
              </w:rPr>
            </w:pPr>
            <w:r>
              <w:rPr>
                <w:rFonts w:eastAsiaTheme="majorEastAsia"/>
                <w:color w:val="000000"/>
                <w:kern w:val="0"/>
                <w:sz w:val="24"/>
                <w:szCs w:val="24"/>
              </w:rPr>
              <w:t>项目执行期完成</w:t>
            </w:r>
          </w:p>
        </w:tc>
        <w:tc>
          <w:tcPr>
            <w:tcW w:w="862" w:type="dxa"/>
            <w:shd w:val="clear" w:color="auto" w:fill="auto"/>
            <w:vAlign w:val="center"/>
          </w:tcPr>
          <w:p>
            <w:pPr>
              <w:jc w:val="right"/>
              <w:rPr>
                <w:rFonts w:eastAsiaTheme="majorEastAsia"/>
              </w:rPr>
            </w:pPr>
          </w:p>
        </w:tc>
        <w:tc>
          <w:tcPr>
            <w:tcW w:w="989" w:type="dxa"/>
            <w:gridSpan w:val="2"/>
            <w:tcBorders>
              <w:top w:val="nil"/>
              <w:left w:val="single" w:color="auto" w:sz="4" w:space="0"/>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　</w:t>
            </w:r>
          </w:p>
        </w:tc>
        <w:tc>
          <w:tcPr>
            <w:tcW w:w="993"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　</w:t>
            </w:r>
          </w:p>
        </w:tc>
        <w:tc>
          <w:tcPr>
            <w:tcW w:w="992"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　</w:t>
            </w:r>
          </w:p>
        </w:tc>
        <w:tc>
          <w:tcPr>
            <w:tcW w:w="857" w:type="dxa"/>
            <w:tcBorders>
              <w:top w:val="nil"/>
              <w:left w:val="nil"/>
              <w:bottom w:val="single" w:color="auto" w:sz="4" w:space="0"/>
              <w:right w:val="single" w:color="auto" w:sz="4" w:space="0"/>
            </w:tcBorders>
            <w:shd w:val="clear" w:color="auto" w:fill="auto"/>
            <w:vAlign w:val="center"/>
          </w:tcPr>
          <w:p>
            <w:pPr>
              <w:jc w:val="right"/>
              <w:rPr>
                <w:rFonts w:eastAsiaTheme="maj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trPr>
        <w:tc>
          <w:tcPr>
            <w:tcW w:w="1559" w:type="dxa"/>
            <w:shd w:val="clear" w:color="auto" w:fill="auto"/>
            <w:vAlign w:val="center"/>
          </w:tcPr>
          <w:p>
            <w:pPr>
              <w:rPr>
                <w:rFonts w:eastAsiaTheme="majorEastAsia"/>
                <w:b/>
                <w:color w:val="000000"/>
                <w:kern w:val="0"/>
                <w:sz w:val="24"/>
                <w:szCs w:val="24"/>
              </w:rPr>
            </w:pPr>
            <w:r>
              <w:rPr>
                <w:rFonts w:eastAsiaTheme="majorEastAsia"/>
                <w:b/>
                <w:color w:val="000000"/>
                <w:kern w:val="0"/>
                <w:sz w:val="24"/>
                <w:szCs w:val="24"/>
              </w:rPr>
              <w:t>效益指标</w:t>
            </w:r>
          </w:p>
        </w:tc>
        <w:tc>
          <w:tcPr>
            <w:tcW w:w="2827" w:type="dxa"/>
            <w:shd w:val="clear" w:color="auto" w:fill="auto"/>
            <w:vAlign w:val="center"/>
          </w:tcPr>
          <w:p>
            <w:pPr>
              <w:rPr>
                <w:rFonts w:eastAsiaTheme="majorEastAsia"/>
                <w:b/>
                <w:color w:val="000000"/>
                <w:kern w:val="0"/>
                <w:sz w:val="24"/>
                <w:szCs w:val="24"/>
              </w:rPr>
            </w:pPr>
            <w:r>
              <w:rPr>
                <w:rFonts w:eastAsiaTheme="majorEastAsia"/>
                <w:b/>
                <w:color w:val="000000"/>
                <w:kern w:val="0"/>
                <w:sz w:val="24"/>
                <w:szCs w:val="24"/>
              </w:rPr>
              <w:t>社会效益指标</w:t>
            </w:r>
          </w:p>
        </w:tc>
        <w:tc>
          <w:tcPr>
            <w:tcW w:w="862" w:type="dxa"/>
            <w:shd w:val="clear" w:color="auto" w:fill="auto"/>
            <w:vAlign w:val="center"/>
          </w:tcPr>
          <w:p>
            <w:pPr>
              <w:jc w:val="right"/>
              <w:rPr>
                <w:rFonts w:eastAsiaTheme="majorEastAsia"/>
              </w:rPr>
            </w:pPr>
            <w:r>
              <w:rPr>
                <w:rFonts w:eastAsiaTheme="majorEastAsia"/>
              </w:rPr>
              <w:t>30</w:t>
            </w:r>
          </w:p>
        </w:tc>
        <w:tc>
          <w:tcPr>
            <w:tcW w:w="989" w:type="dxa"/>
            <w:gridSpan w:val="2"/>
            <w:tcBorders>
              <w:top w:val="nil"/>
              <w:left w:val="single" w:color="auto" w:sz="4" w:space="0"/>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29</w:t>
            </w:r>
          </w:p>
        </w:tc>
        <w:tc>
          <w:tcPr>
            <w:tcW w:w="993"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28</w:t>
            </w:r>
          </w:p>
        </w:tc>
        <w:tc>
          <w:tcPr>
            <w:tcW w:w="992"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27</w:t>
            </w:r>
          </w:p>
        </w:tc>
        <w:tc>
          <w:tcPr>
            <w:tcW w:w="857"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3" w:hRule="atLeast"/>
        </w:trPr>
        <w:tc>
          <w:tcPr>
            <w:tcW w:w="1559" w:type="dxa"/>
            <w:shd w:val="clear" w:color="auto" w:fill="auto"/>
            <w:vAlign w:val="center"/>
          </w:tcPr>
          <w:p>
            <w:pPr>
              <w:rPr>
                <w:rFonts w:eastAsiaTheme="majorEastAsia"/>
                <w:b/>
                <w:color w:val="000000"/>
                <w:kern w:val="0"/>
                <w:sz w:val="24"/>
                <w:szCs w:val="24"/>
              </w:rPr>
            </w:pPr>
            <w:r>
              <w:rPr>
                <w:rFonts w:eastAsiaTheme="majorEastAsia"/>
                <w:b/>
                <w:color w:val="000000"/>
                <w:kern w:val="0"/>
                <w:sz w:val="24"/>
                <w:szCs w:val="24"/>
              </w:rPr>
              <w:t>满意度指标</w:t>
            </w:r>
          </w:p>
        </w:tc>
        <w:tc>
          <w:tcPr>
            <w:tcW w:w="2827" w:type="dxa"/>
            <w:shd w:val="clear" w:color="auto" w:fill="auto"/>
            <w:vAlign w:val="center"/>
          </w:tcPr>
          <w:p>
            <w:pPr>
              <w:rPr>
                <w:rFonts w:eastAsiaTheme="majorEastAsia"/>
                <w:b/>
                <w:bCs/>
                <w:color w:val="000000"/>
                <w:kern w:val="0"/>
                <w:sz w:val="24"/>
                <w:szCs w:val="24"/>
              </w:rPr>
            </w:pPr>
            <w:r>
              <w:rPr>
                <w:rFonts w:eastAsiaTheme="majorEastAsia"/>
                <w:b/>
                <w:bCs/>
                <w:color w:val="000000"/>
                <w:kern w:val="0"/>
                <w:sz w:val="24"/>
                <w:szCs w:val="24"/>
              </w:rPr>
              <w:t>服务对象满意度指标</w:t>
            </w:r>
          </w:p>
        </w:tc>
        <w:tc>
          <w:tcPr>
            <w:tcW w:w="862" w:type="dxa"/>
            <w:shd w:val="clear" w:color="auto" w:fill="auto"/>
            <w:vAlign w:val="center"/>
          </w:tcPr>
          <w:p>
            <w:pPr>
              <w:jc w:val="right"/>
              <w:rPr>
                <w:rFonts w:eastAsiaTheme="majorEastAsia"/>
              </w:rPr>
            </w:pPr>
            <w:r>
              <w:rPr>
                <w:rFonts w:eastAsiaTheme="majorEastAsia"/>
              </w:rPr>
              <w:t>10</w:t>
            </w:r>
          </w:p>
        </w:tc>
        <w:tc>
          <w:tcPr>
            <w:tcW w:w="989" w:type="dxa"/>
            <w:gridSpan w:val="2"/>
            <w:tcBorders>
              <w:top w:val="nil"/>
              <w:left w:val="single" w:color="auto" w:sz="4" w:space="0"/>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9</w:t>
            </w:r>
          </w:p>
        </w:tc>
        <w:tc>
          <w:tcPr>
            <w:tcW w:w="993"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9</w:t>
            </w:r>
          </w:p>
        </w:tc>
        <w:tc>
          <w:tcPr>
            <w:tcW w:w="992"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9</w:t>
            </w:r>
          </w:p>
        </w:tc>
        <w:tc>
          <w:tcPr>
            <w:tcW w:w="857"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2" w:hRule="atLeast"/>
        </w:trPr>
        <w:tc>
          <w:tcPr>
            <w:tcW w:w="1559" w:type="dxa"/>
            <w:shd w:val="clear" w:color="auto" w:fill="auto"/>
            <w:vAlign w:val="center"/>
          </w:tcPr>
          <w:p>
            <w:pPr>
              <w:rPr>
                <w:rFonts w:eastAsiaTheme="majorEastAsia"/>
                <w:b/>
                <w:color w:val="000000"/>
                <w:kern w:val="0"/>
                <w:sz w:val="24"/>
                <w:szCs w:val="24"/>
              </w:rPr>
            </w:pPr>
            <w:r>
              <w:rPr>
                <w:rFonts w:eastAsiaTheme="majorEastAsia"/>
                <w:b/>
                <w:color w:val="000000"/>
                <w:kern w:val="0"/>
                <w:sz w:val="24"/>
                <w:szCs w:val="24"/>
              </w:rPr>
              <w:t>成本指标</w:t>
            </w:r>
          </w:p>
        </w:tc>
        <w:tc>
          <w:tcPr>
            <w:tcW w:w="2827" w:type="dxa"/>
            <w:shd w:val="clear" w:color="auto" w:fill="auto"/>
            <w:vAlign w:val="center"/>
          </w:tcPr>
          <w:p>
            <w:pPr>
              <w:rPr>
                <w:rFonts w:eastAsiaTheme="majorEastAsia"/>
                <w:b/>
                <w:color w:val="000000"/>
                <w:kern w:val="0"/>
                <w:sz w:val="24"/>
                <w:szCs w:val="24"/>
              </w:rPr>
            </w:pPr>
            <w:r>
              <w:rPr>
                <w:rFonts w:eastAsiaTheme="majorEastAsia"/>
                <w:b/>
                <w:color w:val="000000"/>
                <w:kern w:val="0"/>
                <w:sz w:val="24"/>
                <w:szCs w:val="24"/>
              </w:rPr>
              <w:t>经济成本指标</w:t>
            </w:r>
          </w:p>
        </w:tc>
        <w:tc>
          <w:tcPr>
            <w:tcW w:w="862" w:type="dxa"/>
            <w:shd w:val="clear" w:color="auto" w:fill="auto"/>
            <w:vAlign w:val="center"/>
          </w:tcPr>
          <w:p>
            <w:pPr>
              <w:jc w:val="right"/>
              <w:rPr>
                <w:rFonts w:eastAsiaTheme="majorEastAsia"/>
              </w:rPr>
            </w:pPr>
            <w:r>
              <w:rPr>
                <w:rFonts w:eastAsiaTheme="majorEastAsia"/>
              </w:rPr>
              <w:t>10</w:t>
            </w:r>
          </w:p>
        </w:tc>
        <w:tc>
          <w:tcPr>
            <w:tcW w:w="989" w:type="dxa"/>
            <w:gridSpan w:val="2"/>
            <w:tcBorders>
              <w:top w:val="nil"/>
              <w:left w:val="single" w:color="auto" w:sz="4" w:space="0"/>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10</w:t>
            </w:r>
          </w:p>
        </w:tc>
        <w:tc>
          <w:tcPr>
            <w:tcW w:w="993"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10</w:t>
            </w:r>
          </w:p>
        </w:tc>
        <w:tc>
          <w:tcPr>
            <w:tcW w:w="992"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10</w:t>
            </w:r>
          </w:p>
        </w:tc>
        <w:tc>
          <w:tcPr>
            <w:tcW w:w="857"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3" w:hRule="atLeast"/>
        </w:trPr>
        <w:tc>
          <w:tcPr>
            <w:tcW w:w="4386" w:type="dxa"/>
            <w:gridSpan w:val="2"/>
            <w:shd w:val="clear" w:color="auto" w:fill="auto"/>
            <w:vAlign w:val="center"/>
          </w:tcPr>
          <w:p>
            <w:pPr>
              <w:jc w:val="center"/>
              <w:rPr>
                <w:rFonts w:eastAsiaTheme="majorEastAsia"/>
                <w:b/>
              </w:rPr>
            </w:pPr>
            <w:r>
              <w:rPr>
                <w:rFonts w:eastAsiaTheme="majorEastAsia"/>
                <w:b/>
              </w:rPr>
              <w:t>合计</w:t>
            </w:r>
          </w:p>
        </w:tc>
        <w:tc>
          <w:tcPr>
            <w:tcW w:w="862" w:type="dxa"/>
            <w:shd w:val="clear" w:color="auto" w:fill="auto"/>
            <w:vAlign w:val="center"/>
          </w:tcPr>
          <w:p>
            <w:pPr>
              <w:jc w:val="right"/>
              <w:rPr>
                <w:rFonts w:eastAsiaTheme="majorEastAsia"/>
                <w:b/>
              </w:rPr>
            </w:pPr>
            <w:r>
              <w:rPr>
                <w:rFonts w:eastAsiaTheme="majorEastAsia"/>
                <w:b/>
              </w:rPr>
              <w:t>100</w:t>
            </w:r>
          </w:p>
        </w:tc>
        <w:tc>
          <w:tcPr>
            <w:tcW w:w="989" w:type="dxa"/>
            <w:gridSpan w:val="2"/>
            <w:shd w:val="clear" w:color="auto" w:fill="auto"/>
            <w:vAlign w:val="center"/>
          </w:tcPr>
          <w:p>
            <w:pPr>
              <w:jc w:val="right"/>
              <w:rPr>
                <w:rFonts w:eastAsiaTheme="majorEastAsia"/>
              </w:rPr>
            </w:pPr>
            <w:r>
              <w:rPr>
                <w:rFonts w:eastAsiaTheme="majorEastAsia"/>
              </w:rPr>
              <w:t>96</w:t>
            </w:r>
          </w:p>
        </w:tc>
        <w:tc>
          <w:tcPr>
            <w:tcW w:w="993" w:type="dxa"/>
            <w:tcBorders>
              <w:top w:val="nil"/>
              <w:left w:val="single" w:color="auto" w:sz="4" w:space="0"/>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95</w:t>
            </w:r>
          </w:p>
        </w:tc>
        <w:tc>
          <w:tcPr>
            <w:tcW w:w="992"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94</w:t>
            </w:r>
          </w:p>
        </w:tc>
        <w:tc>
          <w:tcPr>
            <w:tcW w:w="857" w:type="dxa"/>
            <w:tcBorders>
              <w:top w:val="nil"/>
              <w:left w:val="nil"/>
              <w:bottom w:val="single" w:color="auto" w:sz="4" w:space="0"/>
              <w:right w:val="single" w:color="auto" w:sz="4" w:space="0"/>
            </w:tcBorders>
            <w:shd w:val="clear" w:color="auto" w:fill="auto"/>
            <w:vAlign w:val="center"/>
          </w:tcPr>
          <w:p>
            <w:pPr>
              <w:jc w:val="right"/>
              <w:rPr>
                <w:rFonts w:eastAsiaTheme="majorEastAsia"/>
              </w:rPr>
            </w:pPr>
            <w:r>
              <w:rPr>
                <w:rFonts w:hint="eastAsia"/>
                <w:color w:val="000000"/>
                <w:szCs w:val="21"/>
              </w:rPr>
              <w:t>95</w:t>
            </w:r>
          </w:p>
        </w:tc>
      </w:tr>
    </w:tbl>
    <w:p/>
    <w:p/>
    <w:p/>
    <w:p/>
    <w:p/>
    <w:p/>
    <w:p/>
    <w:p/>
    <w:p/>
    <w:p/>
    <w:p/>
    <w:p/>
    <w:p/>
    <w:p/>
    <w:p/>
    <w:p/>
    <w:p/>
    <w:p/>
    <w:p>
      <w:pPr>
        <w:numPr>
          <w:ilvl w:val="0"/>
          <w:numId w:val="3"/>
        </w:numPr>
        <w:rPr>
          <w:b/>
          <w:sz w:val="24"/>
        </w:rPr>
      </w:pPr>
      <w:r>
        <w:rPr>
          <w:b/>
          <w:sz w:val="24"/>
        </w:rPr>
        <w:t>专家评价综合意见</w:t>
      </w:r>
    </w:p>
    <w:p/>
    <w:tbl>
      <w:tblPr>
        <w:tblStyle w:val="29"/>
        <w:tblW w:w="91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87"/>
        <w:gridCol w:w="7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518" w:hRule="atLeast"/>
        </w:trPr>
        <w:tc>
          <w:tcPr>
            <w:tcW w:w="1687" w:type="dxa"/>
            <w:vAlign w:val="center"/>
          </w:tcPr>
          <w:p>
            <w:pPr>
              <w:snapToGrid w:val="0"/>
              <w:jc w:val="center"/>
              <w:rPr>
                <w:sz w:val="24"/>
                <w:szCs w:val="24"/>
              </w:rPr>
            </w:pPr>
            <w:r>
              <w:rPr>
                <w:sz w:val="24"/>
                <w:szCs w:val="24"/>
              </w:rPr>
              <w:t>评价得分</w:t>
            </w:r>
          </w:p>
        </w:tc>
        <w:tc>
          <w:tcPr>
            <w:tcW w:w="7454" w:type="dxa"/>
            <w:vAlign w:val="center"/>
          </w:tcPr>
          <w:p>
            <w:pPr>
              <w:snapToGrid w:val="0"/>
              <w:jc w:val="center"/>
              <w:rPr>
                <w:sz w:val="24"/>
                <w:szCs w:val="24"/>
              </w:rPr>
            </w:pPr>
            <w:r>
              <w:rPr>
                <w:sz w:val="24"/>
                <w:szCs w:val="24"/>
              </w:rPr>
              <w:t>9</w:t>
            </w:r>
            <w:r>
              <w:rPr>
                <w:rFonts w:hint="eastAsia"/>
                <w:sz w:val="24"/>
                <w:szCs w:val="24"/>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676" w:hRule="atLeast"/>
        </w:trPr>
        <w:tc>
          <w:tcPr>
            <w:tcW w:w="1687" w:type="dxa"/>
            <w:vAlign w:val="center"/>
          </w:tcPr>
          <w:p>
            <w:pPr>
              <w:snapToGrid w:val="0"/>
              <w:jc w:val="center"/>
              <w:rPr>
                <w:sz w:val="24"/>
                <w:szCs w:val="24"/>
              </w:rPr>
            </w:pPr>
            <w:r>
              <w:rPr>
                <w:sz w:val="24"/>
                <w:szCs w:val="24"/>
              </w:rPr>
              <w:t>绩效级别</w:t>
            </w:r>
          </w:p>
        </w:tc>
        <w:tc>
          <w:tcPr>
            <w:tcW w:w="7454" w:type="dxa"/>
            <w:vAlign w:val="center"/>
          </w:tcPr>
          <w:p>
            <w:pPr>
              <w:ind w:firstLine="2640" w:firstLineChars="1100"/>
              <w:rPr>
                <w:rFonts w:asciiTheme="majorEastAsia" w:hAnsiTheme="majorEastAsia" w:eastAsiaTheme="majorEastAsia"/>
                <w:sz w:val="24"/>
                <w:szCs w:val="24"/>
              </w:rPr>
            </w:pPr>
            <w:r>
              <w:rPr>
                <w:rFonts w:asciiTheme="majorEastAsia" w:hAnsiTheme="majorEastAsia" w:eastAsiaTheme="majorEastAsia"/>
                <w:sz w:val="24"/>
                <w:szCs w:val="24"/>
              </w:rPr>
              <w:t xml:space="preserve">优(90分以上)    </w:t>
            </w:r>
            <w:r>
              <w:rPr>
                <w:rFonts w:ascii="Segoe UI Symbol" w:hAnsi="Segoe UI Symbol" w:cs="Segoe UI Symbol" w:eastAsiaTheme="majorEastAsia"/>
                <w:sz w:val="24"/>
                <w:szCs w:val="24"/>
              </w:rPr>
              <w:t>☑</w:t>
            </w:r>
          </w:p>
          <w:p>
            <w:pPr>
              <w:ind w:firstLine="2640" w:firstLineChars="1100"/>
              <w:rPr>
                <w:rFonts w:asciiTheme="majorEastAsia" w:hAnsiTheme="majorEastAsia" w:eastAsiaTheme="majorEastAsia"/>
                <w:sz w:val="24"/>
                <w:szCs w:val="24"/>
              </w:rPr>
            </w:pPr>
            <w:r>
              <w:rPr>
                <w:rFonts w:asciiTheme="majorEastAsia" w:hAnsiTheme="majorEastAsia" w:eastAsiaTheme="majorEastAsia"/>
                <w:sz w:val="24"/>
                <w:szCs w:val="24"/>
              </w:rPr>
              <w:t>良(80-90分)     □</w:t>
            </w:r>
          </w:p>
          <w:p>
            <w:pPr>
              <w:ind w:firstLine="2640" w:firstLineChars="1100"/>
              <w:rPr>
                <w:rFonts w:asciiTheme="majorEastAsia" w:hAnsiTheme="majorEastAsia" w:eastAsiaTheme="majorEastAsia"/>
                <w:sz w:val="24"/>
                <w:szCs w:val="24"/>
              </w:rPr>
            </w:pPr>
            <w:r>
              <w:rPr>
                <w:rFonts w:asciiTheme="majorEastAsia" w:hAnsiTheme="majorEastAsia" w:eastAsiaTheme="majorEastAsia"/>
                <w:sz w:val="24"/>
                <w:szCs w:val="24"/>
              </w:rPr>
              <w:t>中（60-80分）   □</w:t>
            </w:r>
          </w:p>
          <w:p>
            <w:pPr>
              <w:ind w:firstLine="2640" w:firstLineChars="1100"/>
              <w:rPr>
                <w:sz w:val="24"/>
                <w:szCs w:val="24"/>
              </w:rPr>
            </w:pPr>
            <w:r>
              <w:rPr>
                <w:rFonts w:asciiTheme="majorEastAsia" w:hAnsiTheme="majorEastAsia" w:eastAsiaTheme="majorEastAsia"/>
                <w:sz w:val="24"/>
                <w:szCs w:val="24"/>
              </w:rPr>
              <w:t>差（60分以下）  □</w:t>
            </w:r>
          </w:p>
        </w:tc>
      </w:tr>
    </w:tbl>
    <w:p/>
    <w:p/>
    <w:p/>
    <w:p/>
    <w:p/>
    <w:p/>
    <w:p/>
    <w:p/>
    <w:p/>
    <w:p/>
    <w:p/>
    <w:p/>
    <w:p/>
    <w:p/>
    <w:p/>
    <w:p/>
    <w:p/>
    <w:p/>
    <w:p/>
    <w:p>
      <w:pPr>
        <w:jc w:val="center"/>
        <w:rPr>
          <w:sz w:val="28"/>
          <w:szCs w:val="28"/>
        </w:rPr>
        <w:sectPr>
          <w:headerReference r:id="rId8" w:type="first"/>
          <w:footerReference r:id="rId9" w:type="first"/>
          <w:headerReference r:id="rId7" w:type="default"/>
          <w:pgSz w:w="11906" w:h="16838"/>
          <w:pgMar w:top="1134" w:right="1416" w:bottom="1418" w:left="1418" w:header="737" w:footer="710" w:gutter="0"/>
          <w:pgNumType w:start="1"/>
          <w:cols w:space="720" w:num="1"/>
          <w:titlePg/>
          <w:docGrid w:type="lines" w:linePitch="312" w:charSpace="0"/>
        </w:sectPr>
      </w:pPr>
    </w:p>
    <w:p>
      <w:pPr>
        <w:jc w:val="left"/>
        <w:rPr>
          <w:sz w:val="24"/>
          <w:szCs w:val="24"/>
        </w:rPr>
      </w:pPr>
      <w:r>
        <w:rPr>
          <w:sz w:val="24"/>
          <w:szCs w:val="24"/>
        </w:rPr>
        <w:t>附件4</w:t>
      </w:r>
      <w:r>
        <w:rPr>
          <w:rFonts w:hint="eastAsia"/>
          <w:sz w:val="24"/>
          <w:szCs w:val="24"/>
        </w:rPr>
        <w:t>：</w:t>
      </w:r>
    </w:p>
    <w:p>
      <w:pPr>
        <w:jc w:val="center"/>
        <w:rPr>
          <w:b/>
          <w:bCs/>
          <w:sz w:val="30"/>
          <w:szCs w:val="30"/>
        </w:rPr>
      </w:pPr>
      <w:bookmarkStart w:id="66" w:name="_Hlk162343513"/>
      <w:r>
        <w:rPr>
          <w:rFonts w:hint="eastAsia"/>
          <w:b/>
          <w:bCs/>
          <w:sz w:val="30"/>
          <w:szCs w:val="30"/>
        </w:rPr>
        <w:t>指标体系及打分情况表</w:t>
      </w:r>
      <w:bookmarkEnd w:id="66"/>
    </w:p>
    <w:tbl>
      <w:tblPr>
        <w:tblStyle w:val="29"/>
        <w:tblW w:w="14420" w:type="dxa"/>
        <w:tblInd w:w="5" w:type="dxa"/>
        <w:tblLayout w:type="fixed"/>
        <w:tblCellMar>
          <w:top w:w="0" w:type="dxa"/>
          <w:left w:w="108" w:type="dxa"/>
          <w:bottom w:w="0" w:type="dxa"/>
          <w:right w:w="108" w:type="dxa"/>
        </w:tblCellMar>
      </w:tblPr>
      <w:tblGrid>
        <w:gridCol w:w="810"/>
        <w:gridCol w:w="851"/>
        <w:gridCol w:w="708"/>
        <w:gridCol w:w="4680"/>
        <w:gridCol w:w="709"/>
        <w:gridCol w:w="709"/>
        <w:gridCol w:w="5953"/>
      </w:tblGrid>
      <w:tr>
        <w:tblPrEx>
          <w:tblLayout w:type="fixed"/>
          <w:tblCellMar>
            <w:top w:w="0" w:type="dxa"/>
            <w:left w:w="108" w:type="dxa"/>
            <w:bottom w:w="0" w:type="dxa"/>
            <w:right w:w="108" w:type="dxa"/>
          </w:tblCellMar>
        </w:tblPrEx>
        <w:trPr>
          <w:trHeight w:val="787" w:hRule="atLeast"/>
        </w:trPr>
        <w:tc>
          <w:tcPr>
            <w:tcW w:w="810"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b/>
                <w:bCs/>
                <w:color w:val="000000"/>
                <w:kern w:val="0"/>
                <w:sz w:val="22"/>
              </w:rPr>
            </w:pPr>
            <w:r>
              <w:rPr>
                <w:b/>
                <w:bCs/>
                <w:color w:val="000000"/>
                <w:kern w:val="0"/>
                <w:sz w:val="22"/>
              </w:rPr>
              <w:t>一级指标</w:t>
            </w:r>
          </w:p>
        </w:tc>
        <w:tc>
          <w:tcPr>
            <w:tcW w:w="851" w:type="dxa"/>
            <w:tcBorders>
              <w:top w:val="single" w:color="auto" w:sz="4" w:space="0"/>
              <w:left w:val="nil"/>
              <w:bottom w:val="single" w:color="auto" w:sz="4" w:space="0"/>
              <w:right w:val="single" w:color="auto" w:sz="4" w:space="0"/>
            </w:tcBorders>
            <w:shd w:val="clear" w:color="000000" w:fill="FFFFFF"/>
            <w:vAlign w:val="center"/>
          </w:tcPr>
          <w:p>
            <w:pPr>
              <w:widowControl/>
              <w:jc w:val="center"/>
              <w:rPr>
                <w:b/>
                <w:bCs/>
                <w:color w:val="000000"/>
                <w:kern w:val="0"/>
                <w:sz w:val="22"/>
              </w:rPr>
            </w:pPr>
            <w:r>
              <w:rPr>
                <w:b/>
                <w:bCs/>
                <w:color w:val="000000"/>
                <w:kern w:val="0"/>
                <w:sz w:val="22"/>
              </w:rPr>
              <w:t>二级指标</w:t>
            </w:r>
          </w:p>
        </w:tc>
        <w:tc>
          <w:tcPr>
            <w:tcW w:w="708" w:type="dxa"/>
            <w:tcBorders>
              <w:top w:val="single" w:color="auto" w:sz="4" w:space="0"/>
              <w:left w:val="nil"/>
              <w:bottom w:val="single" w:color="auto" w:sz="4" w:space="0"/>
              <w:right w:val="single" w:color="auto" w:sz="4" w:space="0"/>
            </w:tcBorders>
            <w:shd w:val="clear" w:color="000000" w:fill="FFFFFF"/>
            <w:vAlign w:val="center"/>
          </w:tcPr>
          <w:p>
            <w:pPr>
              <w:widowControl/>
              <w:jc w:val="center"/>
              <w:rPr>
                <w:b/>
                <w:bCs/>
                <w:color w:val="000000"/>
                <w:kern w:val="0"/>
                <w:sz w:val="22"/>
              </w:rPr>
            </w:pPr>
            <w:r>
              <w:rPr>
                <w:b/>
                <w:bCs/>
                <w:color w:val="000000"/>
                <w:kern w:val="0"/>
                <w:sz w:val="22"/>
              </w:rPr>
              <w:t>三级指标</w:t>
            </w:r>
          </w:p>
        </w:tc>
        <w:tc>
          <w:tcPr>
            <w:tcW w:w="4680" w:type="dxa"/>
            <w:tcBorders>
              <w:top w:val="single" w:color="auto" w:sz="4" w:space="0"/>
              <w:left w:val="nil"/>
              <w:bottom w:val="single" w:color="auto" w:sz="4" w:space="0"/>
              <w:right w:val="single" w:color="auto" w:sz="4" w:space="0"/>
            </w:tcBorders>
            <w:shd w:val="clear" w:color="000000" w:fill="FFFFFF"/>
            <w:vAlign w:val="center"/>
          </w:tcPr>
          <w:p>
            <w:pPr>
              <w:widowControl/>
              <w:jc w:val="center"/>
              <w:rPr>
                <w:b/>
                <w:bCs/>
                <w:color w:val="000000"/>
                <w:kern w:val="0"/>
                <w:sz w:val="22"/>
              </w:rPr>
            </w:pPr>
            <w:r>
              <w:rPr>
                <w:b/>
                <w:bCs/>
                <w:color w:val="000000"/>
                <w:kern w:val="0"/>
                <w:sz w:val="22"/>
              </w:rPr>
              <w:t>评价要点</w:t>
            </w:r>
          </w:p>
        </w:tc>
        <w:tc>
          <w:tcPr>
            <w:tcW w:w="70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b/>
                <w:bCs/>
                <w:color w:val="000000"/>
                <w:kern w:val="0"/>
                <w:sz w:val="22"/>
              </w:rPr>
            </w:pPr>
            <w:r>
              <w:rPr>
                <w:b/>
                <w:bCs/>
                <w:color w:val="000000"/>
                <w:kern w:val="0"/>
                <w:sz w:val="22"/>
              </w:rPr>
              <w:t>得分</w:t>
            </w:r>
          </w:p>
        </w:tc>
        <w:tc>
          <w:tcPr>
            <w:tcW w:w="70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b/>
                <w:bCs/>
                <w:color w:val="000000"/>
                <w:kern w:val="0"/>
                <w:sz w:val="22"/>
              </w:rPr>
            </w:pPr>
            <w:r>
              <w:rPr>
                <w:b/>
                <w:bCs/>
                <w:color w:val="000000"/>
                <w:kern w:val="0"/>
                <w:sz w:val="22"/>
              </w:rPr>
              <w:t>评价得分</w:t>
            </w:r>
          </w:p>
        </w:tc>
        <w:tc>
          <w:tcPr>
            <w:tcW w:w="5953" w:type="dxa"/>
            <w:tcBorders>
              <w:top w:val="single" w:color="auto" w:sz="4" w:space="0"/>
              <w:left w:val="nil"/>
              <w:bottom w:val="single" w:color="auto" w:sz="4" w:space="0"/>
              <w:right w:val="single" w:color="auto" w:sz="4" w:space="0"/>
            </w:tcBorders>
            <w:shd w:val="clear" w:color="000000" w:fill="FFFFFF"/>
            <w:vAlign w:val="center"/>
          </w:tcPr>
          <w:p>
            <w:pPr>
              <w:widowControl/>
              <w:jc w:val="center"/>
              <w:rPr>
                <w:b/>
                <w:bCs/>
                <w:color w:val="000000"/>
                <w:kern w:val="0"/>
                <w:sz w:val="22"/>
              </w:rPr>
            </w:pPr>
            <w:r>
              <w:rPr>
                <w:b/>
                <w:bCs/>
                <w:color w:val="000000"/>
                <w:kern w:val="0"/>
                <w:sz w:val="22"/>
              </w:rPr>
              <w:t>专家意见（扣分理由）</w:t>
            </w:r>
          </w:p>
        </w:tc>
      </w:tr>
      <w:tr>
        <w:tblPrEx>
          <w:tblLayout w:type="fixed"/>
          <w:tblCellMar>
            <w:top w:w="0" w:type="dxa"/>
            <w:left w:w="108" w:type="dxa"/>
            <w:bottom w:w="0" w:type="dxa"/>
            <w:right w:w="108" w:type="dxa"/>
          </w:tblCellMar>
        </w:tblPrEx>
        <w:trPr>
          <w:trHeight w:val="443" w:hRule="atLeast"/>
        </w:trPr>
        <w:tc>
          <w:tcPr>
            <w:tcW w:w="810" w:type="dxa"/>
            <w:tcBorders>
              <w:top w:val="nil"/>
              <w:left w:val="single" w:color="auto" w:sz="4" w:space="0"/>
              <w:bottom w:val="single" w:color="auto"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预算执行率</w:t>
            </w:r>
          </w:p>
        </w:tc>
        <w:tc>
          <w:tcPr>
            <w:tcW w:w="851" w:type="dxa"/>
            <w:tcBorders>
              <w:top w:val="nil"/>
              <w:left w:val="single" w:color="auto" w:sz="4" w:space="0"/>
              <w:bottom w:val="single" w:color="auto"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预算执行率</w:t>
            </w:r>
          </w:p>
        </w:tc>
        <w:tc>
          <w:tcPr>
            <w:tcW w:w="70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预算执行率</w:t>
            </w:r>
          </w:p>
        </w:tc>
        <w:tc>
          <w:tcPr>
            <w:tcW w:w="4680" w:type="dxa"/>
            <w:tcBorders>
              <w:top w:val="nil"/>
              <w:left w:val="nil"/>
              <w:bottom w:val="single" w:color="auto" w:sz="4" w:space="0"/>
              <w:right w:val="single" w:color="auto" w:sz="4" w:space="0"/>
            </w:tcBorders>
            <w:shd w:val="clear" w:color="000000" w:fill="FFFFFF"/>
            <w:vAlign w:val="center"/>
          </w:tcPr>
          <w:p>
            <w:pPr>
              <w:widowControl/>
              <w:rPr>
                <w:color w:val="000000"/>
                <w:kern w:val="0"/>
                <w:sz w:val="22"/>
              </w:rPr>
            </w:pPr>
            <w:r>
              <w:rPr>
                <w:color w:val="000000"/>
                <w:kern w:val="0"/>
                <w:sz w:val="22"/>
              </w:rPr>
              <w:t>项目预算执行率为100%</w:t>
            </w:r>
          </w:p>
        </w:tc>
        <w:tc>
          <w:tcPr>
            <w:tcW w:w="709" w:type="dxa"/>
            <w:tcBorders>
              <w:top w:val="nil"/>
              <w:left w:val="single" w:color="auto" w:sz="4" w:space="0"/>
              <w:bottom w:val="single" w:color="000000"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10</w:t>
            </w:r>
          </w:p>
        </w:tc>
        <w:tc>
          <w:tcPr>
            <w:tcW w:w="709" w:type="dxa"/>
            <w:tcBorders>
              <w:top w:val="nil"/>
              <w:left w:val="single" w:color="auto" w:sz="4" w:space="0"/>
              <w:bottom w:val="single" w:color="000000"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10</w:t>
            </w:r>
          </w:p>
        </w:tc>
        <w:tc>
          <w:tcPr>
            <w:tcW w:w="5953" w:type="dxa"/>
            <w:tcBorders>
              <w:top w:val="nil"/>
              <w:left w:val="single" w:color="auto" w:sz="4" w:space="0"/>
              <w:bottom w:val="single" w:color="auto" w:sz="4" w:space="0"/>
              <w:right w:val="single" w:color="auto" w:sz="4" w:space="0"/>
            </w:tcBorders>
            <w:shd w:val="clear" w:color="000000" w:fill="FFFFFF"/>
          </w:tcPr>
          <w:p>
            <w:pPr>
              <w:widowControl/>
              <w:jc w:val="left"/>
              <w:rPr>
                <w:color w:val="000000"/>
                <w:kern w:val="0"/>
                <w:sz w:val="22"/>
              </w:rPr>
            </w:pPr>
            <w:r>
              <w:rPr>
                <w:color w:val="000000"/>
                <w:kern w:val="0"/>
                <w:sz w:val="22"/>
              </w:rPr>
              <w:t>2023年北京朝阳科学家会客厅活动项目资金预算为50万元，从财政资金的人才发展资金（组织部还原）资金中列支50万元。已全额拨付项目承办单位。</w:t>
            </w:r>
          </w:p>
        </w:tc>
      </w:tr>
      <w:tr>
        <w:tblPrEx>
          <w:tblLayout w:type="fixed"/>
          <w:tblCellMar>
            <w:top w:w="0" w:type="dxa"/>
            <w:left w:w="108" w:type="dxa"/>
            <w:bottom w:w="0" w:type="dxa"/>
            <w:right w:w="108" w:type="dxa"/>
          </w:tblCellMar>
        </w:tblPrEx>
        <w:trPr>
          <w:trHeight w:val="456" w:hRule="atLeast"/>
        </w:trPr>
        <w:tc>
          <w:tcPr>
            <w:tcW w:w="810"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产出指标</w:t>
            </w:r>
          </w:p>
        </w:tc>
        <w:tc>
          <w:tcPr>
            <w:tcW w:w="851"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数量指标</w:t>
            </w:r>
          </w:p>
        </w:tc>
        <w:tc>
          <w:tcPr>
            <w:tcW w:w="70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活动场次</w:t>
            </w:r>
          </w:p>
        </w:tc>
        <w:tc>
          <w:tcPr>
            <w:tcW w:w="4680" w:type="dxa"/>
            <w:tcBorders>
              <w:top w:val="nil"/>
              <w:left w:val="nil"/>
              <w:bottom w:val="single" w:color="auto" w:sz="4" w:space="0"/>
              <w:right w:val="single" w:color="auto" w:sz="4" w:space="0"/>
            </w:tcBorders>
            <w:shd w:val="clear" w:color="000000" w:fill="FFFFFF"/>
            <w:vAlign w:val="center"/>
          </w:tcPr>
          <w:p>
            <w:pPr>
              <w:widowControl/>
              <w:rPr>
                <w:color w:val="000000"/>
                <w:kern w:val="0"/>
                <w:sz w:val="22"/>
              </w:rPr>
            </w:pPr>
            <w:r>
              <w:rPr>
                <w:color w:val="000000"/>
                <w:kern w:val="0"/>
                <w:sz w:val="22"/>
              </w:rPr>
              <w:t>实际完成率=（实际产出数/计划产出数）×100%。</w:t>
            </w:r>
          </w:p>
        </w:tc>
        <w:tc>
          <w:tcPr>
            <w:tcW w:w="709"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20</w:t>
            </w:r>
          </w:p>
        </w:tc>
        <w:tc>
          <w:tcPr>
            <w:tcW w:w="709" w:type="dxa"/>
            <w:vMerge w:val="restart"/>
            <w:tcBorders>
              <w:top w:val="nil"/>
              <w:left w:val="single" w:color="auto" w:sz="4" w:space="0"/>
              <w:bottom w:val="single" w:color="000000" w:sz="4" w:space="0"/>
              <w:right w:val="single" w:color="auto" w:sz="4" w:space="0"/>
            </w:tcBorders>
            <w:shd w:val="clear" w:color="000000" w:fill="FFFFFF"/>
            <w:vAlign w:val="center"/>
          </w:tcPr>
          <w:p>
            <w:pPr>
              <w:widowControl/>
              <w:jc w:val="center"/>
              <w:rPr>
                <w:color w:val="000000"/>
                <w:kern w:val="0"/>
                <w:sz w:val="22"/>
              </w:rPr>
            </w:pPr>
            <w:r>
              <w:rPr>
                <w:rFonts w:hint="eastAsia"/>
                <w:color w:val="000000"/>
                <w:kern w:val="0"/>
                <w:sz w:val="22"/>
              </w:rPr>
              <w:t>20</w:t>
            </w:r>
          </w:p>
        </w:tc>
        <w:tc>
          <w:tcPr>
            <w:tcW w:w="5953" w:type="dxa"/>
            <w:vMerge w:val="restart"/>
            <w:tcBorders>
              <w:top w:val="single" w:color="auto" w:sz="4" w:space="0"/>
              <w:left w:val="single" w:color="auto" w:sz="4" w:space="0"/>
              <w:right w:val="single" w:color="auto" w:sz="4" w:space="0"/>
            </w:tcBorders>
            <w:shd w:val="clear" w:color="000000" w:fill="FFFFFF"/>
            <w:vAlign w:val="center"/>
          </w:tcPr>
          <w:p>
            <w:pPr>
              <w:widowControl/>
              <w:jc w:val="left"/>
              <w:rPr>
                <w:color w:val="000000"/>
                <w:kern w:val="0"/>
                <w:sz w:val="22"/>
              </w:rPr>
            </w:pPr>
            <w:r>
              <w:rPr>
                <w:rFonts w:hint="eastAsia"/>
                <w:color w:val="000000"/>
                <w:kern w:val="0"/>
                <w:sz w:val="22"/>
              </w:rPr>
              <w:t>该项目过程管理比较规范，对项目承担单位进行持续有效的后续跟踪和监管。完成3场 “科学家会客厅”未来产业的研讨会和3场 “科学家会客厅” 专业领域科学家宣讲会6场专题活动。</w:t>
            </w:r>
          </w:p>
        </w:tc>
      </w:tr>
      <w:tr>
        <w:tblPrEx>
          <w:tblLayout w:type="fixed"/>
          <w:tblCellMar>
            <w:top w:w="0" w:type="dxa"/>
            <w:left w:w="108" w:type="dxa"/>
            <w:bottom w:w="0" w:type="dxa"/>
            <w:right w:w="108" w:type="dxa"/>
          </w:tblCellMar>
        </w:tblPrEx>
        <w:trPr>
          <w:trHeight w:val="846" w:hRule="atLeast"/>
        </w:trPr>
        <w:tc>
          <w:tcPr>
            <w:tcW w:w="81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22"/>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22"/>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22"/>
              </w:rPr>
            </w:pPr>
          </w:p>
        </w:tc>
        <w:tc>
          <w:tcPr>
            <w:tcW w:w="4680" w:type="dxa"/>
            <w:tcBorders>
              <w:top w:val="nil"/>
              <w:left w:val="nil"/>
              <w:bottom w:val="single" w:color="auto" w:sz="4" w:space="0"/>
              <w:right w:val="single" w:color="auto" w:sz="4" w:space="0"/>
            </w:tcBorders>
            <w:shd w:val="clear" w:color="000000" w:fill="FFFFFF"/>
            <w:vAlign w:val="center"/>
          </w:tcPr>
          <w:p>
            <w:pPr>
              <w:widowControl/>
              <w:rPr>
                <w:color w:val="000000"/>
                <w:kern w:val="0"/>
                <w:sz w:val="22"/>
              </w:rPr>
            </w:pPr>
            <w:r>
              <w:rPr>
                <w:color w:val="000000"/>
                <w:kern w:val="0"/>
                <w:sz w:val="22"/>
              </w:rPr>
              <w:t>实际产出数：开展3场 “科学家会客厅”未来产业的研讨会和3场 “科学家会客厅” 专业领域科学家宣讲会6场专题活动。</w:t>
            </w:r>
          </w:p>
        </w:tc>
        <w:tc>
          <w:tcPr>
            <w:tcW w:w="709" w:type="dxa"/>
            <w:vMerge w:val="continue"/>
            <w:tcBorders>
              <w:top w:val="nil"/>
              <w:left w:val="single" w:color="auto" w:sz="4" w:space="0"/>
              <w:bottom w:val="single" w:color="000000" w:sz="4" w:space="0"/>
              <w:right w:val="single" w:color="auto" w:sz="4" w:space="0"/>
            </w:tcBorders>
            <w:vAlign w:val="center"/>
          </w:tcPr>
          <w:p>
            <w:pPr>
              <w:widowControl/>
              <w:jc w:val="center"/>
              <w:rPr>
                <w:color w:val="000000"/>
                <w:kern w:val="0"/>
                <w:sz w:val="22"/>
              </w:rPr>
            </w:pPr>
          </w:p>
        </w:tc>
        <w:tc>
          <w:tcPr>
            <w:tcW w:w="709" w:type="dxa"/>
            <w:vMerge w:val="continue"/>
            <w:tcBorders>
              <w:top w:val="nil"/>
              <w:left w:val="single" w:color="auto" w:sz="4" w:space="0"/>
              <w:bottom w:val="single" w:color="000000" w:sz="4" w:space="0"/>
              <w:right w:val="single" w:color="auto" w:sz="4" w:space="0"/>
            </w:tcBorders>
            <w:vAlign w:val="center"/>
          </w:tcPr>
          <w:p>
            <w:pPr>
              <w:widowControl/>
              <w:jc w:val="center"/>
              <w:rPr>
                <w:color w:val="000000"/>
                <w:kern w:val="0"/>
                <w:sz w:val="22"/>
              </w:rPr>
            </w:pPr>
          </w:p>
        </w:tc>
        <w:tc>
          <w:tcPr>
            <w:tcW w:w="5953" w:type="dxa"/>
            <w:vMerge w:val="continue"/>
            <w:tcBorders>
              <w:left w:val="single" w:color="auto" w:sz="4" w:space="0"/>
              <w:right w:val="single" w:color="auto" w:sz="4" w:space="0"/>
            </w:tcBorders>
          </w:tcPr>
          <w:p>
            <w:pPr>
              <w:widowControl/>
              <w:jc w:val="left"/>
              <w:rPr>
                <w:color w:val="000000"/>
                <w:kern w:val="0"/>
                <w:sz w:val="22"/>
              </w:rPr>
            </w:pPr>
          </w:p>
        </w:tc>
      </w:tr>
      <w:tr>
        <w:tblPrEx>
          <w:tblLayout w:type="fixed"/>
          <w:tblCellMar>
            <w:top w:w="0" w:type="dxa"/>
            <w:left w:w="108" w:type="dxa"/>
            <w:bottom w:w="0" w:type="dxa"/>
            <w:right w:w="108" w:type="dxa"/>
          </w:tblCellMar>
        </w:tblPrEx>
        <w:trPr>
          <w:trHeight w:val="864" w:hRule="atLeast"/>
        </w:trPr>
        <w:tc>
          <w:tcPr>
            <w:tcW w:w="81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22"/>
              </w:rPr>
            </w:pPr>
          </w:p>
        </w:tc>
        <w:tc>
          <w:tcPr>
            <w:tcW w:w="851"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22"/>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22"/>
              </w:rPr>
            </w:pPr>
          </w:p>
        </w:tc>
        <w:tc>
          <w:tcPr>
            <w:tcW w:w="4680" w:type="dxa"/>
            <w:tcBorders>
              <w:top w:val="nil"/>
              <w:left w:val="nil"/>
              <w:bottom w:val="single" w:color="auto" w:sz="4" w:space="0"/>
              <w:right w:val="single" w:color="auto" w:sz="4" w:space="0"/>
            </w:tcBorders>
            <w:shd w:val="clear" w:color="000000" w:fill="FFFFFF"/>
            <w:vAlign w:val="center"/>
          </w:tcPr>
          <w:p>
            <w:pPr>
              <w:widowControl/>
              <w:rPr>
                <w:color w:val="000000"/>
                <w:kern w:val="0"/>
                <w:sz w:val="22"/>
              </w:rPr>
            </w:pPr>
            <w:r>
              <w:rPr>
                <w:color w:val="000000"/>
                <w:kern w:val="0"/>
                <w:sz w:val="22"/>
              </w:rPr>
              <w:t>计划产出数：开展3场 “科学家会客厅” 未来产业的研讨会和3场 “科学家会客厅” 专业领域科学家宣讲会。</w:t>
            </w:r>
          </w:p>
        </w:tc>
        <w:tc>
          <w:tcPr>
            <w:tcW w:w="709" w:type="dxa"/>
            <w:vMerge w:val="continue"/>
            <w:tcBorders>
              <w:top w:val="nil"/>
              <w:left w:val="single" w:color="auto" w:sz="4" w:space="0"/>
              <w:bottom w:val="single" w:color="000000" w:sz="4" w:space="0"/>
              <w:right w:val="single" w:color="auto" w:sz="4" w:space="0"/>
            </w:tcBorders>
            <w:vAlign w:val="center"/>
          </w:tcPr>
          <w:p>
            <w:pPr>
              <w:widowControl/>
              <w:jc w:val="center"/>
              <w:rPr>
                <w:color w:val="000000"/>
                <w:kern w:val="0"/>
                <w:sz w:val="22"/>
              </w:rPr>
            </w:pPr>
          </w:p>
        </w:tc>
        <w:tc>
          <w:tcPr>
            <w:tcW w:w="709" w:type="dxa"/>
            <w:vMerge w:val="continue"/>
            <w:tcBorders>
              <w:top w:val="nil"/>
              <w:left w:val="single" w:color="auto" w:sz="4" w:space="0"/>
              <w:bottom w:val="single" w:color="000000" w:sz="4" w:space="0"/>
              <w:right w:val="single" w:color="auto" w:sz="4" w:space="0"/>
            </w:tcBorders>
            <w:vAlign w:val="center"/>
          </w:tcPr>
          <w:p>
            <w:pPr>
              <w:widowControl/>
              <w:jc w:val="center"/>
              <w:rPr>
                <w:color w:val="000000"/>
                <w:kern w:val="0"/>
                <w:sz w:val="22"/>
              </w:rPr>
            </w:pPr>
          </w:p>
        </w:tc>
        <w:tc>
          <w:tcPr>
            <w:tcW w:w="5953" w:type="dxa"/>
            <w:vMerge w:val="continue"/>
            <w:tcBorders>
              <w:left w:val="single" w:color="auto" w:sz="4" w:space="0"/>
              <w:bottom w:val="single" w:color="000000" w:sz="4" w:space="0"/>
              <w:right w:val="single" w:color="auto" w:sz="4" w:space="0"/>
            </w:tcBorders>
          </w:tcPr>
          <w:p>
            <w:pPr>
              <w:widowControl/>
              <w:jc w:val="left"/>
              <w:rPr>
                <w:color w:val="000000"/>
                <w:kern w:val="0"/>
                <w:sz w:val="22"/>
              </w:rPr>
            </w:pPr>
          </w:p>
        </w:tc>
      </w:tr>
      <w:tr>
        <w:tblPrEx>
          <w:tblLayout w:type="fixed"/>
          <w:tblCellMar>
            <w:top w:w="0" w:type="dxa"/>
            <w:left w:w="108" w:type="dxa"/>
            <w:bottom w:w="0" w:type="dxa"/>
            <w:right w:w="108" w:type="dxa"/>
          </w:tblCellMar>
        </w:tblPrEx>
        <w:trPr>
          <w:trHeight w:val="3909" w:hRule="atLeast"/>
        </w:trPr>
        <w:tc>
          <w:tcPr>
            <w:tcW w:w="81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22"/>
              </w:rPr>
            </w:pPr>
          </w:p>
        </w:tc>
        <w:tc>
          <w:tcPr>
            <w:tcW w:w="851" w:type="dxa"/>
            <w:tcBorders>
              <w:top w:val="nil"/>
              <w:left w:val="nil"/>
              <w:bottom w:val="single" w:color="auto"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质量指标</w:t>
            </w:r>
          </w:p>
        </w:tc>
        <w:tc>
          <w:tcPr>
            <w:tcW w:w="708" w:type="dxa"/>
            <w:tcBorders>
              <w:top w:val="nil"/>
              <w:left w:val="single" w:color="auto" w:sz="4" w:space="0"/>
              <w:bottom w:val="single" w:color="auto"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项目达到预期效果</w:t>
            </w:r>
          </w:p>
        </w:tc>
        <w:tc>
          <w:tcPr>
            <w:tcW w:w="4680" w:type="dxa"/>
            <w:tcBorders>
              <w:top w:val="nil"/>
              <w:left w:val="nil"/>
              <w:bottom w:val="single" w:color="auto" w:sz="4" w:space="0"/>
              <w:right w:val="single" w:color="auto" w:sz="4" w:space="0"/>
            </w:tcBorders>
            <w:shd w:val="clear" w:color="000000" w:fill="FFFFFF"/>
            <w:vAlign w:val="center"/>
          </w:tcPr>
          <w:p>
            <w:pPr>
              <w:widowControl/>
              <w:jc w:val="left"/>
              <w:rPr>
                <w:color w:val="000000"/>
                <w:kern w:val="0"/>
                <w:sz w:val="22"/>
              </w:rPr>
            </w:pPr>
            <w:r>
              <w:rPr>
                <w:color w:val="000000"/>
                <w:kern w:val="0"/>
                <w:sz w:val="22"/>
              </w:rPr>
              <w:t>1）活动前设计制作6场活动预告、宣传海报、背景视觉，活动中做好活动的摄影摄像，通过各种宣传媒体实时发布现场照片。每场活动结束后次日向区科协提交新闻通稿1份，在3家市级主流媒体做宣传报道。</w:t>
            </w:r>
          </w:p>
          <w:p>
            <w:pPr>
              <w:widowControl/>
              <w:jc w:val="left"/>
              <w:rPr>
                <w:color w:val="000000"/>
                <w:kern w:val="0"/>
                <w:sz w:val="22"/>
              </w:rPr>
            </w:pPr>
            <w:r>
              <w:rPr>
                <w:color w:val="000000"/>
                <w:kern w:val="0"/>
                <w:sz w:val="22"/>
              </w:rPr>
              <w:t>2）线上线下参与人数不少于10多万听众，在多渠道媒体矩阵进行宣传报道。</w:t>
            </w:r>
          </w:p>
          <w:p>
            <w:pPr>
              <w:widowControl/>
              <w:jc w:val="left"/>
              <w:rPr>
                <w:color w:val="000000"/>
                <w:kern w:val="0"/>
                <w:sz w:val="22"/>
              </w:rPr>
            </w:pPr>
            <w:r>
              <w:rPr>
                <w:color w:val="000000"/>
                <w:kern w:val="0"/>
                <w:sz w:val="22"/>
              </w:rPr>
              <w:t>3）整合剪辑摄影摄像素材，在整体活动结束后20个工作日内向朝阳区科协提交不少于5分钟时长的活动宣传片。</w:t>
            </w:r>
          </w:p>
          <w:p>
            <w:pPr>
              <w:widowControl/>
              <w:jc w:val="left"/>
              <w:rPr>
                <w:color w:val="000000"/>
                <w:kern w:val="0"/>
                <w:sz w:val="22"/>
              </w:rPr>
            </w:pPr>
            <w:r>
              <w:rPr>
                <w:color w:val="000000"/>
                <w:kern w:val="0"/>
                <w:sz w:val="22"/>
              </w:rPr>
              <w:t>4）活动主视觉1个，LOGO1个，宣传海报6张。</w:t>
            </w:r>
          </w:p>
        </w:tc>
        <w:tc>
          <w:tcPr>
            <w:tcW w:w="709" w:type="dxa"/>
            <w:tcBorders>
              <w:top w:val="nil"/>
              <w:left w:val="single" w:color="auto" w:sz="4" w:space="0"/>
              <w:bottom w:val="single" w:color="000000"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10</w:t>
            </w:r>
          </w:p>
        </w:tc>
        <w:tc>
          <w:tcPr>
            <w:tcW w:w="709" w:type="dxa"/>
            <w:tcBorders>
              <w:top w:val="nil"/>
              <w:left w:val="single" w:color="auto" w:sz="4" w:space="0"/>
              <w:bottom w:val="single" w:color="000000"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10</w:t>
            </w:r>
          </w:p>
        </w:tc>
        <w:tc>
          <w:tcPr>
            <w:tcW w:w="5953" w:type="dxa"/>
            <w:tcBorders>
              <w:top w:val="nil"/>
              <w:left w:val="single" w:color="auto" w:sz="4" w:space="0"/>
              <w:bottom w:val="single" w:color="auto" w:sz="4" w:space="0"/>
              <w:right w:val="single" w:color="auto" w:sz="4" w:space="0"/>
            </w:tcBorders>
            <w:shd w:val="clear" w:color="000000" w:fill="FFFFFF"/>
            <w:vAlign w:val="center"/>
          </w:tcPr>
          <w:p>
            <w:pPr>
              <w:widowControl/>
              <w:jc w:val="left"/>
              <w:rPr>
                <w:color w:val="000000"/>
                <w:kern w:val="0"/>
                <w:sz w:val="22"/>
              </w:rPr>
            </w:pPr>
            <w:r>
              <w:rPr>
                <w:color w:val="000000"/>
                <w:kern w:val="0"/>
                <w:sz w:val="22"/>
              </w:rPr>
              <w:t>共走访科创精英32名，并聘任为会客厅青年科学家。举办6场专题活动，邀请52位专家参与活动，吸引256家企业精英、投资机构、科研院所代表参加，活动直播共吸引11万观众线上观看，共同为活动建言献策。设立“北京朝阳科学家会客厅”企业交流站5家，编制《数字经济人才赋能朝阳创新发展的研究及建议》报告一篇，整合剪辑摄影摄像素材制作出5分钟时长的活动宣传片，并以线下线上的形式，多渠道、全方位宣传科学家会客厅活动，累计收益人数突破48万人次。</w:t>
            </w:r>
          </w:p>
        </w:tc>
      </w:tr>
      <w:tr>
        <w:tblPrEx>
          <w:tblLayout w:type="fixed"/>
          <w:tblCellMar>
            <w:top w:w="0" w:type="dxa"/>
            <w:left w:w="108" w:type="dxa"/>
            <w:bottom w:w="0" w:type="dxa"/>
            <w:right w:w="108" w:type="dxa"/>
          </w:tblCellMar>
        </w:tblPrEx>
        <w:trPr>
          <w:trHeight w:val="849" w:hRule="atLeast"/>
        </w:trPr>
        <w:tc>
          <w:tcPr>
            <w:tcW w:w="81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22"/>
              </w:rPr>
            </w:pPr>
          </w:p>
        </w:tc>
        <w:tc>
          <w:tcPr>
            <w:tcW w:w="851" w:type="dxa"/>
            <w:vMerge w:val="restart"/>
            <w:tcBorders>
              <w:top w:val="nil"/>
              <w:left w:val="nil"/>
              <w:bottom w:val="single" w:color="auto"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时效指标</w:t>
            </w:r>
          </w:p>
        </w:tc>
        <w:tc>
          <w:tcPr>
            <w:tcW w:w="708"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项目执行期完成</w:t>
            </w:r>
          </w:p>
        </w:tc>
        <w:tc>
          <w:tcPr>
            <w:tcW w:w="4680" w:type="dxa"/>
            <w:tcBorders>
              <w:top w:val="single" w:color="auto" w:sz="4" w:space="0"/>
              <w:left w:val="nil"/>
              <w:bottom w:val="nil"/>
              <w:right w:val="single" w:color="auto" w:sz="4" w:space="0"/>
            </w:tcBorders>
            <w:shd w:val="clear" w:color="000000" w:fill="FFFFFF"/>
            <w:vAlign w:val="center"/>
          </w:tcPr>
          <w:p>
            <w:pPr>
              <w:widowControl/>
              <w:jc w:val="left"/>
              <w:rPr>
                <w:color w:val="000000"/>
                <w:kern w:val="0"/>
                <w:sz w:val="22"/>
              </w:rPr>
            </w:pPr>
            <w:r>
              <w:rPr>
                <w:color w:val="000000"/>
                <w:kern w:val="0"/>
                <w:sz w:val="22"/>
              </w:rPr>
              <w:t>实际完成时间：2023年3月24日至2023年9月21日。</w:t>
            </w:r>
          </w:p>
        </w:tc>
        <w:tc>
          <w:tcPr>
            <w:tcW w:w="709" w:type="dxa"/>
            <w:vMerge w:val="restart"/>
            <w:tcBorders>
              <w:top w:val="nil"/>
              <w:left w:val="nil"/>
              <w:right w:val="single" w:color="auto" w:sz="4" w:space="0"/>
            </w:tcBorders>
            <w:shd w:val="clear" w:color="000000" w:fill="FFFFFF"/>
            <w:vAlign w:val="center"/>
          </w:tcPr>
          <w:p>
            <w:pPr>
              <w:widowControl/>
              <w:jc w:val="center"/>
              <w:rPr>
                <w:color w:val="000000"/>
                <w:kern w:val="0"/>
                <w:sz w:val="22"/>
              </w:rPr>
            </w:pPr>
            <w:r>
              <w:rPr>
                <w:color w:val="000000"/>
                <w:kern w:val="0"/>
                <w:sz w:val="22"/>
              </w:rPr>
              <w:t>10</w:t>
            </w:r>
          </w:p>
        </w:tc>
        <w:tc>
          <w:tcPr>
            <w:tcW w:w="709" w:type="dxa"/>
            <w:vMerge w:val="restart"/>
            <w:tcBorders>
              <w:top w:val="nil"/>
              <w:left w:val="single" w:color="auto" w:sz="4" w:space="0"/>
              <w:bottom w:val="single" w:color="auto" w:sz="4" w:space="0"/>
              <w:right w:val="single" w:color="auto" w:sz="4" w:space="0"/>
            </w:tcBorders>
            <w:shd w:val="clear" w:color="000000" w:fill="FFFFFF"/>
            <w:vAlign w:val="center"/>
          </w:tcPr>
          <w:p>
            <w:pPr>
              <w:widowControl/>
              <w:jc w:val="center"/>
              <w:rPr>
                <w:color w:val="000000"/>
                <w:kern w:val="0"/>
                <w:sz w:val="22"/>
              </w:rPr>
            </w:pPr>
            <w:r>
              <w:rPr>
                <w:rFonts w:hint="eastAsia"/>
                <w:color w:val="000000"/>
                <w:kern w:val="0"/>
                <w:sz w:val="22"/>
              </w:rPr>
              <w:t>8</w:t>
            </w:r>
          </w:p>
        </w:tc>
        <w:tc>
          <w:tcPr>
            <w:tcW w:w="5953" w:type="dxa"/>
            <w:vMerge w:val="restart"/>
            <w:tcBorders>
              <w:top w:val="single" w:color="auto" w:sz="4" w:space="0"/>
              <w:left w:val="single" w:color="auto" w:sz="4" w:space="0"/>
              <w:right w:val="single" w:color="auto" w:sz="4" w:space="0"/>
            </w:tcBorders>
            <w:shd w:val="clear" w:color="000000" w:fill="FFFFFF"/>
            <w:vAlign w:val="center"/>
          </w:tcPr>
          <w:p>
            <w:pPr>
              <w:widowControl/>
              <w:jc w:val="left"/>
              <w:rPr>
                <w:color w:val="000000"/>
                <w:kern w:val="0"/>
                <w:sz w:val="22"/>
              </w:rPr>
            </w:pPr>
            <w:r>
              <w:rPr>
                <w:rFonts w:hint="eastAsia"/>
                <w:color w:val="000000"/>
                <w:kern w:val="0"/>
                <w:sz w:val="22"/>
              </w:rPr>
              <w:t>项目在2023年3月24日至2023年9月21日期间完成，该项目比任务书规定时间提前完成。</w:t>
            </w:r>
          </w:p>
          <w:p>
            <w:pPr>
              <w:widowControl/>
              <w:jc w:val="left"/>
              <w:rPr>
                <w:color w:val="000000"/>
                <w:kern w:val="0"/>
                <w:sz w:val="22"/>
              </w:rPr>
            </w:pPr>
            <w:r>
              <w:rPr>
                <w:rFonts w:hint="eastAsia"/>
                <w:color w:val="000000"/>
                <w:kern w:val="0"/>
                <w:sz w:val="22"/>
              </w:rPr>
              <w:t>除笫一场活动——“预见．看见．实践”工业互联科学趋势分享会任务书规定举办时间为2023年4月，实际举办时间为2023年5月。其他五场活动均如期举办。</w:t>
            </w:r>
          </w:p>
          <w:p>
            <w:pPr>
              <w:widowControl/>
              <w:jc w:val="left"/>
              <w:rPr>
                <w:color w:val="000000"/>
                <w:kern w:val="0"/>
                <w:sz w:val="22"/>
              </w:rPr>
            </w:pPr>
            <w:r>
              <w:rPr>
                <w:rFonts w:hint="eastAsia"/>
                <w:color w:val="000000"/>
                <w:kern w:val="0"/>
                <w:sz w:val="22"/>
              </w:rPr>
              <w:t>改进建议：进一步加强项目绩效跟踪管理，以发挥绩效目标在项目管理中的引导作用，持续进行后续跟踪监管，定期检查、持续跟进，要求活动时间按时举办。</w:t>
            </w:r>
          </w:p>
        </w:tc>
      </w:tr>
      <w:tr>
        <w:tblPrEx>
          <w:tblLayout w:type="fixed"/>
          <w:tblCellMar>
            <w:top w:w="0" w:type="dxa"/>
            <w:left w:w="108" w:type="dxa"/>
            <w:bottom w:w="0" w:type="dxa"/>
            <w:right w:w="108" w:type="dxa"/>
          </w:tblCellMar>
        </w:tblPrEx>
        <w:trPr>
          <w:trHeight w:val="1401" w:hRule="atLeast"/>
        </w:trPr>
        <w:tc>
          <w:tcPr>
            <w:tcW w:w="810"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22"/>
              </w:rPr>
            </w:pPr>
          </w:p>
        </w:tc>
        <w:tc>
          <w:tcPr>
            <w:tcW w:w="851" w:type="dxa"/>
            <w:vMerge w:val="continue"/>
            <w:tcBorders>
              <w:top w:val="nil"/>
              <w:left w:val="nil"/>
              <w:bottom w:val="single" w:color="auto" w:sz="4" w:space="0"/>
              <w:right w:val="single" w:color="auto" w:sz="4" w:space="0"/>
            </w:tcBorders>
            <w:vAlign w:val="center"/>
          </w:tcPr>
          <w:p>
            <w:pPr>
              <w:widowControl/>
              <w:jc w:val="left"/>
              <w:rPr>
                <w:color w:val="000000"/>
                <w:kern w:val="0"/>
                <w:sz w:val="22"/>
              </w:rPr>
            </w:pPr>
          </w:p>
        </w:tc>
        <w:tc>
          <w:tcPr>
            <w:tcW w:w="708" w:type="dxa"/>
            <w:vMerge w:val="continue"/>
            <w:tcBorders>
              <w:top w:val="nil"/>
              <w:left w:val="single" w:color="auto" w:sz="4" w:space="0"/>
              <w:bottom w:val="single" w:color="auto" w:sz="4" w:space="0"/>
              <w:right w:val="single" w:color="auto" w:sz="4" w:space="0"/>
            </w:tcBorders>
            <w:vAlign w:val="center"/>
          </w:tcPr>
          <w:p>
            <w:pPr>
              <w:widowControl/>
              <w:jc w:val="left"/>
              <w:rPr>
                <w:color w:val="000000"/>
                <w:kern w:val="0"/>
                <w:sz w:val="22"/>
              </w:rPr>
            </w:pPr>
          </w:p>
        </w:tc>
        <w:tc>
          <w:tcPr>
            <w:tcW w:w="4680" w:type="dxa"/>
            <w:tcBorders>
              <w:top w:val="nil"/>
              <w:left w:val="nil"/>
              <w:bottom w:val="single" w:color="auto" w:sz="4" w:space="0"/>
              <w:right w:val="single" w:color="auto" w:sz="4" w:space="0"/>
            </w:tcBorders>
            <w:shd w:val="clear" w:color="000000" w:fill="FFFFFF"/>
            <w:vAlign w:val="center"/>
          </w:tcPr>
          <w:p>
            <w:pPr>
              <w:widowControl/>
              <w:jc w:val="left"/>
              <w:rPr>
                <w:color w:val="000000"/>
                <w:kern w:val="0"/>
                <w:sz w:val="22"/>
              </w:rPr>
            </w:pPr>
            <w:r>
              <w:rPr>
                <w:color w:val="000000"/>
                <w:kern w:val="0"/>
                <w:sz w:val="22"/>
              </w:rPr>
              <w:t>计划完成时间：按照项目任务书及合同规定项目执行期间为：2023年3月24日至2023年9月30日。</w:t>
            </w:r>
          </w:p>
        </w:tc>
        <w:tc>
          <w:tcPr>
            <w:tcW w:w="709" w:type="dxa"/>
            <w:vMerge w:val="continue"/>
            <w:tcBorders>
              <w:left w:val="nil"/>
              <w:bottom w:val="single" w:color="auto" w:sz="4" w:space="0"/>
              <w:right w:val="single" w:color="auto" w:sz="4" w:space="0"/>
            </w:tcBorders>
            <w:shd w:val="clear" w:color="000000" w:fill="FFFFFF"/>
            <w:vAlign w:val="center"/>
          </w:tcPr>
          <w:p>
            <w:pPr>
              <w:widowControl/>
              <w:jc w:val="center"/>
              <w:rPr>
                <w:color w:val="000000"/>
                <w:kern w:val="0"/>
                <w:sz w:val="22"/>
              </w:rPr>
            </w:pPr>
          </w:p>
        </w:tc>
        <w:tc>
          <w:tcPr>
            <w:tcW w:w="709" w:type="dxa"/>
            <w:vMerge w:val="continue"/>
            <w:tcBorders>
              <w:top w:val="nil"/>
              <w:left w:val="single" w:color="auto" w:sz="4" w:space="0"/>
              <w:bottom w:val="single" w:color="auto" w:sz="4" w:space="0"/>
              <w:right w:val="single" w:color="auto" w:sz="4" w:space="0"/>
            </w:tcBorders>
            <w:vAlign w:val="center"/>
          </w:tcPr>
          <w:p>
            <w:pPr>
              <w:widowControl/>
              <w:jc w:val="center"/>
              <w:rPr>
                <w:color w:val="000000"/>
                <w:kern w:val="0"/>
                <w:sz w:val="22"/>
              </w:rPr>
            </w:pPr>
          </w:p>
        </w:tc>
        <w:tc>
          <w:tcPr>
            <w:tcW w:w="5953" w:type="dxa"/>
            <w:vMerge w:val="continue"/>
            <w:tcBorders>
              <w:left w:val="single" w:color="auto" w:sz="4" w:space="0"/>
              <w:bottom w:val="single" w:color="auto" w:sz="4" w:space="0"/>
              <w:right w:val="single" w:color="auto" w:sz="4" w:space="0"/>
            </w:tcBorders>
          </w:tcPr>
          <w:p>
            <w:pPr>
              <w:widowControl/>
              <w:jc w:val="left"/>
              <w:rPr>
                <w:color w:val="000000"/>
                <w:kern w:val="0"/>
                <w:sz w:val="22"/>
              </w:rPr>
            </w:pPr>
          </w:p>
        </w:tc>
      </w:tr>
      <w:tr>
        <w:tblPrEx>
          <w:tblLayout w:type="fixed"/>
          <w:tblCellMar>
            <w:top w:w="0" w:type="dxa"/>
            <w:left w:w="108" w:type="dxa"/>
            <w:bottom w:w="0" w:type="dxa"/>
            <w:right w:w="108" w:type="dxa"/>
          </w:tblCellMar>
        </w:tblPrEx>
        <w:trPr>
          <w:trHeight w:val="1734" w:hRule="atLeast"/>
        </w:trPr>
        <w:tc>
          <w:tcPr>
            <w:tcW w:w="810" w:type="dxa"/>
            <w:tcBorders>
              <w:top w:val="single" w:color="auto" w:sz="4" w:space="0"/>
              <w:left w:val="single" w:color="auto" w:sz="4" w:space="0"/>
              <w:bottom w:val="single" w:color="auto" w:sz="4" w:space="0"/>
              <w:right w:val="single" w:color="auto" w:sz="4" w:space="0"/>
            </w:tcBorders>
            <w:vAlign w:val="center"/>
          </w:tcPr>
          <w:p>
            <w:pPr>
              <w:jc w:val="center"/>
              <w:rPr>
                <w:color w:val="000000"/>
                <w:kern w:val="0"/>
                <w:sz w:val="22"/>
              </w:rPr>
            </w:pPr>
            <w:r>
              <w:rPr>
                <w:color w:val="000000"/>
                <w:kern w:val="0"/>
                <w:sz w:val="22"/>
              </w:rPr>
              <w:t>效益指标</w:t>
            </w:r>
          </w:p>
        </w:tc>
        <w:tc>
          <w:tcPr>
            <w:tcW w:w="851" w:type="dxa"/>
            <w:tcBorders>
              <w:top w:val="single" w:color="auto" w:sz="4" w:space="0"/>
              <w:left w:val="nil"/>
              <w:bottom w:val="single" w:color="auto"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社会效益指标</w:t>
            </w:r>
          </w:p>
        </w:tc>
        <w:tc>
          <w:tcPr>
            <w:tcW w:w="70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数据库</w:t>
            </w:r>
          </w:p>
        </w:tc>
        <w:tc>
          <w:tcPr>
            <w:tcW w:w="4680" w:type="dxa"/>
            <w:tcBorders>
              <w:top w:val="single" w:color="auto" w:sz="4" w:space="0"/>
              <w:left w:val="nil"/>
              <w:bottom w:val="single" w:color="auto" w:sz="4" w:space="0"/>
              <w:right w:val="nil"/>
            </w:tcBorders>
            <w:shd w:val="clear" w:color="000000" w:fill="FFFFFF"/>
            <w:vAlign w:val="center"/>
          </w:tcPr>
          <w:p>
            <w:pPr>
              <w:widowControl/>
              <w:jc w:val="left"/>
              <w:rPr>
                <w:color w:val="000000"/>
                <w:kern w:val="0"/>
                <w:sz w:val="22"/>
              </w:rPr>
            </w:pPr>
            <w:r>
              <w:rPr>
                <w:color w:val="000000"/>
                <w:kern w:val="0"/>
                <w:sz w:val="22"/>
              </w:rPr>
              <w:t>效益指标主要为形成3个数据库，具体为：形成问题库、成果库、项目库，编写专题报告1篇，建立高端专家资源库。</w:t>
            </w:r>
          </w:p>
        </w:tc>
        <w:tc>
          <w:tcPr>
            <w:tcW w:w="70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30</w:t>
            </w:r>
          </w:p>
        </w:tc>
        <w:tc>
          <w:tcPr>
            <w:tcW w:w="709" w:type="dxa"/>
            <w:tcBorders>
              <w:top w:val="nil"/>
              <w:left w:val="single" w:color="auto" w:sz="4" w:space="0"/>
              <w:bottom w:val="single" w:color="auto" w:sz="4" w:space="0"/>
              <w:right w:val="single" w:color="auto" w:sz="4" w:space="0"/>
            </w:tcBorders>
            <w:shd w:val="clear" w:color="000000" w:fill="FFFFFF"/>
            <w:vAlign w:val="center"/>
          </w:tcPr>
          <w:p>
            <w:pPr>
              <w:widowControl/>
              <w:jc w:val="center"/>
              <w:rPr>
                <w:color w:val="000000"/>
                <w:kern w:val="0"/>
                <w:sz w:val="22"/>
              </w:rPr>
            </w:pPr>
            <w:r>
              <w:rPr>
                <w:rFonts w:hint="eastAsia"/>
                <w:color w:val="000000"/>
                <w:kern w:val="0"/>
                <w:sz w:val="22"/>
              </w:rPr>
              <w:t>28</w:t>
            </w:r>
          </w:p>
        </w:tc>
        <w:tc>
          <w:tcPr>
            <w:tcW w:w="5953" w:type="dxa"/>
            <w:tcBorders>
              <w:top w:val="nil"/>
              <w:left w:val="single" w:color="auto" w:sz="4" w:space="0"/>
              <w:bottom w:val="single" w:color="auto" w:sz="4" w:space="0"/>
              <w:right w:val="single" w:color="auto" w:sz="4" w:space="0"/>
            </w:tcBorders>
            <w:shd w:val="clear" w:color="000000" w:fill="FFFFFF"/>
          </w:tcPr>
          <w:p>
            <w:pPr>
              <w:widowControl/>
              <w:jc w:val="left"/>
              <w:rPr>
                <w:color w:val="000000"/>
                <w:kern w:val="0"/>
                <w:sz w:val="22"/>
              </w:rPr>
            </w:pPr>
            <w:r>
              <w:rPr>
                <w:color w:val="000000"/>
                <w:kern w:val="0"/>
                <w:sz w:val="22"/>
              </w:rPr>
              <w:t>通过该项目形成3个数据库，具体为：问题库、成果库、项目库，编写专题报告1篇，建立高端专家资源库。</w:t>
            </w:r>
          </w:p>
          <w:p>
            <w:pPr>
              <w:widowControl/>
              <w:jc w:val="left"/>
              <w:rPr>
                <w:color w:val="000000"/>
                <w:kern w:val="0"/>
                <w:sz w:val="22"/>
              </w:rPr>
            </w:pPr>
            <w:r>
              <w:rPr>
                <w:rFonts w:hint="eastAsia"/>
                <w:color w:val="000000"/>
                <w:kern w:val="0"/>
                <w:sz w:val="22"/>
              </w:rPr>
              <w:t>改进建议：通过媒体加大宣传力度，树立“科学家会客厅”品牌影响力，进一步完善项目绩效成果的归集体系，扩大汇聚国内外前沿科技领域知名专家库；同时基于“企业科学家会客厅”汇总梳理的项目库，推进“科学家会客厅”企业站活动定期化开展。</w:t>
            </w:r>
          </w:p>
        </w:tc>
      </w:tr>
      <w:tr>
        <w:tblPrEx>
          <w:tblLayout w:type="fixed"/>
          <w:tblCellMar>
            <w:top w:w="0" w:type="dxa"/>
            <w:left w:w="108" w:type="dxa"/>
            <w:bottom w:w="0" w:type="dxa"/>
            <w:right w:w="108" w:type="dxa"/>
          </w:tblCellMar>
        </w:tblPrEx>
        <w:trPr>
          <w:trHeight w:val="1833" w:hRule="atLeast"/>
        </w:trPr>
        <w:tc>
          <w:tcPr>
            <w:tcW w:w="810" w:type="dxa"/>
            <w:tcBorders>
              <w:top w:val="single" w:color="auto" w:sz="4" w:space="0"/>
              <w:left w:val="single" w:color="000000" w:sz="8" w:space="0"/>
              <w:bottom w:val="single" w:color="auto" w:sz="4" w:space="0"/>
              <w:right w:val="nil"/>
            </w:tcBorders>
            <w:shd w:val="clear" w:color="000000" w:fill="FFFFFF"/>
            <w:vAlign w:val="center"/>
          </w:tcPr>
          <w:p>
            <w:pPr>
              <w:jc w:val="center"/>
              <w:rPr>
                <w:color w:val="000000"/>
                <w:kern w:val="0"/>
                <w:sz w:val="22"/>
              </w:rPr>
            </w:pPr>
            <w:r>
              <w:rPr>
                <w:color w:val="000000"/>
                <w:kern w:val="0"/>
                <w:sz w:val="22"/>
              </w:rPr>
              <w:t>满意度指标</w:t>
            </w:r>
          </w:p>
        </w:tc>
        <w:tc>
          <w:tcPr>
            <w:tcW w:w="851" w:type="dxa"/>
            <w:tcBorders>
              <w:top w:val="single" w:color="auto" w:sz="4" w:space="0"/>
              <w:left w:val="single" w:color="auto" w:sz="4" w:space="0"/>
              <w:bottom w:val="single" w:color="auto" w:sz="4" w:space="0"/>
              <w:right w:val="single" w:color="auto" w:sz="4" w:space="0"/>
            </w:tcBorders>
            <w:shd w:val="clear" w:color="000000" w:fill="FFFFFF"/>
            <w:vAlign w:val="center"/>
          </w:tcPr>
          <w:p>
            <w:pPr>
              <w:jc w:val="center"/>
              <w:rPr>
                <w:color w:val="000000"/>
                <w:kern w:val="0"/>
                <w:sz w:val="22"/>
              </w:rPr>
            </w:pPr>
            <w:r>
              <w:rPr>
                <w:color w:val="000000"/>
                <w:kern w:val="0"/>
                <w:sz w:val="22"/>
              </w:rPr>
              <w:t>服务对象满意度指标</w:t>
            </w:r>
          </w:p>
        </w:tc>
        <w:tc>
          <w:tcPr>
            <w:tcW w:w="708" w:type="dxa"/>
            <w:tcBorders>
              <w:top w:val="single" w:color="auto" w:sz="4" w:space="0"/>
              <w:left w:val="nil"/>
              <w:bottom w:val="single" w:color="auto"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科技人才满意度</w:t>
            </w:r>
          </w:p>
        </w:tc>
        <w:tc>
          <w:tcPr>
            <w:tcW w:w="4680" w:type="dxa"/>
            <w:tcBorders>
              <w:top w:val="single" w:color="auto" w:sz="4" w:space="0"/>
              <w:left w:val="nil"/>
              <w:bottom w:val="single" w:color="auto" w:sz="4" w:space="0"/>
              <w:right w:val="single" w:color="auto" w:sz="4" w:space="0"/>
            </w:tcBorders>
            <w:shd w:val="clear" w:color="000000" w:fill="FFFFFF"/>
            <w:vAlign w:val="center"/>
          </w:tcPr>
          <w:p>
            <w:pPr>
              <w:widowControl/>
              <w:jc w:val="left"/>
              <w:rPr>
                <w:color w:val="000000"/>
                <w:kern w:val="0"/>
                <w:sz w:val="22"/>
              </w:rPr>
            </w:pPr>
            <w:r>
              <w:rPr>
                <w:color w:val="000000"/>
                <w:kern w:val="0"/>
                <w:sz w:val="22"/>
              </w:rPr>
              <w:t>制作调查问卷，邀请嘉宾填写，确保科技人才满意度在95%以上。</w:t>
            </w:r>
          </w:p>
        </w:tc>
        <w:tc>
          <w:tcPr>
            <w:tcW w:w="70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10</w:t>
            </w:r>
          </w:p>
        </w:tc>
        <w:tc>
          <w:tcPr>
            <w:tcW w:w="709" w:type="dxa"/>
            <w:tcBorders>
              <w:top w:val="single" w:color="auto" w:sz="4" w:space="0"/>
              <w:left w:val="nil"/>
              <w:bottom w:val="single" w:color="auto" w:sz="4" w:space="0"/>
              <w:right w:val="single" w:color="auto" w:sz="4" w:space="0"/>
            </w:tcBorders>
            <w:shd w:val="clear" w:color="000000" w:fill="FFFFFF"/>
            <w:vAlign w:val="center"/>
          </w:tcPr>
          <w:p>
            <w:pPr>
              <w:widowControl/>
              <w:jc w:val="center"/>
              <w:rPr>
                <w:color w:val="000000"/>
                <w:kern w:val="0"/>
                <w:sz w:val="22"/>
              </w:rPr>
            </w:pPr>
            <w:r>
              <w:rPr>
                <w:rFonts w:hint="eastAsia"/>
                <w:color w:val="000000"/>
                <w:kern w:val="0"/>
                <w:sz w:val="22"/>
              </w:rPr>
              <w:t>9</w:t>
            </w:r>
          </w:p>
        </w:tc>
        <w:tc>
          <w:tcPr>
            <w:tcW w:w="5953" w:type="dxa"/>
            <w:tcBorders>
              <w:top w:val="single" w:color="auto" w:sz="4" w:space="0"/>
              <w:left w:val="nil"/>
              <w:bottom w:val="single" w:color="auto" w:sz="4" w:space="0"/>
              <w:right w:val="single" w:color="auto" w:sz="4" w:space="0"/>
            </w:tcBorders>
            <w:shd w:val="clear" w:color="000000" w:fill="FFFFFF"/>
            <w:vAlign w:val="center"/>
          </w:tcPr>
          <w:p>
            <w:pPr>
              <w:widowControl/>
              <w:jc w:val="left"/>
              <w:rPr>
                <w:color w:val="000000"/>
                <w:kern w:val="0"/>
                <w:sz w:val="22"/>
              </w:rPr>
            </w:pPr>
            <w:r>
              <w:rPr>
                <w:color w:val="000000"/>
                <w:kern w:val="0"/>
                <w:sz w:val="22"/>
              </w:rPr>
              <w:t>朝阳区科协以调查问卷的形式，邀请嘉宾填写，开展服务对象满意度调查及分析工作，对受活动情况进行满意度调查。朝阳区科协共发出171份调查表，收回111份有效的调查表。根据调查表情况统计，科技人才对2023年北京朝阳科学家会客厅活动项目的6场活动满意度达100% 。</w:t>
            </w:r>
          </w:p>
        </w:tc>
      </w:tr>
      <w:tr>
        <w:tblPrEx>
          <w:tblLayout w:type="fixed"/>
          <w:tblCellMar>
            <w:top w:w="0" w:type="dxa"/>
            <w:left w:w="108" w:type="dxa"/>
            <w:bottom w:w="0" w:type="dxa"/>
            <w:right w:w="108" w:type="dxa"/>
          </w:tblCellMar>
        </w:tblPrEx>
        <w:trPr>
          <w:trHeight w:val="889" w:hRule="atLeast"/>
        </w:trPr>
        <w:tc>
          <w:tcPr>
            <w:tcW w:w="810" w:type="dxa"/>
            <w:tcBorders>
              <w:top w:val="single" w:color="auto" w:sz="4" w:space="0"/>
              <w:left w:val="single" w:color="000000" w:sz="8" w:space="0"/>
              <w:bottom w:val="nil"/>
              <w:right w:val="nil"/>
            </w:tcBorders>
            <w:vAlign w:val="center"/>
          </w:tcPr>
          <w:p>
            <w:pPr>
              <w:rPr>
                <w:color w:val="000000"/>
                <w:kern w:val="0"/>
                <w:sz w:val="22"/>
              </w:rPr>
            </w:pPr>
            <w:r>
              <w:rPr>
                <w:color w:val="000000"/>
                <w:kern w:val="0"/>
                <w:sz w:val="22"/>
              </w:rPr>
              <w:t>成本指标</w:t>
            </w:r>
          </w:p>
        </w:tc>
        <w:tc>
          <w:tcPr>
            <w:tcW w:w="851" w:type="dxa"/>
            <w:tcBorders>
              <w:top w:val="single" w:color="auto" w:sz="4" w:space="0"/>
              <w:left w:val="single" w:color="auto" w:sz="4" w:space="0"/>
              <w:bottom w:val="single" w:color="auto" w:sz="4" w:space="0"/>
              <w:right w:val="single" w:color="auto" w:sz="4" w:space="0"/>
            </w:tcBorders>
            <w:vAlign w:val="center"/>
          </w:tcPr>
          <w:p>
            <w:pPr>
              <w:jc w:val="center"/>
              <w:rPr>
                <w:color w:val="000000"/>
                <w:kern w:val="0"/>
                <w:sz w:val="22"/>
              </w:rPr>
            </w:pPr>
            <w:r>
              <w:rPr>
                <w:color w:val="000000"/>
                <w:kern w:val="0"/>
                <w:sz w:val="22"/>
              </w:rPr>
              <w:t>经济成本指标</w:t>
            </w:r>
          </w:p>
        </w:tc>
        <w:tc>
          <w:tcPr>
            <w:tcW w:w="708" w:type="dxa"/>
            <w:tcBorders>
              <w:top w:val="single" w:color="auto" w:sz="4" w:space="0"/>
              <w:left w:val="nil"/>
              <w:bottom w:val="single" w:color="auto"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预算控制数</w:t>
            </w:r>
          </w:p>
        </w:tc>
        <w:tc>
          <w:tcPr>
            <w:tcW w:w="4680" w:type="dxa"/>
            <w:tcBorders>
              <w:top w:val="nil"/>
              <w:left w:val="nil"/>
              <w:bottom w:val="single" w:color="auto" w:sz="4" w:space="0"/>
              <w:right w:val="single" w:color="auto" w:sz="4" w:space="0"/>
            </w:tcBorders>
            <w:shd w:val="clear" w:color="000000" w:fill="FFFFFF"/>
            <w:vAlign w:val="center"/>
          </w:tcPr>
          <w:p>
            <w:pPr>
              <w:widowControl/>
              <w:rPr>
                <w:color w:val="000000"/>
                <w:kern w:val="0"/>
                <w:sz w:val="22"/>
              </w:rPr>
            </w:pPr>
            <w:r>
              <w:rPr>
                <w:color w:val="000000"/>
                <w:kern w:val="0"/>
                <w:sz w:val="22"/>
              </w:rPr>
              <w:t>项目申请经费金额50万元，项目经费总预算50万元。</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10</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color w:val="000000"/>
                <w:kern w:val="0"/>
                <w:sz w:val="22"/>
              </w:rPr>
            </w:pPr>
            <w:r>
              <w:rPr>
                <w:color w:val="000000"/>
                <w:kern w:val="0"/>
                <w:sz w:val="22"/>
              </w:rPr>
              <w:t>10</w:t>
            </w:r>
          </w:p>
        </w:tc>
        <w:tc>
          <w:tcPr>
            <w:tcW w:w="5953" w:type="dxa"/>
            <w:tcBorders>
              <w:top w:val="nil"/>
              <w:left w:val="nil"/>
              <w:bottom w:val="single" w:color="auto" w:sz="4" w:space="0"/>
              <w:right w:val="single" w:color="auto" w:sz="4" w:space="0"/>
            </w:tcBorders>
            <w:shd w:val="clear" w:color="000000" w:fill="FFFFFF"/>
          </w:tcPr>
          <w:p>
            <w:pPr>
              <w:widowControl/>
              <w:jc w:val="left"/>
              <w:rPr>
                <w:color w:val="000000"/>
                <w:kern w:val="0"/>
                <w:sz w:val="22"/>
              </w:rPr>
            </w:pPr>
            <w:r>
              <w:rPr>
                <w:color w:val="000000"/>
                <w:kern w:val="0"/>
                <w:sz w:val="22"/>
              </w:rPr>
              <w:t>2023年北京朝阳科学家会客厅活动项目资金的年度预算为50万元，经北京润盛嘉华会计师事务所有限公司经费审计报告确认，2023年北京朝阳科学家会客厅活动项目实际支出50万元，其中：专家劳务费8万元，项目调研费4万元，人员劳务费13.50万元，场地租赁费4.8万元，设备租赁费11万元，设计制作费8万元，材料费0.4万元，审计费0.3万元。</w:t>
            </w:r>
          </w:p>
        </w:tc>
      </w:tr>
      <w:tr>
        <w:tblPrEx>
          <w:tblLayout w:type="fixed"/>
          <w:tblCellMar>
            <w:top w:w="0" w:type="dxa"/>
            <w:left w:w="108" w:type="dxa"/>
            <w:bottom w:w="0" w:type="dxa"/>
            <w:right w:w="108" w:type="dxa"/>
          </w:tblCellMar>
        </w:tblPrEx>
        <w:trPr>
          <w:trHeight w:val="459" w:hRule="atLeast"/>
        </w:trPr>
        <w:tc>
          <w:tcPr>
            <w:tcW w:w="7049" w:type="dxa"/>
            <w:gridSpan w:val="4"/>
            <w:tcBorders>
              <w:top w:val="single" w:color="auto" w:sz="4" w:space="0"/>
              <w:left w:val="single" w:color="000000" w:sz="8" w:space="0"/>
              <w:bottom w:val="single" w:color="auto" w:sz="4" w:space="0"/>
              <w:right w:val="single" w:color="auto" w:sz="4" w:space="0"/>
            </w:tcBorders>
            <w:vAlign w:val="center"/>
          </w:tcPr>
          <w:p>
            <w:pPr>
              <w:widowControl/>
              <w:jc w:val="center"/>
              <w:rPr>
                <w:color w:val="000000"/>
                <w:kern w:val="0"/>
                <w:sz w:val="22"/>
              </w:rPr>
            </w:pPr>
            <w:r>
              <w:rPr>
                <w:color w:val="000000"/>
                <w:kern w:val="0"/>
                <w:sz w:val="22"/>
              </w:rPr>
              <w:t>合计</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 w:val="22"/>
              </w:rPr>
            </w:pPr>
            <w:r>
              <w:rPr>
                <w:color w:val="000000"/>
                <w:kern w:val="0"/>
                <w:sz w:val="22"/>
              </w:rPr>
              <w:t>100</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rPr>
                <w:color w:val="000000"/>
                <w:kern w:val="0"/>
                <w:sz w:val="22"/>
              </w:rPr>
            </w:pPr>
            <w:r>
              <w:rPr>
                <w:rFonts w:hint="eastAsia"/>
                <w:color w:val="000000"/>
                <w:kern w:val="0"/>
                <w:sz w:val="22"/>
              </w:rPr>
              <w:t>95</w:t>
            </w:r>
          </w:p>
        </w:tc>
        <w:tc>
          <w:tcPr>
            <w:tcW w:w="5953" w:type="dxa"/>
            <w:tcBorders>
              <w:top w:val="single" w:color="auto" w:sz="4" w:space="0"/>
              <w:left w:val="single" w:color="auto" w:sz="4" w:space="0"/>
              <w:bottom w:val="single" w:color="auto" w:sz="4" w:space="0"/>
              <w:right w:val="single" w:color="auto" w:sz="4" w:space="0"/>
            </w:tcBorders>
            <w:vAlign w:val="center"/>
          </w:tcPr>
          <w:p>
            <w:pPr>
              <w:widowControl/>
              <w:rPr>
                <w:color w:val="000000"/>
                <w:kern w:val="0"/>
                <w:sz w:val="22"/>
              </w:rPr>
            </w:pPr>
          </w:p>
        </w:tc>
      </w:tr>
    </w:tbl>
    <w:p/>
    <w:sectPr>
      <w:headerReference r:id="rId10" w:type="default"/>
      <w:footerReference r:id="rId11" w:type="default"/>
      <w:pgSz w:w="16838" w:h="11906" w:orient="landscape"/>
      <w:pgMar w:top="1418" w:right="1134" w:bottom="1418" w:left="1418" w:header="737" w:footer="573" w:gutter="0"/>
      <w:pgNumType w:start="17"/>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Optimum">
    <w:altName w:val="Times New Roman"/>
    <w:panose1 w:val="00000000000000000000"/>
    <w:charset w:val="00"/>
    <w:family w:val="auto"/>
    <w:pitch w:val="default"/>
    <w:sig w:usb0="00000000" w:usb1="00000000" w:usb2="00000000" w:usb3="00000000" w:csb0="00000001" w:csb1="00000000"/>
  </w:font>
  <w:font w:name="Garamond">
    <w:panose1 w:val="02020404030301010803"/>
    <w:charset w:val="00"/>
    <w:family w:val="roman"/>
    <w:pitch w:val="default"/>
    <w:sig w:usb0="00000287" w:usb1="00000000" w:usb2="00000000" w:usb3="00000000" w:csb0="0000009F" w:csb1="DFD70000"/>
  </w:font>
  <w:font w:name="PMingLiU">
    <w:panose1 w:val="02020500000000000000"/>
    <w:charset w:val="88"/>
    <w:family w:val="roman"/>
    <w:pitch w:val="default"/>
    <w:sig w:usb0="A00002FF" w:usb1="28CFFCFA" w:usb2="00000016" w:usb3="00000000" w:csb0="00100001" w:csb1="00000000"/>
  </w:font>
  <w:font w:name="Arial">
    <w:panose1 w:val="020B0604020202020204"/>
    <w:charset w:val="00"/>
    <w:family w:val="swiss"/>
    <w:pitch w:val="default"/>
    <w:sig w:usb0="E0002AFF" w:usb1="C0007843" w:usb2="00000009" w:usb3="00000000" w:csb0="400001FF" w:csb1="FFFF0000"/>
  </w:font>
  <w:font w:name="Univers">
    <w:altName w:val="Segoe Print"/>
    <w:panose1 w:val="00000000000000000000"/>
    <w:charset w:val="00"/>
    <w:family w:val="swiss"/>
    <w:pitch w:val="default"/>
    <w:sig w:usb0="00000000" w:usb1="00000000" w:usb2="00000000" w:usb3="00000000" w:csb0="0000000F" w:csb1="00000000"/>
  </w:font>
  <w:font w:name="Verdana">
    <w:panose1 w:val="020B0604030504040204"/>
    <w:charset w:val="00"/>
    <w:family w:val="swiss"/>
    <w:pitch w:val="default"/>
    <w:sig w:usb0="A10006FF" w:usb1="4000205B" w:usb2="00000010" w:usb3="00000000" w:csb0="2000019F" w:csb1="00000000"/>
  </w:font>
  <w:font w:name="Arial Narrow">
    <w:panose1 w:val="020B0606020202030204"/>
    <w:charset w:val="00"/>
    <w:family w:val="swiss"/>
    <w:pitch w:val="default"/>
    <w:sig w:usb0="00000287" w:usb1="00000800" w:usb2="00000000" w:usb3="00000000" w:csb0="2000009F" w:csb1="DFD70000"/>
  </w:font>
  <w:font w:name="挀甀洀攀渀">
    <w:altName w:val="宋体"/>
    <w:panose1 w:val="00000000000000000000"/>
    <w:charset w:val="86"/>
    <w:family w:val="auto"/>
    <w:pitch w:val="default"/>
    <w:sig w:usb0="00000000" w:usb1="00000000" w:usb2="00000010" w:usb3="00000000" w:csb0="00040000" w:csb1="00000000"/>
  </w:font>
  <w:font w:name="Segoe UI Symbol">
    <w:panose1 w:val="020B0502040204020203"/>
    <w:charset w:val="00"/>
    <w:family w:val="swiss"/>
    <w:pitch w:val="default"/>
    <w:sig w:usb0="8000006F" w:usb1="1200FBEF" w:usb2="0064C000" w:usb3="00000002" w:csb0="00000001" w:csb1="4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72343335"/>
    </w:sdtPr>
    <w:sdtContent>
      <w:p>
        <w:pPr>
          <w:pStyle w:val="18"/>
        </w:pPr>
        <w:r>
          <w:rPr>
            <w:rFonts w:hint="eastAsia"/>
          </w:rPr>
          <w:t xml:space="preserve"> </w:t>
        </w:r>
      </w:p>
      <w:p>
        <w:pPr>
          <w:pStyle w:val="18"/>
          <w:jc w:val="center"/>
        </w:pPr>
        <w:r>
          <w:fldChar w:fldCharType="begin"/>
        </w:r>
        <w:r>
          <w:instrText xml:space="preserve">PAGE   \* MERGEFORMAT</w:instrText>
        </w:r>
        <w:r>
          <w:fldChar w:fldCharType="separate"/>
        </w:r>
        <w:r>
          <w:rPr>
            <w:lang w:val="zh-CN"/>
          </w:rPr>
          <w:t>17</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framePr w:wrap="around" w:vAnchor="text" w:hAnchor="margin" w:xAlign="center" w:y="1"/>
      <w:rPr>
        <w:rStyle w:val="26"/>
      </w:rPr>
    </w:pPr>
    <w:r>
      <w:fldChar w:fldCharType="begin"/>
    </w:r>
    <w:r>
      <w:rPr>
        <w:rStyle w:val="26"/>
      </w:rPr>
      <w:instrText xml:space="preserve">PAGE  </w:instrText>
    </w:r>
    <w:r>
      <w:fldChar w:fldCharType="end"/>
    </w:r>
  </w:p>
  <w:p>
    <w:pPr>
      <w:pStyle w:val="1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center"/>
    </w:pPr>
  </w:p>
  <w:p>
    <w:pPr>
      <w:pStyle w:val="1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92861106"/>
    </w:sdtPr>
    <w:sdtContent>
      <w:p>
        <w:pPr>
          <w:pStyle w:val="18"/>
          <w:jc w:val="center"/>
        </w:pPr>
        <w:r>
          <w:fldChar w:fldCharType="begin"/>
        </w:r>
        <w:r>
          <w:instrText xml:space="preserve">PAGE   \* MERGEFORMAT</w:instrText>
        </w:r>
        <w:r>
          <w:fldChar w:fldCharType="separate"/>
        </w:r>
        <w:r>
          <w:rPr>
            <w:lang w:val="zh-CN"/>
          </w:rPr>
          <w:t>1</w:t>
        </w:r>
        <w:r>
          <w:fldChar w:fldCharType="end"/>
        </w:r>
      </w:p>
    </w:sdtContent>
  </w:sdt>
  <w:p>
    <w:pPr>
      <w:pStyle w:val="18"/>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14167181"/>
    </w:sdtPr>
    <w:sdtContent>
      <w:p>
        <w:pPr>
          <w:pStyle w:val="18"/>
          <w:jc w:val="center"/>
        </w:pPr>
        <w:r>
          <w:fldChar w:fldCharType="begin"/>
        </w:r>
        <w:r>
          <w:instrText xml:space="preserve">PAGE   \* MERGEFORMAT</w:instrText>
        </w:r>
        <w:r>
          <w:fldChar w:fldCharType="separate"/>
        </w:r>
        <w:r>
          <w:rPr>
            <w:lang w:val="zh-CN"/>
          </w:rPr>
          <w:t>17</w:t>
        </w:r>
        <w:r>
          <w:fldChar w:fldCharType="end"/>
        </w:r>
      </w:p>
    </w:sdtContent>
  </w:sdt>
  <w:p>
    <w:pPr>
      <w:tabs>
        <w:tab w:val="center" w:pos="4153"/>
        <w:tab w:val="right" w:pos="8306"/>
      </w:tabs>
      <w:snapToGrid w:val="0"/>
      <w:jc w:val="left"/>
      <w:rPr>
        <w:sz w:val="18"/>
        <w:szCs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CD4187"/>
    <w:multiLevelType w:val="multilevel"/>
    <w:tmpl w:val="0CCD4187"/>
    <w:lvl w:ilvl="0" w:tentative="0">
      <w:start w:val="1"/>
      <w:numFmt w:val="bullet"/>
      <w:pStyle w:val="8"/>
      <w:lvlText w:val=""/>
      <w:lvlJc w:val="left"/>
      <w:pPr>
        <w:tabs>
          <w:tab w:val="left" w:pos="227"/>
        </w:tabs>
        <w:ind w:left="227" w:hanging="227"/>
      </w:pPr>
      <w:rPr>
        <w:rFonts w:hint="default" w:ascii="Symbol" w:hAnsi="Symbol"/>
        <w:color w:val="auto"/>
      </w:rPr>
    </w:lvl>
    <w:lvl w:ilvl="1" w:tentative="0">
      <w:start w:val="1"/>
      <w:numFmt w:val="bullet"/>
      <w:pStyle w:val="12"/>
      <w:lvlText w:val=""/>
      <w:lvlJc w:val="left"/>
      <w:pPr>
        <w:tabs>
          <w:tab w:val="left" w:pos="454"/>
        </w:tabs>
        <w:ind w:left="454" w:hanging="227"/>
      </w:pPr>
      <w:rPr>
        <w:rFonts w:hint="default" w:ascii="Symbol" w:hAnsi="Symbol"/>
      </w:rPr>
    </w:lvl>
    <w:lvl w:ilvl="2" w:tentative="0">
      <w:start w:val="1"/>
      <w:numFmt w:val="bullet"/>
      <w:lvlText w:val=""/>
      <w:lvlJc w:val="left"/>
      <w:pPr>
        <w:tabs>
          <w:tab w:val="left" w:pos="1080"/>
        </w:tabs>
        <w:ind w:left="1080" w:hanging="360"/>
      </w:pPr>
      <w:rPr>
        <w:rFonts w:hint="default" w:ascii="Wingdings" w:hAnsi="Wingdings"/>
      </w:rPr>
    </w:lvl>
    <w:lvl w:ilvl="3" w:tentative="0">
      <w:start w:val="1"/>
      <w:numFmt w:val="bullet"/>
      <w:lvlText w:val=""/>
      <w:lvlJc w:val="left"/>
      <w:pPr>
        <w:tabs>
          <w:tab w:val="left" w:pos="1440"/>
        </w:tabs>
        <w:ind w:left="1440" w:hanging="360"/>
      </w:pPr>
      <w:rPr>
        <w:rFonts w:hint="default" w:ascii="Symbol" w:hAnsi="Symbol"/>
      </w:rPr>
    </w:lvl>
    <w:lvl w:ilvl="4" w:tentative="0">
      <w:start w:val="1"/>
      <w:numFmt w:val="bullet"/>
      <w:lvlText w:val=""/>
      <w:lvlJc w:val="left"/>
      <w:pPr>
        <w:tabs>
          <w:tab w:val="left" w:pos="1800"/>
        </w:tabs>
        <w:ind w:left="1800" w:hanging="360"/>
      </w:pPr>
      <w:rPr>
        <w:rFonts w:hint="default" w:ascii="Symbol" w:hAnsi="Symbol"/>
      </w:rPr>
    </w:lvl>
    <w:lvl w:ilvl="5" w:tentative="0">
      <w:start w:val="1"/>
      <w:numFmt w:val="bullet"/>
      <w:lvlText w:val=""/>
      <w:lvlJc w:val="left"/>
      <w:pPr>
        <w:tabs>
          <w:tab w:val="left" w:pos="2160"/>
        </w:tabs>
        <w:ind w:left="2160" w:hanging="360"/>
      </w:pPr>
      <w:rPr>
        <w:rFonts w:hint="default" w:ascii="Wingdings" w:hAnsi="Wingdings"/>
      </w:rPr>
    </w:lvl>
    <w:lvl w:ilvl="6" w:tentative="0">
      <w:start w:val="1"/>
      <w:numFmt w:val="bullet"/>
      <w:lvlText w:val=""/>
      <w:lvlJc w:val="left"/>
      <w:pPr>
        <w:tabs>
          <w:tab w:val="left" w:pos="2520"/>
        </w:tabs>
        <w:ind w:left="2520" w:hanging="360"/>
      </w:pPr>
      <w:rPr>
        <w:rFonts w:hint="default" w:ascii="Wingdings" w:hAnsi="Wingdings"/>
      </w:rPr>
    </w:lvl>
    <w:lvl w:ilvl="7" w:tentative="0">
      <w:start w:val="1"/>
      <w:numFmt w:val="bullet"/>
      <w:lvlText w:val=""/>
      <w:lvlJc w:val="left"/>
      <w:pPr>
        <w:tabs>
          <w:tab w:val="left" w:pos="2880"/>
        </w:tabs>
        <w:ind w:left="2880" w:hanging="360"/>
      </w:pPr>
      <w:rPr>
        <w:rFonts w:hint="default" w:ascii="Symbol" w:hAnsi="Symbol"/>
      </w:rPr>
    </w:lvl>
    <w:lvl w:ilvl="8" w:tentative="0">
      <w:start w:val="1"/>
      <w:numFmt w:val="bullet"/>
      <w:lvlText w:val=""/>
      <w:lvlJc w:val="left"/>
      <w:pPr>
        <w:tabs>
          <w:tab w:val="left" w:pos="3240"/>
        </w:tabs>
        <w:ind w:left="3240" w:hanging="360"/>
      </w:pPr>
      <w:rPr>
        <w:rFonts w:hint="default" w:ascii="Symbol" w:hAnsi="Symbol"/>
      </w:rPr>
    </w:lvl>
  </w:abstractNum>
  <w:abstractNum w:abstractNumId="1">
    <w:nsid w:val="3A353487"/>
    <w:multiLevelType w:val="multilevel"/>
    <w:tmpl w:val="3A353487"/>
    <w:lvl w:ilvl="0" w:tentative="0">
      <w:start w:val="1"/>
      <w:numFmt w:val="decimal"/>
      <w:lvlText w:val="（%1）"/>
      <w:lvlJc w:val="left"/>
      <w:pPr>
        <w:ind w:left="720" w:hanging="72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5F5F7C80"/>
    <w:multiLevelType w:val="multilevel"/>
    <w:tmpl w:val="5F5F7C80"/>
    <w:lvl w:ilvl="0" w:tentative="0">
      <w:start w:val="1"/>
      <w:numFmt w:val="decimalEnclosedCircle"/>
      <w:lvlText w:val="%1"/>
      <w:lvlJc w:val="left"/>
      <w:pPr>
        <w:ind w:left="864" w:hanging="360"/>
      </w:pPr>
      <w:rPr>
        <w:rFonts w:hint="default" w:ascii="宋体" w:hAnsi="宋体"/>
      </w:rPr>
    </w:lvl>
    <w:lvl w:ilvl="1" w:tentative="0">
      <w:start w:val="1"/>
      <w:numFmt w:val="lowerLetter"/>
      <w:lvlText w:val="%2)"/>
      <w:lvlJc w:val="left"/>
      <w:pPr>
        <w:ind w:left="1384" w:hanging="440"/>
      </w:pPr>
    </w:lvl>
    <w:lvl w:ilvl="2" w:tentative="0">
      <w:start w:val="1"/>
      <w:numFmt w:val="lowerRoman"/>
      <w:lvlText w:val="%3."/>
      <w:lvlJc w:val="right"/>
      <w:pPr>
        <w:ind w:left="1824" w:hanging="440"/>
      </w:pPr>
    </w:lvl>
    <w:lvl w:ilvl="3" w:tentative="0">
      <w:start w:val="1"/>
      <w:numFmt w:val="decimal"/>
      <w:lvlText w:val="%4."/>
      <w:lvlJc w:val="left"/>
      <w:pPr>
        <w:ind w:left="2264" w:hanging="440"/>
      </w:pPr>
    </w:lvl>
    <w:lvl w:ilvl="4" w:tentative="0">
      <w:start w:val="1"/>
      <w:numFmt w:val="lowerLetter"/>
      <w:lvlText w:val="%5)"/>
      <w:lvlJc w:val="left"/>
      <w:pPr>
        <w:ind w:left="2704" w:hanging="440"/>
      </w:pPr>
    </w:lvl>
    <w:lvl w:ilvl="5" w:tentative="0">
      <w:start w:val="1"/>
      <w:numFmt w:val="lowerRoman"/>
      <w:lvlText w:val="%6."/>
      <w:lvlJc w:val="right"/>
      <w:pPr>
        <w:ind w:left="3144" w:hanging="440"/>
      </w:pPr>
    </w:lvl>
    <w:lvl w:ilvl="6" w:tentative="0">
      <w:start w:val="1"/>
      <w:numFmt w:val="decimal"/>
      <w:lvlText w:val="%7."/>
      <w:lvlJc w:val="left"/>
      <w:pPr>
        <w:ind w:left="3584" w:hanging="440"/>
      </w:pPr>
    </w:lvl>
    <w:lvl w:ilvl="7" w:tentative="0">
      <w:start w:val="1"/>
      <w:numFmt w:val="lowerLetter"/>
      <w:lvlText w:val="%8)"/>
      <w:lvlJc w:val="left"/>
      <w:pPr>
        <w:ind w:left="4024" w:hanging="440"/>
      </w:pPr>
    </w:lvl>
    <w:lvl w:ilvl="8" w:tentative="0">
      <w:start w:val="1"/>
      <w:numFmt w:val="lowerRoman"/>
      <w:lvlText w:val="%9."/>
      <w:lvlJc w:val="right"/>
      <w:pPr>
        <w:ind w:left="4464" w:hanging="44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172A27"/>
    <w:rsid w:val="00000E07"/>
    <w:rsid w:val="00001752"/>
    <w:rsid w:val="00002155"/>
    <w:rsid w:val="000021B5"/>
    <w:rsid w:val="000024C3"/>
    <w:rsid w:val="00003607"/>
    <w:rsid w:val="00005C3B"/>
    <w:rsid w:val="00006859"/>
    <w:rsid w:val="000076E6"/>
    <w:rsid w:val="00010331"/>
    <w:rsid w:val="00010D7C"/>
    <w:rsid w:val="00011AFB"/>
    <w:rsid w:val="00012126"/>
    <w:rsid w:val="000142EC"/>
    <w:rsid w:val="00015178"/>
    <w:rsid w:val="000159C9"/>
    <w:rsid w:val="00015CCE"/>
    <w:rsid w:val="00016D64"/>
    <w:rsid w:val="000173D6"/>
    <w:rsid w:val="000178EA"/>
    <w:rsid w:val="000207BA"/>
    <w:rsid w:val="000249C3"/>
    <w:rsid w:val="00024D65"/>
    <w:rsid w:val="00024E00"/>
    <w:rsid w:val="00024EBA"/>
    <w:rsid w:val="0002552C"/>
    <w:rsid w:val="000265FF"/>
    <w:rsid w:val="0003161C"/>
    <w:rsid w:val="00031721"/>
    <w:rsid w:val="000317FD"/>
    <w:rsid w:val="00031AD0"/>
    <w:rsid w:val="00031AE7"/>
    <w:rsid w:val="00031B3B"/>
    <w:rsid w:val="00032937"/>
    <w:rsid w:val="0003385A"/>
    <w:rsid w:val="00033C37"/>
    <w:rsid w:val="00035B89"/>
    <w:rsid w:val="00036576"/>
    <w:rsid w:val="000405B8"/>
    <w:rsid w:val="00042103"/>
    <w:rsid w:val="000428FD"/>
    <w:rsid w:val="0004299A"/>
    <w:rsid w:val="0004470F"/>
    <w:rsid w:val="00044F0A"/>
    <w:rsid w:val="0004682D"/>
    <w:rsid w:val="0005012D"/>
    <w:rsid w:val="00050DD3"/>
    <w:rsid w:val="00052963"/>
    <w:rsid w:val="0005339D"/>
    <w:rsid w:val="0005379B"/>
    <w:rsid w:val="0005448E"/>
    <w:rsid w:val="0005579F"/>
    <w:rsid w:val="0005764E"/>
    <w:rsid w:val="00060D95"/>
    <w:rsid w:val="00061B0C"/>
    <w:rsid w:val="000623AE"/>
    <w:rsid w:val="0006273E"/>
    <w:rsid w:val="00062E36"/>
    <w:rsid w:val="00063180"/>
    <w:rsid w:val="00064019"/>
    <w:rsid w:val="00064DDC"/>
    <w:rsid w:val="00065208"/>
    <w:rsid w:val="000659A4"/>
    <w:rsid w:val="000668AC"/>
    <w:rsid w:val="00070CFD"/>
    <w:rsid w:val="0007353D"/>
    <w:rsid w:val="00074034"/>
    <w:rsid w:val="00074FC2"/>
    <w:rsid w:val="0007652F"/>
    <w:rsid w:val="00077830"/>
    <w:rsid w:val="0007788C"/>
    <w:rsid w:val="00080FEF"/>
    <w:rsid w:val="00082FC4"/>
    <w:rsid w:val="0008322F"/>
    <w:rsid w:val="00083ADF"/>
    <w:rsid w:val="00085676"/>
    <w:rsid w:val="0008568D"/>
    <w:rsid w:val="00086926"/>
    <w:rsid w:val="00086A8F"/>
    <w:rsid w:val="00087897"/>
    <w:rsid w:val="00087A04"/>
    <w:rsid w:val="00087E16"/>
    <w:rsid w:val="000911B4"/>
    <w:rsid w:val="0009182B"/>
    <w:rsid w:val="0009192E"/>
    <w:rsid w:val="0009444D"/>
    <w:rsid w:val="00095708"/>
    <w:rsid w:val="0009583B"/>
    <w:rsid w:val="00095FD4"/>
    <w:rsid w:val="000A00EA"/>
    <w:rsid w:val="000A0F37"/>
    <w:rsid w:val="000A24EC"/>
    <w:rsid w:val="000A3BA7"/>
    <w:rsid w:val="000A4E46"/>
    <w:rsid w:val="000A545E"/>
    <w:rsid w:val="000A5EE6"/>
    <w:rsid w:val="000A6538"/>
    <w:rsid w:val="000A7266"/>
    <w:rsid w:val="000A7335"/>
    <w:rsid w:val="000A79B9"/>
    <w:rsid w:val="000B0372"/>
    <w:rsid w:val="000B160C"/>
    <w:rsid w:val="000B2601"/>
    <w:rsid w:val="000B34DB"/>
    <w:rsid w:val="000B3CCA"/>
    <w:rsid w:val="000B4833"/>
    <w:rsid w:val="000B4B72"/>
    <w:rsid w:val="000B5EE7"/>
    <w:rsid w:val="000B61BD"/>
    <w:rsid w:val="000B72D3"/>
    <w:rsid w:val="000B73D5"/>
    <w:rsid w:val="000B74D1"/>
    <w:rsid w:val="000C0861"/>
    <w:rsid w:val="000C0D1F"/>
    <w:rsid w:val="000C182A"/>
    <w:rsid w:val="000C1CE4"/>
    <w:rsid w:val="000C27F0"/>
    <w:rsid w:val="000C33E8"/>
    <w:rsid w:val="000C3BD1"/>
    <w:rsid w:val="000C3C56"/>
    <w:rsid w:val="000C4E25"/>
    <w:rsid w:val="000C5361"/>
    <w:rsid w:val="000C551E"/>
    <w:rsid w:val="000C7304"/>
    <w:rsid w:val="000D0082"/>
    <w:rsid w:val="000D00C3"/>
    <w:rsid w:val="000D0643"/>
    <w:rsid w:val="000D2029"/>
    <w:rsid w:val="000D2BE7"/>
    <w:rsid w:val="000D3335"/>
    <w:rsid w:val="000D3D07"/>
    <w:rsid w:val="000D42C4"/>
    <w:rsid w:val="000D75DA"/>
    <w:rsid w:val="000D7ED0"/>
    <w:rsid w:val="000E0130"/>
    <w:rsid w:val="000E0630"/>
    <w:rsid w:val="000E0CCF"/>
    <w:rsid w:val="000E20F2"/>
    <w:rsid w:val="000E222F"/>
    <w:rsid w:val="000E3060"/>
    <w:rsid w:val="000E5A1F"/>
    <w:rsid w:val="000E65E2"/>
    <w:rsid w:val="000E78D4"/>
    <w:rsid w:val="000E7D06"/>
    <w:rsid w:val="000F04AA"/>
    <w:rsid w:val="000F50DF"/>
    <w:rsid w:val="000F5BA5"/>
    <w:rsid w:val="000F7100"/>
    <w:rsid w:val="000F77EA"/>
    <w:rsid w:val="00101112"/>
    <w:rsid w:val="00101131"/>
    <w:rsid w:val="00101190"/>
    <w:rsid w:val="00102D0A"/>
    <w:rsid w:val="00102D32"/>
    <w:rsid w:val="00105A74"/>
    <w:rsid w:val="00105A85"/>
    <w:rsid w:val="00106CE8"/>
    <w:rsid w:val="00106D99"/>
    <w:rsid w:val="001108EB"/>
    <w:rsid w:val="001109DF"/>
    <w:rsid w:val="0011483C"/>
    <w:rsid w:val="00114E00"/>
    <w:rsid w:val="00115459"/>
    <w:rsid w:val="001155D4"/>
    <w:rsid w:val="0011568B"/>
    <w:rsid w:val="00116C56"/>
    <w:rsid w:val="00116E87"/>
    <w:rsid w:val="0011703A"/>
    <w:rsid w:val="00117783"/>
    <w:rsid w:val="00120824"/>
    <w:rsid w:val="00121307"/>
    <w:rsid w:val="00122C17"/>
    <w:rsid w:val="0012300B"/>
    <w:rsid w:val="00126BD0"/>
    <w:rsid w:val="001302D7"/>
    <w:rsid w:val="001315FD"/>
    <w:rsid w:val="001338A3"/>
    <w:rsid w:val="00134496"/>
    <w:rsid w:val="00134838"/>
    <w:rsid w:val="0013485F"/>
    <w:rsid w:val="001359AF"/>
    <w:rsid w:val="00136F74"/>
    <w:rsid w:val="00140DC3"/>
    <w:rsid w:val="00141803"/>
    <w:rsid w:val="00144278"/>
    <w:rsid w:val="00144F92"/>
    <w:rsid w:val="00146A43"/>
    <w:rsid w:val="001474C7"/>
    <w:rsid w:val="00147B21"/>
    <w:rsid w:val="0015152C"/>
    <w:rsid w:val="00151618"/>
    <w:rsid w:val="00152E47"/>
    <w:rsid w:val="001545A8"/>
    <w:rsid w:val="001551F1"/>
    <w:rsid w:val="00155515"/>
    <w:rsid w:val="00155D44"/>
    <w:rsid w:val="00157A33"/>
    <w:rsid w:val="00160577"/>
    <w:rsid w:val="00161166"/>
    <w:rsid w:val="00161E98"/>
    <w:rsid w:val="0016210F"/>
    <w:rsid w:val="00162155"/>
    <w:rsid w:val="00162A62"/>
    <w:rsid w:val="00162E8A"/>
    <w:rsid w:val="00166530"/>
    <w:rsid w:val="00166B02"/>
    <w:rsid w:val="0016734D"/>
    <w:rsid w:val="00167551"/>
    <w:rsid w:val="0016793C"/>
    <w:rsid w:val="00167D74"/>
    <w:rsid w:val="00170C59"/>
    <w:rsid w:val="00172A27"/>
    <w:rsid w:val="00173506"/>
    <w:rsid w:val="001752A5"/>
    <w:rsid w:val="00176064"/>
    <w:rsid w:val="0017649F"/>
    <w:rsid w:val="001764F9"/>
    <w:rsid w:val="001771B6"/>
    <w:rsid w:val="001773F6"/>
    <w:rsid w:val="001816B0"/>
    <w:rsid w:val="001817F8"/>
    <w:rsid w:val="00181CF7"/>
    <w:rsid w:val="00181FE2"/>
    <w:rsid w:val="001876BA"/>
    <w:rsid w:val="001878A6"/>
    <w:rsid w:val="00187F3A"/>
    <w:rsid w:val="0019030F"/>
    <w:rsid w:val="0019049B"/>
    <w:rsid w:val="00191DA1"/>
    <w:rsid w:val="00193AD2"/>
    <w:rsid w:val="00194317"/>
    <w:rsid w:val="0019548D"/>
    <w:rsid w:val="00195AA2"/>
    <w:rsid w:val="00195AF3"/>
    <w:rsid w:val="00195D97"/>
    <w:rsid w:val="00195E97"/>
    <w:rsid w:val="0019642A"/>
    <w:rsid w:val="001966DF"/>
    <w:rsid w:val="00196BB4"/>
    <w:rsid w:val="001A0A39"/>
    <w:rsid w:val="001A17BD"/>
    <w:rsid w:val="001A1FA7"/>
    <w:rsid w:val="001A3AA6"/>
    <w:rsid w:val="001A44C3"/>
    <w:rsid w:val="001A4745"/>
    <w:rsid w:val="001A599B"/>
    <w:rsid w:val="001A6BBB"/>
    <w:rsid w:val="001B101A"/>
    <w:rsid w:val="001B1DF1"/>
    <w:rsid w:val="001B2BF6"/>
    <w:rsid w:val="001B4CCF"/>
    <w:rsid w:val="001B6AD1"/>
    <w:rsid w:val="001B6D12"/>
    <w:rsid w:val="001B7952"/>
    <w:rsid w:val="001B7A26"/>
    <w:rsid w:val="001C0352"/>
    <w:rsid w:val="001C06C7"/>
    <w:rsid w:val="001C1D7E"/>
    <w:rsid w:val="001C221C"/>
    <w:rsid w:val="001C44C5"/>
    <w:rsid w:val="001C46E5"/>
    <w:rsid w:val="001C6395"/>
    <w:rsid w:val="001C7BAF"/>
    <w:rsid w:val="001D3758"/>
    <w:rsid w:val="001D421A"/>
    <w:rsid w:val="001D4592"/>
    <w:rsid w:val="001D6B0B"/>
    <w:rsid w:val="001D6E78"/>
    <w:rsid w:val="001D7206"/>
    <w:rsid w:val="001E0D9D"/>
    <w:rsid w:val="001E5DD9"/>
    <w:rsid w:val="001F1A46"/>
    <w:rsid w:val="001F21E5"/>
    <w:rsid w:val="001F226E"/>
    <w:rsid w:val="001F24D2"/>
    <w:rsid w:val="001F2625"/>
    <w:rsid w:val="001F3E2E"/>
    <w:rsid w:val="001F5BA4"/>
    <w:rsid w:val="001F5BEE"/>
    <w:rsid w:val="001F6408"/>
    <w:rsid w:val="001F7517"/>
    <w:rsid w:val="001F75E9"/>
    <w:rsid w:val="001F799A"/>
    <w:rsid w:val="002007C0"/>
    <w:rsid w:val="00201024"/>
    <w:rsid w:val="00201B8C"/>
    <w:rsid w:val="00201F6A"/>
    <w:rsid w:val="00202F87"/>
    <w:rsid w:val="00203629"/>
    <w:rsid w:val="0020446D"/>
    <w:rsid w:val="002054DF"/>
    <w:rsid w:val="002109A9"/>
    <w:rsid w:val="00210EAC"/>
    <w:rsid w:val="00213C4D"/>
    <w:rsid w:val="002148F0"/>
    <w:rsid w:val="00221084"/>
    <w:rsid w:val="00222EE1"/>
    <w:rsid w:val="00225FEA"/>
    <w:rsid w:val="00226F3E"/>
    <w:rsid w:val="00230431"/>
    <w:rsid w:val="00230F53"/>
    <w:rsid w:val="002316E2"/>
    <w:rsid w:val="002318A4"/>
    <w:rsid w:val="00231F65"/>
    <w:rsid w:val="002323B4"/>
    <w:rsid w:val="00235474"/>
    <w:rsid w:val="002365BC"/>
    <w:rsid w:val="002370A5"/>
    <w:rsid w:val="00237E24"/>
    <w:rsid w:val="00240BB8"/>
    <w:rsid w:val="00242CCF"/>
    <w:rsid w:val="00243635"/>
    <w:rsid w:val="00243C25"/>
    <w:rsid w:val="0024540B"/>
    <w:rsid w:val="0024616D"/>
    <w:rsid w:val="002475A9"/>
    <w:rsid w:val="002477C2"/>
    <w:rsid w:val="002507EC"/>
    <w:rsid w:val="00251F57"/>
    <w:rsid w:val="00253025"/>
    <w:rsid w:val="002534D1"/>
    <w:rsid w:val="00253572"/>
    <w:rsid w:val="002535DD"/>
    <w:rsid w:val="0025446C"/>
    <w:rsid w:val="00255594"/>
    <w:rsid w:val="00255A5A"/>
    <w:rsid w:val="00260E90"/>
    <w:rsid w:val="002620D5"/>
    <w:rsid w:val="00262484"/>
    <w:rsid w:val="00266A8C"/>
    <w:rsid w:val="00270D6E"/>
    <w:rsid w:val="00272506"/>
    <w:rsid w:val="002731DF"/>
    <w:rsid w:val="002738CD"/>
    <w:rsid w:val="00274BEA"/>
    <w:rsid w:val="002775F8"/>
    <w:rsid w:val="002779E2"/>
    <w:rsid w:val="0028011A"/>
    <w:rsid w:val="00281981"/>
    <w:rsid w:val="00282A4B"/>
    <w:rsid w:val="0028477F"/>
    <w:rsid w:val="00284B15"/>
    <w:rsid w:val="00285747"/>
    <w:rsid w:val="002858F4"/>
    <w:rsid w:val="00286425"/>
    <w:rsid w:val="00287027"/>
    <w:rsid w:val="00287576"/>
    <w:rsid w:val="002900E6"/>
    <w:rsid w:val="002905B3"/>
    <w:rsid w:val="00292B71"/>
    <w:rsid w:val="0029379A"/>
    <w:rsid w:val="00293999"/>
    <w:rsid w:val="0029431C"/>
    <w:rsid w:val="00295118"/>
    <w:rsid w:val="00297570"/>
    <w:rsid w:val="002975C7"/>
    <w:rsid w:val="002A23B7"/>
    <w:rsid w:val="002A37AE"/>
    <w:rsid w:val="002A4CF7"/>
    <w:rsid w:val="002A5C29"/>
    <w:rsid w:val="002A6714"/>
    <w:rsid w:val="002A71A8"/>
    <w:rsid w:val="002B59EC"/>
    <w:rsid w:val="002B5A1F"/>
    <w:rsid w:val="002B60E6"/>
    <w:rsid w:val="002B6FB9"/>
    <w:rsid w:val="002C063F"/>
    <w:rsid w:val="002C1B45"/>
    <w:rsid w:val="002C2C83"/>
    <w:rsid w:val="002C39D4"/>
    <w:rsid w:val="002C4243"/>
    <w:rsid w:val="002C545A"/>
    <w:rsid w:val="002C60DF"/>
    <w:rsid w:val="002C666B"/>
    <w:rsid w:val="002C669D"/>
    <w:rsid w:val="002C7055"/>
    <w:rsid w:val="002C7438"/>
    <w:rsid w:val="002D0516"/>
    <w:rsid w:val="002D0C81"/>
    <w:rsid w:val="002D299C"/>
    <w:rsid w:val="002D3375"/>
    <w:rsid w:val="002D3B73"/>
    <w:rsid w:val="002D3ED5"/>
    <w:rsid w:val="002D424E"/>
    <w:rsid w:val="002D550D"/>
    <w:rsid w:val="002D5C01"/>
    <w:rsid w:val="002D61CB"/>
    <w:rsid w:val="002D633E"/>
    <w:rsid w:val="002D6B50"/>
    <w:rsid w:val="002D7222"/>
    <w:rsid w:val="002D763A"/>
    <w:rsid w:val="002E1298"/>
    <w:rsid w:val="002E3CA8"/>
    <w:rsid w:val="002E3EE5"/>
    <w:rsid w:val="002E525E"/>
    <w:rsid w:val="002E52AC"/>
    <w:rsid w:val="002E54B3"/>
    <w:rsid w:val="002E6333"/>
    <w:rsid w:val="002F13A4"/>
    <w:rsid w:val="002F18F9"/>
    <w:rsid w:val="002F2451"/>
    <w:rsid w:val="002F2FC9"/>
    <w:rsid w:val="002F2FF6"/>
    <w:rsid w:val="002F3410"/>
    <w:rsid w:val="002F4DDB"/>
    <w:rsid w:val="002F4E5C"/>
    <w:rsid w:val="002F5756"/>
    <w:rsid w:val="002F5819"/>
    <w:rsid w:val="002F654D"/>
    <w:rsid w:val="002F7190"/>
    <w:rsid w:val="00301F68"/>
    <w:rsid w:val="003029D2"/>
    <w:rsid w:val="003049CB"/>
    <w:rsid w:val="00306188"/>
    <w:rsid w:val="00306B45"/>
    <w:rsid w:val="00307945"/>
    <w:rsid w:val="0031101D"/>
    <w:rsid w:val="003114DE"/>
    <w:rsid w:val="0031254E"/>
    <w:rsid w:val="003148A2"/>
    <w:rsid w:val="003160BC"/>
    <w:rsid w:val="00320102"/>
    <w:rsid w:val="00320D26"/>
    <w:rsid w:val="00320EA5"/>
    <w:rsid w:val="003211F6"/>
    <w:rsid w:val="00322187"/>
    <w:rsid w:val="00322D0D"/>
    <w:rsid w:val="0032315A"/>
    <w:rsid w:val="00323306"/>
    <w:rsid w:val="00324463"/>
    <w:rsid w:val="003247AD"/>
    <w:rsid w:val="00325E3C"/>
    <w:rsid w:val="003279F9"/>
    <w:rsid w:val="00330ED6"/>
    <w:rsid w:val="00331A8B"/>
    <w:rsid w:val="003323EC"/>
    <w:rsid w:val="00332769"/>
    <w:rsid w:val="003332AC"/>
    <w:rsid w:val="003334CE"/>
    <w:rsid w:val="00334884"/>
    <w:rsid w:val="003355A6"/>
    <w:rsid w:val="003355DB"/>
    <w:rsid w:val="00335AAF"/>
    <w:rsid w:val="00336710"/>
    <w:rsid w:val="00337D8F"/>
    <w:rsid w:val="00337E6B"/>
    <w:rsid w:val="00337E73"/>
    <w:rsid w:val="0034148D"/>
    <w:rsid w:val="0034246D"/>
    <w:rsid w:val="003429E0"/>
    <w:rsid w:val="00343687"/>
    <w:rsid w:val="00344351"/>
    <w:rsid w:val="0034548C"/>
    <w:rsid w:val="00345B7B"/>
    <w:rsid w:val="00347FC8"/>
    <w:rsid w:val="0035069D"/>
    <w:rsid w:val="00350EE3"/>
    <w:rsid w:val="00352770"/>
    <w:rsid w:val="0035324C"/>
    <w:rsid w:val="003537E6"/>
    <w:rsid w:val="003538A6"/>
    <w:rsid w:val="003541ED"/>
    <w:rsid w:val="0035447B"/>
    <w:rsid w:val="00354A7F"/>
    <w:rsid w:val="00354DE9"/>
    <w:rsid w:val="00355546"/>
    <w:rsid w:val="00362134"/>
    <w:rsid w:val="003627FF"/>
    <w:rsid w:val="00362AEC"/>
    <w:rsid w:val="003638FC"/>
    <w:rsid w:val="00363D9B"/>
    <w:rsid w:val="00364E09"/>
    <w:rsid w:val="00365340"/>
    <w:rsid w:val="00366A78"/>
    <w:rsid w:val="00367461"/>
    <w:rsid w:val="0036757E"/>
    <w:rsid w:val="00371A4B"/>
    <w:rsid w:val="00371B52"/>
    <w:rsid w:val="00371BD4"/>
    <w:rsid w:val="00371F15"/>
    <w:rsid w:val="003732A1"/>
    <w:rsid w:val="00374049"/>
    <w:rsid w:val="00375B01"/>
    <w:rsid w:val="00375EF0"/>
    <w:rsid w:val="00376313"/>
    <w:rsid w:val="00376E08"/>
    <w:rsid w:val="00380963"/>
    <w:rsid w:val="003813FB"/>
    <w:rsid w:val="00381637"/>
    <w:rsid w:val="00384647"/>
    <w:rsid w:val="003847AB"/>
    <w:rsid w:val="00385833"/>
    <w:rsid w:val="003858D0"/>
    <w:rsid w:val="00385C43"/>
    <w:rsid w:val="00387EC9"/>
    <w:rsid w:val="003906C4"/>
    <w:rsid w:val="00390D5A"/>
    <w:rsid w:val="003910CB"/>
    <w:rsid w:val="00391851"/>
    <w:rsid w:val="003927C7"/>
    <w:rsid w:val="0039332B"/>
    <w:rsid w:val="003938A1"/>
    <w:rsid w:val="00394C95"/>
    <w:rsid w:val="00396645"/>
    <w:rsid w:val="00397123"/>
    <w:rsid w:val="003A044E"/>
    <w:rsid w:val="003A0937"/>
    <w:rsid w:val="003A1802"/>
    <w:rsid w:val="003A2B8E"/>
    <w:rsid w:val="003A33C6"/>
    <w:rsid w:val="003A3586"/>
    <w:rsid w:val="003A3E2D"/>
    <w:rsid w:val="003A46C2"/>
    <w:rsid w:val="003A55B7"/>
    <w:rsid w:val="003A587C"/>
    <w:rsid w:val="003A5CC3"/>
    <w:rsid w:val="003A62E8"/>
    <w:rsid w:val="003A6A05"/>
    <w:rsid w:val="003A7083"/>
    <w:rsid w:val="003A7A0C"/>
    <w:rsid w:val="003B068E"/>
    <w:rsid w:val="003B2F6D"/>
    <w:rsid w:val="003B327A"/>
    <w:rsid w:val="003B34AD"/>
    <w:rsid w:val="003B5753"/>
    <w:rsid w:val="003B5D6F"/>
    <w:rsid w:val="003B6792"/>
    <w:rsid w:val="003B6FB4"/>
    <w:rsid w:val="003B7B1C"/>
    <w:rsid w:val="003B7EA9"/>
    <w:rsid w:val="003C2002"/>
    <w:rsid w:val="003C21A1"/>
    <w:rsid w:val="003C4583"/>
    <w:rsid w:val="003C4BDB"/>
    <w:rsid w:val="003C567B"/>
    <w:rsid w:val="003C5C63"/>
    <w:rsid w:val="003C740F"/>
    <w:rsid w:val="003C75C3"/>
    <w:rsid w:val="003C782D"/>
    <w:rsid w:val="003C7BC9"/>
    <w:rsid w:val="003D0040"/>
    <w:rsid w:val="003D0A0B"/>
    <w:rsid w:val="003D116D"/>
    <w:rsid w:val="003D1A95"/>
    <w:rsid w:val="003D2104"/>
    <w:rsid w:val="003D26B8"/>
    <w:rsid w:val="003D5E28"/>
    <w:rsid w:val="003D691C"/>
    <w:rsid w:val="003E16B4"/>
    <w:rsid w:val="003E236E"/>
    <w:rsid w:val="003E2566"/>
    <w:rsid w:val="003E3CA9"/>
    <w:rsid w:val="003E47AF"/>
    <w:rsid w:val="003F0817"/>
    <w:rsid w:val="003F1D2E"/>
    <w:rsid w:val="003F524D"/>
    <w:rsid w:val="003F56AE"/>
    <w:rsid w:val="003F5DA3"/>
    <w:rsid w:val="003F6432"/>
    <w:rsid w:val="003F663F"/>
    <w:rsid w:val="00400026"/>
    <w:rsid w:val="0040148F"/>
    <w:rsid w:val="00402587"/>
    <w:rsid w:val="00403440"/>
    <w:rsid w:val="004057BB"/>
    <w:rsid w:val="0040681D"/>
    <w:rsid w:val="00407907"/>
    <w:rsid w:val="00410237"/>
    <w:rsid w:val="004113F5"/>
    <w:rsid w:val="00411A4B"/>
    <w:rsid w:val="0041219A"/>
    <w:rsid w:val="00413312"/>
    <w:rsid w:val="00413EE3"/>
    <w:rsid w:val="004145DF"/>
    <w:rsid w:val="004157E0"/>
    <w:rsid w:val="0041594E"/>
    <w:rsid w:val="00416C5B"/>
    <w:rsid w:val="00417824"/>
    <w:rsid w:val="00420647"/>
    <w:rsid w:val="00421752"/>
    <w:rsid w:val="00421CF4"/>
    <w:rsid w:val="00422FCE"/>
    <w:rsid w:val="004230CA"/>
    <w:rsid w:val="00423954"/>
    <w:rsid w:val="004253A5"/>
    <w:rsid w:val="00425789"/>
    <w:rsid w:val="004260EA"/>
    <w:rsid w:val="00432982"/>
    <w:rsid w:val="0043453F"/>
    <w:rsid w:val="004345D3"/>
    <w:rsid w:val="004354A8"/>
    <w:rsid w:val="00436D6A"/>
    <w:rsid w:val="004414B0"/>
    <w:rsid w:val="00441B5F"/>
    <w:rsid w:val="0044240B"/>
    <w:rsid w:val="0044284B"/>
    <w:rsid w:val="004452B4"/>
    <w:rsid w:val="004460B1"/>
    <w:rsid w:val="00447C07"/>
    <w:rsid w:val="00451134"/>
    <w:rsid w:val="00452292"/>
    <w:rsid w:val="00452588"/>
    <w:rsid w:val="00453B55"/>
    <w:rsid w:val="00453DBD"/>
    <w:rsid w:val="00455AA4"/>
    <w:rsid w:val="00457BC2"/>
    <w:rsid w:val="00457F98"/>
    <w:rsid w:val="0046036C"/>
    <w:rsid w:val="004603D5"/>
    <w:rsid w:val="004615A6"/>
    <w:rsid w:val="0046196D"/>
    <w:rsid w:val="004623CF"/>
    <w:rsid w:val="0046342C"/>
    <w:rsid w:val="0046346E"/>
    <w:rsid w:val="00463A29"/>
    <w:rsid w:val="0046481A"/>
    <w:rsid w:val="00465000"/>
    <w:rsid w:val="00470D7A"/>
    <w:rsid w:val="004729D8"/>
    <w:rsid w:val="004734EE"/>
    <w:rsid w:val="00473F68"/>
    <w:rsid w:val="004758E8"/>
    <w:rsid w:val="0048135C"/>
    <w:rsid w:val="004818AC"/>
    <w:rsid w:val="00483792"/>
    <w:rsid w:val="00484337"/>
    <w:rsid w:val="004845AB"/>
    <w:rsid w:val="00484EA4"/>
    <w:rsid w:val="00487EB1"/>
    <w:rsid w:val="00490ADA"/>
    <w:rsid w:val="00490E3B"/>
    <w:rsid w:val="004932F3"/>
    <w:rsid w:val="00493553"/>
    <w:rsid w:val="00493FA8"/>
    <w:rsid w:val="0049463E"/>
    <w:rsid w:val="00495D01"/>
    <w:rsid w:val="00496CEA"/>
    <w:rsid w:val="004A04F3"/>
    <w:rsid w:val="004A1C1F"/>
    <w:rsid w:val="004A1F9F"/>
    <w:rsid w:val="004A222A"/>
    <w:rsid w:val="004A246C"/>
    <w:rsid w:val="004A2518"/>
    <w:rsid w:val="004A294E"/>
    <w:rsid w:val="004A54E9"/>
    <w:rsid w:val="004A557B"/>
    <w:rsid w:val="004A62D4"/>
    <w:rsid w:val="004A6B49"/>
    <w:rsid w:val="004A71A4"/>
    <w:rsid w:val="004A7EE7"/>
    <w:rsid w:val="004B16A3"/>
    <w:rsid w:val="004B24F2"/>
    <w:rsid w:val="004B2699"/>
    <w:rsid w:val="004B3348"/>
    <w:rsid w:val="004B4713"/>
    <w:rsid w:val="004B47B2"/>
    <w:rsid w:val="004B4FA8"/>
    <w:rsid w:val="004B64CA"/>
    <w:rsid w:val="004B64E0"/>
    <w:rsid w:val="004B6BF3"/>
    <w:rsid w:val="004C161C"/>
    <w:rsid w:val="004C2A2B"/>
    <w:rsid w:val="004C3069"/>
    <w:rsid w:val="004C3192"/>
    <w:rsid w:val="004C3598"/>
    <w:rsid w:val="004C4AF4"/>
    <w:rsid w:val="004C4B38"/>
    <w:rsid w:val="004C53BA"/>
    <w:rsid w:val="004C71B9"/>
    <w:rsid w:val="004C7254"/>
    <w:rsid w:val="004D1500"/>
    <w:rsid w:val="004D2EA1"/>
    <w:rsid w:val="004D35C4"/>
    <w:rsid w:val="004D41C2"/>
    <w:rsid w:val="004D5217"/>
    <w:rsid w:val="004D567B"/>
    <w:rsid w:val="004D75FC"/>
    <w:rsid w:val="004E07D2"/>
    <w:rsid w:val="004E0DC2"/>
    <w:rsid w:val="004E135A"/>
    <w:rsid w:val="004E1609"/>
    <w:rsid w:val="004E4F8E"/>
    <w:rsid w:val="004E5234"/>
    <w:rsid w:val="004E566E"/>
    <w:rsid w:val="004E6D70"/>
    <w:rsid w:val="004E71EC"/>
    <w:rsid w:val="004F12D1"/>
    <w:rsid w:val="004F19FD"/>
    <w:rsid w:val="004F1AD5"/>
    <w:rsid w:val="004F1D65"/>
    <w:rsid w:val="004F2113"/>
    <w:rsid w:val="004F2ED8"/>
    <w:rsid w:val="004F452C"/>
    <w:rsid w:val="004F7CE6"/>
    <w:rsid w:val="00500E5C"/>
    <w:rsid w:val="005038E3"/>
    <w:rsid w:val="00506D94"/>
    <w:rsid w:val="00506FCF"/>
    <w:rsid w:val="005072F5"/>
    <w:rsid w:val="00507DFD"/>
    <w:rsid w:val="0051007E"/>
    <w:rsid w:val="00510276"/>
    <w:rsid w:val="00510AF6"/>
    <w:rsid w:val="00512073"/>
    <w:rsid w:val="00512574"/>
    <w:rsid w:val="00513908"/>
    <w:rsid w:val="005143B6"/>
    <w:rsid w:val="00514423"/>
    <w:rsid w:val="00514915"/>
    <w:rsid w:val="0051732A"/>
    <w:rsid w:val="00520D00"/>
    <w:rsid w:val="0052580E"/>
    <w:rsid w:val="00526AE4"/>
    <w:rsid w:val="00527D6B"/>
    <w:rsid w:val="005300D1"/>
    <w:rsid w:val="00530C63"/>
    <w:rsid w:val="00531151"/>
    <w:rsid w:val="00531F5D"/>
    <w:rsid w:val="00532CCF"/>
    <w:rsid w:val="00533771"/>
    <w:rsid w:val="005360EB"/>
    <w:rsid w:val="0053632A"/>
    <w:rsid w:val="005364FE"/>
    <w:rsid w:val="00536C8C"/>
    <w:rsid w:val="00537066"/>
    <w:rsid w:val="005372EC"/>
    <w:rsid w:val="0054004C"/>
    <w:rsid w:val="0054099D"/>
    <w:rsid w:val="00540CC1"/>
    <w:rsid w:val="005415CC"/>
    <w:rsid w:val="00541934"/>
    <w:rsid w:val="00542A54"/>
    <w:rsid w:val="005443D7"/>
    <w:rsid w:val="005447B1"/>
    <w:rsid w:val="00544FCE"/>
    <w:rsid w:val="00544FD2"/>
    <w:rsid w:val="00546CEE"/>
    <w:rsid w:val="0055120D"/>
    <w:rsid w:val="00551916"/>
    <w:rsid w:val="00552FF3"/>
    <w:rsid w:val="00553993"/>
    <w:rsid w:val="00554AC5"/>
    <w:rsid w:val="00554B3D"/>
    <w:rsid w:val="00555E15"/>
    <w:rsid w:val="005566DF"/>
    <w:rsid w:val="00561742"/>
    <w:rsid w:val="00561EA2"/>
    <w:rsid w:val="00562151"/>
    <w:rsid w:val="00563D26"/>
    <w:rsid w:val="00563E33"/>
    <w:rsid w:val="00564252"/>
    <w:rsid w:val="005643CA"/>
    <w:rsid w:val="00564FA6"/>
    <w:rsid w:val="005656FC"/>
    <w:rsid w:val="00565E8D"/>
    <w:rsid w:val="00566BC6"/>
    <w:rsid w:val="005671D6"/>
    <w:rsid w:val="0056742C"/>
    <w:rsid w:val="00570250"/>
    <w:rsid w:val="00572014"/>
    <w:rsid w:val="005722DC"/>
    <w:rsid w:val="00573944"/>
    <w:rsid w:val="005745A6"/>
    <w:rsid w:val="00576885"/>
    <w:rsid w:val="00577130"/>
    <w:rsid w:val="0058098C"/>
    <w:rsid w:val="005812D9"/>
    <w:rsid w:val="005826D5"/>
    <w:rsid w:val="00583384"/>
    <w:rsid w:val="00583B3B"/>
    <w:rsid w:val="00583E3D"/>
    <w:rsid w:val="0058484F"/>
    <w:rsid w:val="0058515D"/>
    <w:rsid w:val="005853B3"/>
    <w:rsid w:val="00585724"/>
    <w:rsid w:val="00585E2A"/>
    <w:rsid w:val="005869B6"/>
    <w:rsid w:val="005904B1"/>
    <w:rsid w:val="005907E4"/>
    <w:rsid w:val="00592525"/>
    <w:rsid w:val="00592AAF"/>
    <w:rsid w:val="005930CA"/>
    <w:rsid w:val="00593350"/>
    <w:rsid w:val="00595506"/>
    <w:rsid w:val="00595835"/>
    <w:rsid w:val="00595FEF"/>
    <w:rsid w:val="00596F94"/>
    <w:rsid w:val="00597D82"/>
    <w:rsid w:val="005A05B3"/>
    <w:rsid w:val="005A25A6"/>
    <w:rsid w:val="005A2FEE"/>
    <w:rsid w:val="005A50FE"/>
    <w:rsid w:val="005A559B"/>
    <w:rsid w:val="005A69EF"/>
    <w:rsid w:val="005B0D09"/>
    <w:rsid w:val="005B1862"/>
    <w:rsid w:val="005B1E60"/>
    <w:rsid w:val="005B39D6"/>
    <w:rsid w:val="005B3AE5"/>
    <w:rsid w:val="005B4C59"/>
    <w:rsid w:val="005B4D34"/>
    <w:rsid w:val="005B54B7"/>
    <w:rsid w:val="005B7280"/>
    <w:rsid w:val="005B72BD"/>
    <w:rsid w:val="005B74E8"/>
    <w:rsid w:val="005B781C"/>
    <w:rsid w:val="005B784C"/>
    <w:rsid w:val="005C0E66"/>
    <w:rsid w:val="005C36A0"/>
    <w:rsid w:val="005C38B5"/>
    <w:rsid w:val="005C3C0A"/>
    <w:rsid w:val="005C48AB"/>
    <w:rsid w:val="005C4B48"/>
    <w:rsid w:val="005C63B2"/>
    <w:rsid w:val="005D0F26"/>
    <w:rsid w:val="005D146A"/>
    <w:rsid w:val="005D1811"/>
    <w:rsid w:val="005D40E6"/>
    <w:rsid w:val="005D46B5"/>
    <w:rsid w:val="005D57F5"/>
    <w:rsid w:val="005D6213"/>
    <w:rsid w:val="005D6892"/>
    <w:rsid w:val="005D6CCA"/>
    <w:rsid w:val="005D714B"/>
    <w:rsid w:val="005D7392"/>
    <w:rsid w:val="005D762B"/>
    <w:rsid w:val="005D7AB0"/>
    <w:rsid w:val="005E0849"/>
    <w:rsid w:val="005E095C"/>
    <w:rsid w:val="005E0C65"/>
    <w:rsid w:val="005E2970"/>
    <w:rsid w:val="005E384C"/>
    <w:rsid w:val="005E45D6"/>
    <w:rsid w:val="005E48CE"/>
    <w:rsid w:val="005E4EA3"/>
    <w:rsid w:val="005E7B00"/>
    <w:rsid w:val="005F0910"/>
    <w:rsid w:val="005F1733"/>
    <w:rsid w:val="005F192F"/>
    <w:rsid w:val="005F266B"/>
    <w:rsid w:val="005F2E37"/>
    <w:rsid w:val="005F42D4"/>
    <w:rsid w:val="005F4669"/>
    <w:rsid w:val="005F4776"/>
    <w:rsid w:val="005F5CF5"/>
    <w:rsid w:val="005F6B8B"/>
    <w:rsid w:val="006008ED"/>
    <w:rsid w:val="00600EF4"/>
    <w:rsid w:val="00600F4E"/>
    <w:rsid w:val="00601FC0"/>
    <w:rsid w:val="00602207"/>
    <w:rsid w:val="00602BD8"/>
    <w:rsid w:val="006044EE"/>
    <w:rsid w:val="006045CD"/>
    <w:rsid w:val="00605353"/>
    <w:rsid w:val="00605562"/>
    <w:rsid w:val="0060588C"/>
    <w:rsid w:val="006058B3"/>
    <w:rsid w:val="0060679D"/>
    <w:rsid w:val="00606C91"/>
    <w:rsid w:val="00611513"/>
    <w:rsid w:val="00611CD6"/>
    <w:rsid w:val="006154A7"/>
    <w:rsid w:val="00616662"/>
    <w:rsid w:val="00616A63"/>
    <w:rsid w:val="00620691"/>
    <w:rsid w:val="006228CD"/>
    <w:rsid w:val="00622BFA"/>
    <w:rsid w:val="00624299"/>
    <w:rsid w:val="006243F6"/>
    <w:rsid w:val="0062440E"/>
    <w:rsid w:val="00624D82"/>
    <w:rsid w:val="006254AD"/>
    <w:rsid w:val="00626189"/>
    <w:rsid w:val="00626837"/>
    <w:rsid w:val="00627018"/>
    <w:rsid w:val="006272D3"/>
    <w:rsid w:val="00627C9D"/>
    <w:rsid w:val="006305B1"/>
    <w:rsid w:val="006315EF"/>
    <w:rsid w:val="006320B9"/>
    <w:rsid w:val="00632AAE"/>
    <w:rsid w:val="00632B22"/>
    <w:rsid w:val="00634BD8"/>
    <w:rsid w:val="00634D7F"/>
    <w:rsid w:val="006351B5"/>
    <w:rsid w:val="0063649E"/>
    <w:rsid w:val="0063676C"/>
    <w:rsid w:val="0063779B"/>
    <w:rsid w:val="00640ACC"/>
    <w:rsid w:val="0064144B"/>
    <w:rsid w:val="00643BC5"/>
    <w:rsid w:val="0064429A"/>
    <w:rsid w:val="006445FA"/>
    <w:rsid w:val="00646105"/>
    <w:rsid w:val="006475F3"/>
    <w:rsid w:val="00647C85"/>
    <w:rsid w:val="00650CB5"/>
    <w:rsid w:val="00651466"/>
    <w:rsid w:val="0065283D"/>
    <w:rsid w:val="00653623"/>
    <w:rsid w:val="00654217"/>
    <w:rsid w:val="00656956"/>
    <w:rsid w:val="00656FD0"/>
    <w:rsid w:val="006603C2"/>
    <w:rsid w:val="00661F57"/>
    <w:rsid w:val="00663FBE"/>
    <w:rsid w:val="0066404F"/>
    <w:rsid w:val="00664E7A"/>
    <w:rsid w:val="00665387"/>
    <w:rsid w:val="0066628D"/>
    <w:rsid w:val="006662A8"/>
    <w:rsid w:val="00666A46"/>
    <w:rsid w:val="0066753B"/>
    <w:rsid w:val="0067081A"/>
    <w:rsid w:val="006708A5"/>
    <w:rsid w:val="006711DC"/>
    <w:rsid w:val="00671453"/>
    <w:rsid w:val="00671EC0"/>
    <w:rsid w:val="00672953"/>
    <w:rsid w:val="006731E2"/>
    <w:rsid w:val="006734BB"/>
    <w:rsid w:val="00673E09"/>
    <w:rsid w:val="00675086"/>
    <w:rsid w:val="006751C4"/>
    <w:rsid w:val="0067568A"/>
    <w:rsid w:val="0067568C"/>
    <w:rsid w:val="0067585C"/>
    <w:rsid w:val="00675C3F"/>
    <w:rsid w:val="00675C5E"/>
    <w:rsid w:val="00676B43"/>
    <w:rsid w:val="0067738B"/>
    <w:rsid w:val="00677D62"/>
    <w:rsid w:val="006810BD"/>
    <w:rsid w:val="00681D2B"/>
    <w:rsid w:val="0068201D"/>
    <w:rsid w:val="00682194"/>
    <w:rsid w:val="006839D3"/>
    <w:rsid w:val="00683C33"/>
    <w:rsid w:val="00684AC3"/>
    <w:rsid w:val="00684C71"/>
    <w:rsid w:val="0068503F"/>
    <w:rsid w:val="00686F2C"/>
    <w:rsid w:val="00687884"/>
    <w:rsid w:val="006908EB"/>
    <w:rsid w:val="00691642"/>
    <w:rsid w:val="00691D86"/>
    <w:rsid w:val="0069259D"/>
    <w:rsid w:val="00692F2E"/>
    <w:rsid w:val="00694D6B"/>
    <w:rsid w:val="006953FE"/>
    <w:rsid w:val="00695A77"/>
    <w:rsid w:val="00696C08"/>
    <w:rsid w:val="00696C80"/>
    <w:rsid w:val="006A195D"/>
    <w:rsid w:val="006A3FD4"/>
    <w:rsid w:val="006A457F"/>
    <w:rsid w:val="006A5979"/>
    <w:rsid w:val="006A5C98"/>
    <w:rsid w:val="006A5DF1"/>
    <w:rsid w:val="006A64EF"/>
    <w:rsid w:val="006A770D"/>
    <w:rsid w:val="006A7FE3"/>
    <w:rsid w:val="006B003E"/>
    <w:rsid w:val="006B06B9"/>
    <w:rsid w:val="006B112C"/>
    <w:rsid w:val="006B127A"/>
    <w:rsid w:val="006B1339"/>
    <w:rsid w:val="006B2D33"/>
    <w:rsid w:val="006B3C93"/>
    <w:rsid w:val="006B3F28"/>
    <w:rsid w:val="006B44F4"/>
    <w:rsid w:val="006B485B"/>
    <w:rsid w:val="006B5050"/>
    <w:rsid w:val="006B6019"/>
    <w:rsid w:val="006B676F"/>
    <w:rsid w:val="006B7FA8"/>
    <w:rsid w:val="006C0AD5"/>
    <w:rsid w:val="006C0D76"/>
    <w:rsid w:val="006C1E37"/>
    <w:rsid w:val="006C2018"/>
    <w:rsid w:val="006C2063"/>
    <w:rsid w:val="006C2656"/>
    <w:rsid w:val="006C2EAE"/>
    <w:rsid w:val="006C3010"/>
    <w:rsid w:val="006C3D3A"/>
    <w:rsid w:val="006C4A9E"/>
    <w:rsid w:val="006C4EB0"/>
    <w:rsid w:val="006C548F"/>
    <w:rsid w:val="006C5E74"/>
    <w:rsid w:val="006C765F"/>
    <w:rsid w:val="006D1BF8"/>
    <w:rsid w:val="006D1CF9"/>
    <w:rsid w:val="006D292C"/>
    <w:rsid w:val="006D2FF6"/>
    <w:rsid w:val="006D3816"/>
    <w:rsid w:val="006D3FFA"/>
    <w:rsid w:val="006D4829"/>
    <w:rsid w:val="006D5C34"/>
    <w:rsid w:val="006E0046"/>
    <w:rsid w:val="006E5168"/>
    <w:rsid w:val="006E6255"/>
    <w:rsid w:val="006E6445"/>
    <w:rsid w:val="006E6B5B"/>
    <w:rsid w:val="006E7366"/>
    <w:rsid w:val="006E7667"/>
    <w:rsid w:val="006E7A1A"/>
    <w:rsid w:val="006F03FC"/>
    <w:rsid w:val="006F1B53"/>
    <w:rsid w:val="006F1E93"/>
    <w:rsid w:val="006F2931"/>
    <w:rsid w:val="006F2D5D"/>
    <w:rsid w:val="006F33CC"/>
    <w:rsid w:val="006F5E8B"/>
    <w:rsid w:val="006F6642"/>
    <w:rsid w:val="006F7B9D"/>
    <w:rsid w:val="0070002C"/>
    <w:rsid w:val="0070076F"/>
    <w:rsid w:val="007028EE"/>
    <w:rsid w:val="0070401A"/>
    <w:rsid w:val="0070455F"/>
    <w:rsid w:val="007051E1"/>
    <w:rsid w:val="00705265"/>
    <w:rsid w:val="0070717F"/>
    <w:rsid w:val="0071100C"/>
    <w:rsid w:val="0071108B"/>
    <w:rsid w:val="007136D8"/>
    <w:rsid w:val="00717505"/>
    <w:rsid w:val="00720272"/>
    <w:rsid w:val="00720B75"/>
    <w:rsid w:val="0072224D"/>
    <w:rsid w:val="0072244C"/>
    <w:rsid w:val="00722594"/>
    <w:rsid w:val="00722A2A"/>
    <w:rsid w:val="00724B43"/>
    <w:rsid w:val="00727B56"/>
    <w:rsid w:val="0073112F"/>
    <w:rsid w:val="00731999"/>
    <w:rsid w:val="00732758"/>
    <w:rsid w:val="00732C74"/>
    <w:rsid w:val="00732CE9"/>
    <w:rsid w:val="007333CC"/>
    <w:rsid w:val="007339B6"/>
    <w:rsid w:val="00734641"/>
    <w:rsid w:val="0073585C"/>
    <w:rsid w:val="007362D4"/>
    <w:rsid w:val="00736797"/>
    <w:rsid w:val="00737734"/>
    <w:rsid w:val="00737CD4"/>
    <w:rsid w:val="007410B4"/>
    <w:rsid w:val="007414B3"/>
    <w:rsid w:val="007425C6"/>
    <w:rsid w:val="0074269A"/>
    <w:rsid w:val="00742D81"/>
    <w:rsid w:val="007435F2"/>
    <w:rsid w:val="007444D5"/>
    <w:rsid w:val="007445EB"/>
    <w:rsid w:val="0074471E"/>
    <w:rsid w:val="00744DD5"/>
    <w:rsid w:val="00744E11"/>
    <w:rsid w:val="00744EFF"/>
    <w:rsid w:val="00747198"/>
    <w:rsid w:val="00747BAB"/>
    <w:rsid w:val="0075050A"/>
    <w:rsid w:val="00750B24"/>
    <w:rsid w:val="007512B9"/>
    <w:rsid w:val="007522AE"/>
    <w:rsid w:val="00752CD6"/>
    <w:rsid w:val="007534CD"/>
    <w:rsid w:val="00753528"/>
    <w:rsid w:val="00753FDA"/>
    <w:rsid w:val="007546D1"/>
    <w:rsid w:val="00754EC9"/>
    <w:rsid w:val="00755439"/>
    <w:rsid w:val="007579EA"/>
    <w:rsid w:val="00760A61"/>
    <w:rsid w:val="00763984"/>
    <w:rsid w:val="00763D74"/>
    <w:rsid w:val="0076495D"/>
    <w:rsid w:val="00765363"/>
    <w:rsid w:val="00765E2A"/>
    <w:rsid w:val="00766208"/>
    <w:rsid w:val="00766828"/>
    <w:rsid w:val="00766A73"/>
    <w:rsid w:val="00766D18"/>
    <w:rsid w:val="00767C03"/>
    <w:rsid w:val="007705C6"/>
    <w:rsid w:val="00770C39"/>
    <w:rsid w:val="00770E24"/>
    <w:rsid w:val="00772026"/>
    <w:rsid w:val="007725D9"/>
    <w:rsid w:val="00772AF0"/>
    <w:rsid w:val="00772EC2"/>
    <w:rsid w:val="00774585"/>
    <w:rsid w:val="007752B8"/>
    <w:rsid w:val="00775B6E"/>
    <w:rsid w:val="00776773"/>
    <w:rsid w:val="00776851"/>
    <w:rsid w:val="007772E8"/>
    <w:rsid w:val="00780CA9"/>
    <w:rsid w:val="00780F0B"/>
    <w:rsid w:val="00781F20"/>
    <w:rsid w:val="00782233"/>
    <w:rsid w:val="00782AF2"/>
    <w:rsid w:val="0078401B"/>
    <w:rsid w:val="0078608F"/>
    <w:rsid w:val="007872FF"/>
    <w:rsid w:val="00791DEA"/>
    <w:rsid w:val="00793A1B"/>
    <w:rsid w:val="00793E79"/>
    <w:rsid w:val="007944CF"/>
    <w:rsid w:val="0079654E"/>
    <w:rsid w:val="0079755F"/>
    <w:rsid w:val="007976FC"/>
    <w:rsid w:val="00797C90"/>
    <w:rsid w:val="007A1FF2"/>
    <w:rsid w:val="007A31E8"/>
    <w:rsid w:val="007A3C35"/>
    <w:rsid w:val="007A5EF2"/>
    <w:rsid w:val="007A6BA3"/>
    <w:rsid w:val="007A7C04"/>
    <w:rsid w:val="007A7E5A"/>
    <w:rsid w:val="007B1C90"/>
    <w:rsid w:val="007B2100"/>
    <w:rsid w:val="007B3F1F"/>
    <w:rsid w:val="007B45AB"/>
    <w:rsid w:val="007B48EF"/>
    <w:rsid w:val="007B4900"/>
    <w:rsid w:val="007B4DE2"/>
    <w:rsid w:val="007B50BD"/>
    <w:rsid w:val="007B5EE9"/>
    <w:rsid w:val="007B6717"/>
    <w:rsid w:val="007B7712"/>
    <w:rsid w:val="007B77DB"/>
    <w:rsid w:val="007C01EB"/>
    <w:rsid w:val="007C02FC"/>
    <w:rsid w:val="007C06BE"/>
    <w:rsid w:val="007C0CFA"/>
    <w:rsid w:val="007C0D78"/>
    <w:rsid w:val="007C2027"/>
    <w:rsid w:val="007C2A8A"/>
    <w:rsid w:val="007C4BBB"/>
    <w:rsid w:val="007C73F3"/>
    <w:rsid w:val="007C762F"/>
    <w:rsid w:val="007D111C"/>
    <w:rsid w:val="007D2149"/>
    <w:rsid w:val="007D341C"/>
    <w:rsid w:val="007D6407"/>
    <w:rsid w:val="007D7019"/>
    <w:rsid w:val="007D7EB0"/>
    <w:rsid w:val="007E557E"/>
    <w:rsid w:val="007E5B5C"/>
    <w:rsid w:val="007E635C"/>
    <w:rsid w:val="007E6D77"/>
    <w:rsid w:val="007E7B36"/>
    <w:rsid w:val="007F1661"/>
    <w:rsid w:val="007F16E4"/>
    <w:rsid w:val="007F1BA1"/>
    <w:rsid w:val="007F266C"/>
    <w:rsid w:val="007F45EC"/>
    <w:rsid w:val="007F496E"/>
    <w:rsid w:val="007F579E"/>
    <w:rsid w:val="007F60A9"/>
    <w:rsid w:val="00801722"/>
    <w:rsid w:val="00801ACB"/>
    <w:rsid w:val="008021C9"/>
    <w:rsid w:val="0080402A"/>
    <w:rsid w:val="00805769"/>
    <w:rsid w:val="00806BEF"/>
    <w:rsid w:val="00810109"/>
    <w:rsid w:val="00810D5F"/>
    <w:rsid w:val="008118DE"/>
    <w:rsid w:val="00813310"/>
    <w:rsid w:val="0081437B"/>
    <w:rsid w:val="00815386"/>
    <w:rsid w:val="00815CF4"/>
    <w:rsid w:val="00816EA4"/>
    <w:rsid w:val="00817208"/>
    <w:rsid w:val="008175FE"/>
    <w:rsid w:val="008200BD"/>
    <w:rsid w:val="008205A0"/>
    <w:rsid w:val="00820A4C"/>
    <w:rsid w:val="00820B35"/>
    <w:rsid w:val="008219B3"/>
    <w:rsid w:val="00822F05"/>
    <w:rsid w:val="00822F26"/>
    <w:rsid w:val="00823BDD"/>
    <w:rsid w:val="00824920"/>
    <w:rsid w:val="008256CB"/>
    <w:rsid w:val="00825BCC"/>
    <w:rsid w:val="00826734"/>
    <w:rsid w:val="008269B0"/>
    <w:rsid w:val="00826EB4"/>
    <w:rsid w:val="00826FA2"/>
    <w:rsid w:val="008273EE"/>
    <w:rsid w:val="00827DB0"/>
    <w:rsid w:val="008301AB"/>
    <w:rsid w:val="0083095A"/>
    <w:rsid w:val="008309DF"/>
    <w:rsid w:val="00831871"/>
    <w:rsid w:val="00831BF5"/>
    <w:rsid w:val="00831DCD"/>
    <w:rsid w:val="00831F03"/>
    <w:rsid w:val="00832FA7"/>
    <w:rsid w:val="00832FBE"/>
    <w:rsid w:val="00833327"/>
    <w:rsid w:val="0083504C"/>
    <w:rsid w:val="00836256"/>
    <w:rsid w:val="00837400"/>
    <w:rsid w:val="008402E2"/>
    <w:rsid w:val="00840E6F"/>
    <w:rsid w:val="008426E3"/>
    <w:rsid w:val="00843629"/>
    <w:rsid w:val="008448A2"/>
    <w:rsid w:val="00844E65"/>
    <w:rsid w:val="00845357"/>
    <w:rsid w:val="0084627E"/>
    <w:rsid w:val="008470B3"/>
    <w:rsid w:val="0084718A"/>
    <w:rsid w:val="0084784B"/>
    <w:rsid w:val="0085098F"/>
    <w:rsid w:val="00850A2D"/>
    <w:rsid w:val="00853A28"/>
    <w:rsid w:val="00853D9E"/>
    <w:rsid w:val="00854CB0"/>
    <w:rsid w:val="008574E3"/>
    <w:rsid w:val="00857647"/>
    <w:rsid w:val="00860C69"/>
    <w:rsid w:val="00861446"/>
    <w:rsid w:val="00861D5F"/>
    <w:rsid w:val="008628B0"/>
    <w:rsid w:val="00863470"/>
    <w:rsid w:val="00864457"/>
    <w:rsid w:val="0086446A"/>
    <w:rsid w:val="00864B1C"/>
    <w:rsid w:val="008659C9"/>
    <w:rsid w:val="008659ED"/>
    <w:rsid w:val="00866390"/>
    <w:rsid w:val="00867AAC"/>
    <w:rsid w:val="00871315"/>
    <w:rsid w:val="008726A0"/>
    <w:rsid w:val="00873F19"/>
    <w:rsid w:val="00874B08"/>
    <w:rsid w:val="008774C8"/>
    <w:rsid w:val="00877606"/>
    <w:rsid w:val="00882669"/>
    <w:rsid w:val="00883FAC"/>
    <w:rsid w:val="0088572F"/>
    <w:rsid w:val="00886C4C"/>
    <w:rsid w:val="00891984"/>
    <w:rsid w:val="00891D73"/>
    <w:rsid w:val="0089269E"/>
    <w:rsid w:val="00893569"/>
    <w:rsid w:val="00894339"/>
    <w:rsid w:val="00894D92"/>
    <w:rsid w:val="00895B38"/>
    <w:rsid w:val="00897D30"/>
    <w:rsid w:val="008A0703"/>
    <w:rsid w:val="008A0EB3"/>
    <w:rsid w:val="008A138B"/>
    <w:rsid w:val="008A148C"/>
    <w:rsid w:val="008A1AB3"/>
    <w:rsid w:val="008A23D1"/>
    <w:rsid w:val="008A3467"/>
    <w:rsid w:val="008A44F3"/>
    <w:rsid w:val="008A4CD5"/>
    <w:rsid w:val="008A5808"/>
    <w:rsid w:val="008A6622"/>
    <w:rsid w:val="008B08D5"/>
    <w:rsid w:val="008B392B"/>
    <w:rsid w:val="008B3D6A"/>
    <w:rsid w:val="008B439B"/>
    <w:rsid w:val="008B527E"/>
    <w:rsid w:val="008B5346"/>
    <w:rsid w:val="008B5524"/>
    <w:rsid w:val="008B587B"/>
    <w:rsid w:val="008B670B"/>
    <w:rsid w:val="008B69EC"/>
    <w:rsid w:val="008B7409"/>
    <w:rsid w:val="008B758B"/>
    <w:rsid w:val="008C0336"/>
    <w:rsid w:val="008C0733"/>
    <w:rsid w:val="008C0BF3"/>
    <w:rsid w:val="008C3B4D"/>
    <w:rsid w:val="008C5208"/>
    <w:rsid w:val="008C74CF"/>
    <w:rsid w:val="008D0459"/>
    <w:rsid w:val="008D12B5"/>
    <w:rsid w:val="008D19E6"/>
    <w:rsid w:val="008D1D7C"/>
    <w:rsid w:val="008D2F7D"/>
    <w:rsid w:val="008D385D"/>
    <w:rsid w:val="008D3ECA"/>
    <w:rsid w:val="008D403B"/>
    <w:rsid w:val="008D6CA9"/>
    <w:rsid w:val="008D7177"/>
    <w:rsid w:val="008E027B"/>
    <w:rsid w:val="008E06FC"/>
    <w:rsid w:val="008E4526"/>
    <w:rsid w:val="008E4831"/>
    <w:rsid w:val="008E4B7E"/>
    <w:rsid w:val="008E4EBA"/>
    <w:rsid w:val="008E4F46"/>
    <w:rsid w:val="008E5790"/>
    <w:rsid w:val="008E6889"/>
    <w:rsid w:val="008E6D8F"/>
    <w:rsid w:val="008E71D1"/>
    <w:rsid w:val="008E7BEB"/>
    <w:rsid w:val="008F0088"/>
    <w:rsid w:val="008F166F"/>
    <w:rsid w:val="008F3BED"/>
    <w:rsid w:val="008F45E3"/>
    <w:rsid w:val="008F4F1B"/>
    <w:rsid w:val="009007F5"/>
    <w:rsid w:val="00901919"/>
    <w:rsid w:val="00901DE7"/>
    <w:rsid w:val="00902046"/>
    <w:rsid w:val="009050A9"/>
    <w:rsid w:val="009058AC"/>
    <w:rsid w:val="00905F7B"/>
    <w:rsid w:val="00906208"/>
    <w:rsid w:val="00907518"/>
    <w:rsid w:val="009075D9"/>
    <w:rsid w:val="00910931"/>
    <w:rsid w:val="009109E5"/>
    <w:rsid w:val="00910E9F"/>
    <w:rsid w:val="0091117B"/>
    <w:rsid w:val="00911B00"/>
    <w:rsid w:val="00911BC1"/>
    <w:rsid w:val="00911D98"/>
    <w:rsid w:val="0091203D"/>
    <w:rsid w:val="0091231C"/>
    <w:rsid w:val="00912E89"/>
    <w:rsid w:val="00913526"/>
    <w:rsid w:val="00914117"/>
    <w:rsid w:val="00914E25"/>
    <w:rsid w:val="00915B21"/>
    <w:rsid w:val="00915B42"/>
    <w:rsid w:val="00920071"/>
    <w:rsid w:val="00920164"/>
    <w:rsid w:val="0092074B"/>
    <w:rsid w:val="00920EE1"/>
    <w:rsid w:val="0092130B"/>
    <w:rsid w:val="00921C5F"/>
    <w:rsid w:val="00921D80"/>
    <w:rsid w:val="00922128"/>
    <w:rsid w:val="00922438"/>
    <w:rsid w:val="00923E60"/>
    <w:rsid w:val="009310DE"/>
    <w:rsid w:val="00932518"/>
    <w:rsid w:val="00932884"/>
    <w:rsid w:val="00934164"/>
    <w:rsid w:val="0093439B"/>
    <w:rsid w:val="0093463B"/>
    <w:rsid w:val="00934CB3"/>
    <w:rsid w:val="00936BFE"/>
    <w:rsid w:val="00936F64"/>
    <w:rsid w:val="00937044"/>
    <w:rsid w:val="0094181A"/>
    <w:rsid w:val="0094367F"/>
    <w:rsid w:val="00944388"/>
    <w:rsid w:val="00945145"/>
    <w:rsid w:val="009471B9"/>
    <w:rsid w:val="0094720E"/>
    <w:rsid w:val="009500FD"/>
    <w:rsid w:val="00950930"/>
    <w:rsid w:val="00950A54"/>
    <w:rsid w:val="00950D44"/>
    <w:rsid w:val="00951055"/>
    <w:rsid w:val="00951436"/>
    <w:rsid w:val="00951DCA"/>
    <w:rsid w:val="0095406B"/>
    <w:rsid w:val="0095415C"/>
    <w:rsid w:val="00955196"/>
    <w:rsid w:val="0095525D"/>
    <w:rsid w:val="00955361"/>
    <w:rsid w:val="00956402"/>
    <w:rsid w:val="00956637"/>
    <w:rsid w:val="00956D3C"/>
    <w:rsid w:val="009570DC"/>
    <w:rsid w:val="00957476"/>
    <w:rsid w:val="00957FF7"/>
    <w:rsid w:val="009600D1"/>
    <w:rsid w:val="00960752"/>
    <w:rsid w:val="00961A1D"/>
    <w:rsid w:val="009620B9"/>
    <w:rsid w:val="0096222C"/>
    <w:rsid w:val="009637F8"/>
    <w:rsid w:val="0096459E"/>
    <w:rsid w:val="0096481C"/>
    <w:rsid w:val="00966E01"/>
    <w:rsid w:val="009671A1"/>
    <w:rsid w:val="0096758E"/>
    <w:rsid w:val="00970897"/>
    <w:rsid w:val="00971919"/>
    <w:rsid w:val="00973081"/>
    <w:rsid w:val="009743C6"/>
    <w:rsid w:val="00975643"/>
    <w:rsid w:val="00976259"/>
    <w:rsid w:val="00976834"/>
    <w:rsid w:val="00977BCF"/>
    <w:rsid w:val="00981DD8"/>
    <w:rsid w:val="009826AA"/>
    <w:rsid w:val="00983781"/>
    <w:rsid w:val="00986543"/>
    <w:rsid w:val="009868D2"/>
    <w:rsid w:val="0098690F"/>
    <w:rsid w:val="009908C5"/>
    <w:rsid w:val="00991BCA"/>
    <w:rsid w:val="009925BD"/>
    <w:rsid w:val="009925E9"/>
    <w:rsid w:val="0099268F"/>
    <w:rsid w:val="00992E6B"/>
    <w:rsid w:val="00993058"/>
    <w:rsid w:val="00994090"/>
    <w:rsid w:val="009965ED"/>
    <w:rsid w:val="009968D9"/>
    <w:rsid w:val="009974FC"/>
    <w:rsid w:val="009A00DF"/>
    <w:rsid w:val="009A0A28"/>
    <w:rsid w:val="009A1758"/>
    <w:rsid w:val="009A1F0A"/>
    <w:rsid w:val="009A40BA"/>
    <w:rsid w:val="009A4503"/>
    <w:rsid w:val="009A61A6"/>
    <w:rsid w:val="009A6AEE"/>
    <w:rsid w:val="009A6FBD"/>
    <w:rsid w:val="009B048A"/>
    <w:rsid w:val="009B1204"/>
    <w:rsid w:val="009B16E9"/>
    <w:rsid w:val="009B1B52"/>
    <w:rsid w:val="009B2171"/>
    <w:rsid w:val="009B218C"/>
    <w:rsid w:val="009B4140"/>
    <w:rsid w:val="009B4147"/>
    <w:rsid w:val="009B4B9F"/>
    <w:rsid w:val="009B6B61"/>
    <w:rsid w:val="009B6B93"/>
    <w:rsid w:val="009C0120"/>
    <w:rsid w:val="009C07FB"/>
    <w:rsid w:val="009C2BDA"/>
    <w:rsid w:val="009C46C4"/>
    <w:rsid w:val="009C66B8"/>
    <w:rsid w:val="009C6715"/>
    <w:rsid w:val="009C6B8E"/>
    <w:rsid w:val="009C6D51"/>
    <w:rsid w:val="009C6D60"/>
    <w:rsid w:val="009C761D"/>
    <w:rsid w:val="009D02AA"/>
    <w:rsid w:val="009D0729"/>
    <w:rsid w:val="009D07BF"/>
    <w:rsid w:val="009D0FC4"/>
    <w:rsid w:val="009D143E"/>
    <w:rsid w:val="009D1CD2"/>
    <w:rsid w:val="009D202B"/>
    <w:rsid w:val="009D20AA"/>
    <w:rsid w:val="009D3D66"/>
    <w:rsid w:val="009D6702"/>
    <w:rsid w:val="009E2AAB"/>
    <w:rsid w:val="009E34BC"/>
    <w:rsid w:val="009E3526"/>
    <w:rsid w:val="009E3A51"/>
    <w:rsid w:val="009E41DD"/>
    <w:rsid w:val="009E4933"/>
    <w:rsid w:val="009E6E73"/>
    <w:rsid w:val="009E72E3"/>
    <w:rsid w:val="009F0F81"/>
    <w:rsid w:val="009F15E1"/>
    <w:rsid w:val="009F1D0D"/>
    <w:rsid w:val="009F3218"/>
    <w:rsid w:val="009F6A6D"/>
    <w:rsid w:val="009F6E42"/>
    <w:rsid w:val="00A00671"/>
    <w:rsid w:val="00A02BE2"/>
    <w:rsid w:val="00A073D3"/>
    <w:rsid w:val="00A0754B"/>
    <w:rsid w:val="00A07E82"/>
    <w:rsid w:val="00A10D34"/>
    <w:rsid w:val="00A118EA"/>
    <w:rsid w:val="00A11960"/>
    <w:rsid w:val="00A128ED"/>
    <w:rsid w:val="00A12E4C"/>
    <w:rsid w:val="00A12F80"/>
    <w:rsid w:val="00A135DA"/>
    <w:rsid w:val="00A13F0A"/>
    <w:rsid w:val="00A143F9"/>
    <w:rsid w:val="00A15546"/>
    <w:rsid w:val="00A16689"/>
    <w:rsid w:val="00A171D2"/>
    <w:rsid w:val="00A205CA"/>
    <w:rsid w:val="00A208B8"/>
    <w:rsid w:val="00A20B4C"/>
    <w:rsid w:val="00A20BA5"/>
    <w:rsid w:val="00A2143A"/>
    <w:rsid w:val="00A21BF9"/>
    <w:rsid w:val="00A22526"/>
    <w:rsid w:val="00A226A7"/>
    <w:rsid w:val="00A226BB"/>
    <w:rsid w:val="00A231DB"/>
    <w:rsid w:val="00A239C5"/>
    <w:rsid w:val="00A2420B"/>
    <w:rsid w:val="00A24739"/>
    <w:rsid w:val="00A25768"/>
    <w:rsid w:val="00A257A0"/>
    <w:rsid w:val="00A26A31"/>
    <w:rsid w:val="00A27768"/>
    <w:rsid w:val="00A27933"/>
    <w:rsid w:val="00A307D7"/>
    <w:rsid w:val="00A30CF6"/>
    <w:rsid w:val="00A31D8E"/>
    <w:rsid w:val="00A32A36"/>
    <w:rsid w:val="00A3594E"/>
    <w:rsid w:val="00A35E82"/>
    <w:rsid w:val="00A41D20"/>
    <w:rsid w:val="00A4446F"/>
    <w:rsid w:val="00A45425"/>
    <w:rsid w:val="00A47481"/>
    <w:rsid w:val="00A47872"/>
    <w:rsid w:val="00A47D8C"/>
    <w:rsid w:val="00A5011C"/>
    <w:rsid w:val="00A51230"/>
    <w:rsid w:val="00A5171A"/>
    <w:rsid w:val="00A52098"/>
    <w:rsid w:val="00A52BFB"/>
    <w:rsid w:val="00A5304F"/>
    <w:rsid w:val="00A5485C"/>
    <w:rsid w:val="00A54AB8"/>
    <w:rsid w:val="00A54CED"/>
    <w:rsid w:val="00A553D7"/>
    <w:rsid w:val="00A555E7"/>
    <w:rsid w:val="00A557B9"/>
    <w:rsid w:val="00A557E2"/>
    <w:rsid w:val="00A55D69"/>
    <w:rsid w:val="00A56793"/>
    <w:rsid w:val="00A56BBA"/>
    <w:rsid w:val="00A57070"/>
    <w:rsid w:val="00A609CE"/>
    <w:rsid w:val="00A61410"/>
    <w:rsid w:val="00A62046"/>
    <w:rsid w:val="00A62057"/>
    <w:rsid w:val="00A6232F"/>
    <w:rsid w:val="00A627D1"/>
    <w:rsid w:val="00A62863"/>
    <w:rsid w:val="00A63143"/>
    <w:rsid w:val="00A63C1A"/>
    <w:rsid w:val="00A63C67"/>
    <w:rsid w:val="00A64E8A"/>
    <w:rsid w:val="00A6535B"/>
    <w:rsid w:val="00A66DEA"/>
    <w:rsid w:val="00A70FAA"/>
    <w:rsid w:val="00A7184D"/>
    <w:rsid w:val="00A72183"/>
    <w:rsid w:val="00A72219"/>
    <w:rsid w:val="00A72487"/>
    <w:rsid w:val="00A73C14"/>
    <w:rsid w:val="00A74C1A"/>
    <w:rsid w:val="00A76451"/>
    <w:rsid w:val="00A7747F"/>
    <w:rsid w:val="00A77E50"/>
    <w:rsid w:val="00A812BD"/>
    <w:rsid w:val="00A8287B"/>
    <w:rsid w:val="00A837C1"/>
    <w:rsid w:val="00A83D45"/>
    <w:rsid w:val="00A851F7"/>
    <w:rsid w:val="00A87091"/>
    <w:rsid w:val="00A87A0C"/>
    <w:rsid w:val="00A94642"/>
    <w:rsid w:val="00A94663"/>
    <w:rsid w:val="00A954BE"/>
    <w:rsid w:val="00A95FB9"/>
    <w:rsid w:val="00A97B18"/>
    <w:rsid w:val="00A97F5A"/>
    <w:rsid w:val="00AA115A"/>
    <w:rsid w:val="00AA29D9"/>
    <w:rsid w:val="00AA2BC0"/>
    <w:rsid w:val="00AA4D10"/>
    <w:rsid w:val="00AA4F03"/>
    <w:rsid w:val="00AA588D"/>
    <w:rsid w:val="00AA68ED"/>
    <w:rsid w:val="00AA7D8C"/>
    <w:rsid w:val="00AB0EAF"/>
    <w:rsid w:val="00AB0EE7"/>
    <w:rsid w:val="00AB1D17"/>
    <w:rsid w:val="00AB21C4"/>
    <w:rsid w:val="00AB26F2"/>
    <w:rsid w:val="00AB48FE"/>
    <w:rsid w:val="00AB505E"/>
    <w:rsid w:val="00AB6146"/>
    <w:rsid w:val="00AB6B8D"/>
    <w:rsid w:val="00AC025A"/>
    <w:rsid w:val="00AC064C"/>
    <w:rsid w:val="00AC0D26"/>
    <w:rsid w:val="00AC0F01"/>
    <w:rsid w:val="00AC1EFE"/>
    <w:rsid w:val="00AC22FF"/>
    <w:rsid w:val="00AC237D"/>
    <w:rsid w:val="00AC2504"/>
    <w:rsid w:val="00AC4AD5"/>
    <w:rsid w:val="00AC4DE9"/>
    <w:rsid w:val="00AC542F"/>
    <w:rsid w:val="00AC5D2A"/>
    <w:rsid w:val="00AC5D34"/>
    <w:rsid w:val="00AC5D57"/>
    <w:rsid w:val="00AC61B0"/>
    <w:rsid w:val="00AD0F8D"/>
    <w:rsid w:val="00AD3A3B"/>
    <w:rsid w:val="00AD4472"/>
    <w:rsid w:val="00AD4C00"/>
    <w:rsid w:val="00AD601C"/>
    <w:rsid w:val="00AD7421"/>
    <w:rsid w:val="00AE0619"/>
    <w:rsid w:val="00AE07CA"/>
    <w:rsid w:val="00AE2BFD"/>
    <w:rsid w:val="00AE4C9D"/>
    <w:rsid w:val="00AE534C"/>
    <w:rsid w:val="00AE5903"/>
    <w:rsid w:val="00AF01D9"/>
    <w:rsid w:val="00AF09C8"/>
    <w:rsid w:val="00AF22DC"/>
    <w:rsid w:val="00AF231B"/>
    <w:rsid w:val="00AF2585"/>
    <w:rsid w:val="00AF3B6C"/>
    <w:rsid w:val="00AF3B6E"/>
    <w:rsid w:val="00AF3D0E"/>
    <w:rsid w:val="00AF5097"/>
    <w:rsid w:val="00AF6923"/>
    <w:rsid w:val="00AF7DBB"/>
    <w:rsid w:val="00B012F9"/>
    <w:rsid w:val="00B018D1"/>
    <w:rsid w:val="00B0197E"/>
    <w:rsid w:val="00B02D85"/>
    <w:rsid w:val="00B03998"/>
    <w:rsid w:val="00B04602"/>
    <w:rsid w:val="00B047E9"/>
    <w:rsid w:val="00B051F6"/>
    <w:rsid w:val="00B060CD"/>
    <w:rsid w:val="00B06317"/>
    <w:rsid w:val="00B06964"/>
    <w:rsid w:val="00B06AE6"/>
    <w:rsid w:val="00B0742E"/>
    <w:rsid w:val="00B113F1"/>
    <w:rsid w:val="00B1177C"/>
    <w:rsid w:val="00B11845"/>
    <w:rsid w:val="00B1258C"/>
    <w:rsid w:val="00B12757"/>
    <w:rsid w:val="00B12A69"/>
    <w:rsid w:val="00B12BC4"/>
    <w:rsid w:val="00B12D6A"/>
    <w:rsid w:val="00B12F4B"/>
    <w:rsid w:val="00B13495"/>
    <w:rsid w:val="00B13779"/>
    <w:rsid w:val="00B1428F"/>
    <w:rsid w:val="00B1433F"/>
    <w:rsid w:val="00B160BC"/>
    <w:rsid w:val="00B2039D"/>
    <w:rsid w:val="00B22112"/>
    <w:rsid w:val="00B22C73"/>
    <w:rsid w:val="00B233DB"/>
    <w:rsid w:val="00B24AEA"/>
    <w:rsid w:val="00B2520D"/>
    <w:rsid w:val="00B2592C"/>
    <w:rsid w:val="00B26290"/>
    <w:rsid w:val="00B26D6D"/>
    <w:rsid w:val="00B313C6"/>
    <w:rsid w:val="00B31DBC"/>
    <w:rsid w:val="00B328E8"/>
    <w:rsid w:val="00B34F0E"/>
    <w:rsid w:val="00B354FA"/>
    <w:rsid w:val="00B35D71"/>
    <w:rsid w:val="00B36CB8"/>
    <w:rsid w:val="00B36DA8"/>
    <w:rsid w:val="00B37440"/>
    <w:rsid w:val="00B404B2"/>
    <w:rsid w:val="00B411B4"/>
    <w:rsid w:val="00B41FA6"/>
    <w:rsid w:val="00B42700"/>
    <w:rsid w:val="00B42BD1"/>
    <w:rsid w:val="00B44563"/>
    <w:rsid w:val="00B44AB2"/>
    <w:rsid w:val="00B46444"/>
    <w:rsid w:val="00B474F1"/>
    <w:rsid w:val="00B50242"/>
    <w:rsid w:val="00B50B8A"/>
    <w:rsid w:val="00B50F07"/>
    <w:rsid w:val="00B524D8"/>
    <w:rsid w:val="00B5255A"/>
    <w:rsid w:val="00B535D4"/>
    <w:rsid w:val="00B5388A"/>
    <w:rsid w:val="00B55856"/>
    <w:rsid w:val="00B55FD7"/>
    <w:rsid w:val="00B560A1"/>
    <w:rsid w:val="00B561F2"/>
    <w:rsid w:val="00B5700E"/>
    <w:rsid w:val="00B577EC"/>
    <w:rsid w:val="00B60C63"/>
    <w:rsid w:val="00B61CD7"/>
    <w:rsid w:val="00B61F29"/>
    <w:rsid w:val="00B6203D"/>
    <w:rsid w:val="00B625D8"/>
    <w:rsid w:val="00B628C3"/>
    <w:rsid w:val="00B62DD2"/>
    <w:rsid w:val="00B640AE"/>
    <w:rsid w:val="00B6554D"/>
    <w:rsid w:val="00B6589A"/>
    <w:rsid w:val="00B66836"/>
    <w:rsid w:val="00B71C75"/>
    <w:rsid w:val="00B7206C"/>
    <w:rsid w:val="00B7324E"/>
    <w:rsid w:val="00B732E5"/>
    <w:rsid w:val="00B7528F"/>
    <w:rsid w:val="00B759B4"/>
    <w:rsid w:val="00B76985"/>
    <w:rsid w:val="00B7750F"/>
    <w:rsid w:val="00B77989"/>
    <w:rsid w:val="00B77B1D"/>
    <w:rsid w:val="00B80B6A"/>
    <w:rsid w:val="00B81897"/>
    <w:rsid w:val="00B81F88"/>
    <w:rsid w:val="00B820A1"/>
    <w:rsid w:val="00B86742"/>
    <w:rsid w:val="00B87899"/>
    <w:rsid w:val="00B87B63"/>
    <w:rsid w:val="00B90037"/>
    <w:rsid w:val="00B90B3A"/>
    <w:rsid w:val="00B919C4"/>
    <w:rsid w:val="00B92509"/>
    <w:rsid w:val="00B928FD"/>
    <w:rsid w:val="00B94287"/>
    <w:rsid w:val="00B94576"/>
    <w:rsid w:val="00B959DA"/>
    <w:rsid w:val="00B97098"/>
    <w:rsid w:val="00B97F71"/>
    <w:rsid w:val="00BA0D6F"/>
    <w:rsid w:val="00BA1969"/>
    <w:rsid w:val="00BA20BC"/>
    <w:rsid w:val="00BA28C2"/>
    <w:rsid w:val="00BA2BD0"/>
    <w:rsid w:val="00BA7115"/>
    <w:rsid w:val="00BB1399"/>
    <w:rsid w:val="00BB34EF"/>
    <w:rsid w:val="00BB3DD6"/>
    <w:rsid w:val="00BB3ED3"/>
    <w:rsid w:val="00BB4751"/>
    <w:rsid w:val="00BB6659"/>
    <w:rsid w:val="00BC0D0E"/>
    <w:rsid w:val="00BC0E75"/>
    <w:rsid w:val="00BC1D2D"/>
    <w:rsid w:val="00BC2200"/>
    <w:rsid w:val="00BC2299"/>
    <w:rsid w:val="00BC262D"/>
    <w:rsid w:val="00BC27E8"/>
    <w:rsid w:val="00BC3073"/>
    <w:rsid w:val="00BC35C2"/>
    <w:rsid w:val="00BC47A5"/>
    <w:rsid w:val="00BC5E97"/>
    <w:rsid w:val="00BC5F99"/>
    <w:rsid w:val="00BC64AC"/>
    <w:rsid w:val="00BC6E27"/>
    <w:rsid w:val="00BC7056"/>
    <w:rsid w:val="00BC75AD"/>
    <w:rsid w:val="00BD0316"/>
    <w:rsid w:val="00BD3202"/>
    <w:rsid w:val="00BD4079"/>
    <w:rsid w:val="00BD7164"/>
    <w:rsid w:val="00BE0769"/>
    <w:rsid w:val="00BE10CF"/>
    <w:rsid w:val="00BE1420"/>
    <w:rsid w:val="00BE1A7E"/>
    <w:rsid w:val="00BE2B68"/>
    <w:rsid w:val="00BE3290"/>
    <w:rsid w:val="00BE526B"/>
    <w:rsid w:val="00BE64F9"/>
    <w:rsid w:val="00BE6ED9"/>
    <w:rsid w:val="00BF0D07"/>
    <w:rsid w:val="00BF19E4"/>
    <w:rsid w:val="00BF23C1"/>
    <w:rsid w:val="00BF2A98"/>
    <w:rsid w:val="00BF33D1"/>
    <w:rsid w:val="00BF429C"/>
    <w:rsid w:val="00BF4345"/>
    <w:rsid w:val="00BF55DB"/>
    <w:rsid w:val="00BF5AE4"/>
    <w:rsid w:val="00BF666B"/>
    <w:rsid w:val="00BF6D9D"/>
    <w:rsid w:val="00BF783E"/>
    <w:rsid w:val="00BF78DE"/>
    <w:rsid w:val="00BF7D0D"/>
    <w:rsid w:val="00C0154A"/>
    <w:rsid w:val="00C01938"/>
    <w:rsid w:val="00C02BB5"/>
    <w:rsid w:val="00C02EB5"/>
    <w:rsid w:val="00C030B5"/>
    <w:rsid w:val="00C034EF"/>
    <w:rsid w:val="00C04B2A"/>
    <w:rsid w:val="00C05C2D"/>
    <w:rsid w:val="00C10247"/>
    <w:rsid w:val="00C118CF"/>
    <w:rsid w:val="00C126B8"/>
    <w:rsid w:val="00C128F6"/>
    <w:rsid w:val="00C12C88"/>
    <w:rsid w:val="00C1366A"/>
    <w:rsid w:val="00C144BE"/>
    <w:rsid w:val="00C146E7"/>
    <w:rsid w:val="00C152E9"/>
    <w:rsid w:val="00C170E3"/>
    <w:rsid w:val="00C2028B"/>
    <w:rsid w:val="00C20D64"/>
    <w:rsid w:val="00C214B0"/>
    <w:rsid w:val="00C23098"/>
    <w:rsid w:val="00C24E83"/>
    <w:rsid w:val="00C260BB"/>
    <w:rsid w:val="00C26D23"/>
    <w:rsid w:val="00C30EC3"/>
    <w:rsid w:val="00C31035"/>
    <w:rsid w:val="00C3186E"/>
    <w:rsid w:val="00C328DD"/>
    <w:rsid w:val="00C369F5"/>
    <w:rsid w:val="00C36EFE"/>
    <w:rsid w:val="00C37A29"/>
    <w:rsid w:val="00C40210"/>
    <w:rsid w:val="00C40F97"/>
    <w:rsid w:val="00C4129F"/>
    <w:rsid w:val="00C424EA"/>
    <w:rsid w:val="00C425C8"/>
    <w:rsid w:val="00C44A90"/>
    <w:rsid w:val="00C45221"/>
    <w:rsid w:val="00C454A4"/>
    <w:rsid w:val="00C459FA"/>
    <w:rsid w:val="00C4614A"/>
    <w:rsid w:val="00C4699D"/>
    <w:rsid w:val="00C4700E"/>
    <w:rsid w:val="00C47097"/>
    <w:rsid w:val="00C47C00"/>
    <w:rsid w:val="00C50EC4"/>
    <w:rsid w:val="00C51329"/>
    <w:rsid w:val="00C5225F"/>
    <w:rsid w:val="00C573B9"/>
    <w:rsid w:val="00C57CDC"/>
    <w:rsid w:val="00C57DE1"/>
    <w:rsid w:val="00C60A8A"/>
    <w:rsid w:val="00C62547"/>
    <w:rsid w:val="00C633CC"/>
    <w:rsid w:val="00C63F00"/>
    <w:rsid w:val="00C64A98"/>
    <w:rsid w:val="00C650FD"/>
    <w:rsid w:val="00C659B3"/>
    <w:rsid w:val="00C65F19"/>
    <w:rsid w:val="00C66D10"/>
    <w:rsid w:val="00C674FF"/>
    <w:rsid w:val="00C70D77"/>
    <w:rsid w:val="00C73BFF"/>
    <w:rsid w:val="00C744E2"/>
    <w:rsid w:val="00C75F80"/>
    <w:rsid w:val="00C76A24"/>
    <w:rsid w:val="00C76B43"/>
    <w:rsid w:val="00C779DA"/>
    <w:rsid w:val="00C77B1D"/>
    <w:rsid w:val="00C77C70"/>
    <w:rsid w:val="00C81AB3"/>
    <w:rsid w:val="00C81DB3"/>
    <w:rsid w:val="00C828F8"/>
    <w:rsid w:val="00C82B9A"/>
    <w:rsid w:val="00C84596"/>
    <w:rsid w:val="00C84623"/>
    <w:rsid w:val="00C84CEA"/>
    <w:rsid w:val="00C86F06"/>
    <w:rsid w:val="00C87395"/>
    <w:rsid w:val="00C87BB3"/>
    <w:rsid w:val="00C87C52"/>
    <w:rsid w:val="00C9009F"/>
    <w:rsid w:val="00C90444"/>
    <w:rsid w:val="00C90F89"/>
    <w:rsid w:val="00C91488"/>
    <w:rsid w:val="00C9581E"/>
    <w:rsid w:val="00C9726D"/>
    <w:rsid w:val="00CA075C"/>
    <w:rsid w:val="00CA0FCE"/>
    <w:rsid w:val="00CA16A1"/>
    <w:rsid w:val="00CA2268"/>
    <w:rsid w:val="00CA5253"/>
    <w:rsid w:val="00CA5E0A"/>
    <w:rsid w:val="00CA6184"/>
    <w:rsid w:val="00CA6281"/>
    <w:rsid w:val="00CA62B6"/>
    <w:rsid w:val="00CA6977"/>
    <w:rsid w:val="00CA7B4B"/>
    <w:rsid w:val="00CB0475"/>
    <w:rsid w:val="00CB0E13"/>
    <w:rsid w:val="00CB11C1"/>
    <w:rsid w:val="00CB248F"/>
    <w:rsid w:val="00CB319D"/>
    <w:rsid w:val="00CB3EED"/>
    <w:rsid w:val="00CB6D45"/>
    <w:rsid w:val="00CB6E52"/>
    <w:rsid w:val="00CB7044"/>
    <w:rsid w:val="00CB7C78"/>
    <w:rsid w:val="00CB7FE3"/>
    <w:rsid w:val="00CC03D8"/>
    <w:rsid w:val="00CC11FE"/>
    <w:rsid w:val="00CC20C2"/>
    <w:rsid w:val="00CC26EA"/>
    <w:rsid w:val="00CC288A"/>
    <w:rsid w:val="00CC2D69"/>
    <w:rsid w:val="00CC2F98"/>
    <w:rsid w:val="00CC3EB8"/>
    <w:rsid w:val="00CC4B13"/>
    <w:rsid w:val="00CC5F29"/>
    <w:rsid w:val="00CC6EF8"/>
    <w:rsid w:val="00CC75F2"/>
    <w:rsid w:val="00CC7B1F"/>
    <w:rsid w:val="00CD1F96"/>
    <w:rsid w:val="00CD2EC1"/>
    <w:rsid w:val="00CD3F0A"/>
    <w:rsid w:val="00CD4C55"/>
    <w:rsid w:val="00CD5474"/>
    <w:rsid w:val="00CD62F3"/>
    <w:rsid w:val="00CD633F"/>
    <w:rsid w:val="00CD6565"/>
    <w:rsid w:val="00CD6CCB"/>
    <w:rsid w:val="00CD748A"/>
    <w:rsid w:val="00CE182A"/>
    <w:rsid w:val="00CE18EA"/>
    <w:rsid w:val="00CE30A1"/>
    <w:rsid w:val="00CE30F5"/>
    <w:rsid w:val="00CE4F07"/>
    <w:rsid w:val="00CE62D8"/>
    <w:rsid w:val="00CE697F"/>
    <w:rsid w:val="00CE7271"/>
    <w:rsid w:val="00CE7E51"/>
    <w:rsid w:val="00CF11BD"/>
    <w:rsid w:val="00CF1C13"/>
    <w:rsid w:val="00CF300F"/>
    <w:rsid w:val="00CF3323"/>
    <w:rsid w:val="00CF3E60"/>
    <w:rsid w:val="00CF417C"/>
    <w:rsid w:val="00CF5ED7"/>
    <w:rsid w:val="00CF62F1"/>
    <w:rsid w:val="00CF69B9"/>
    <w:rsid w:val="00CF7231"/>
    <w:rsid w:val="00D005A7"/>
    <w:rsid w:val="00D0155F"/>
    <w:rsid w:val="00D01595"/>
    <w:rsid w:val="00D01A5A"/>
    <w:rsid w:val="00D01A82"/>
    <w:rsid w:val="00D02634"/>
    <w:rsid w:val="00D03340"/>
    <w:rsid w:val="00D03710"/>
    <w:rsid w:val="00D041F5"/>
    <w:rsid w:val="00D045D1"/>
    <w:rsid w:val="00D04D30"/>
    <w:rsid w:val="00D12AB4"/>
    <w:rsid w:val="00D15367"/>
    <w:rsid w:val="00D159A0"/>
    <w:rsid w:val="00D165A1"/>
    <w:rsid w:val="00D16887"/>
    <w:rsid w:val="00D17904"/>
    <w:rsid w:val="00D20330"/>
    <w:rsid w:val="00D20E3B"/>
    <w:rsid w:val="00D22C35"/>
    <w:rsid w:val="00D239B8"/>
    <w:rsid w:val="00D23E7D"/>
    <w:rsid w:val="00D2406A"/>
    <w:rsid w:val="00D24FDA"/>
    <w:rsid w:val="00D25B8B"/>
    <w:rsid w:val="00D25F23"/>
    <w:rsid w:val="00D30294"/>
    <w:rsid w:val="00D30360"/>
    <w:rsid w:val="00D30BBF"/>
    <w:rsid w:val="00D319BF"/>
    <w:rsid w:val="00D32B52"/>
    <w:rsid w:val="00D32F93"/>
    <w:rsid w:val="00D35676"/>
    <w:rsid w:val="00D36AB1"/>
    <w:rsid w:val="00D375DB"/>
    <w:rsid w:val="00D376C8"/>
    <w:rsid w:val="00D37711"/>
    <w:rsid w:val="00D37888"/>
    <w:rsid w:val="00D37960"/>
    <w:rsid w:val="00D404C8"/>
    <w:rsid w:val="00D41641"/>
    <w:rsid w:val="00D46E9E"/>
    <w:rsid w:val="00D50657"/>
    <w:rsid w:val="00D50A67"/>
    <w:rsid w:val="00D52136"/>
    <w:rsid w:val="00D52571"/>
    <w:rsid w:val="00D531D0"/>
    <w:rsid w:val="00D53AA1"/>
    <w:rsid w:val="00D53ED7"/>
    <w:rsid w:val="00D56420"/>
    <w:rsid w:val="00D60351"/>
    <w:rsid w:val="00D64230"/>
    <w:rsid w:val="00D64A79"/>
    <w:rsid w:val="00D66EBF"/>
    <w:rsid w:val="00D7328D"/>
    <w:rsid w:val="00D75A8A"/>
    <w:rsid w:val="00D75C75"/>
    <w:rsid w:val="00D7733C"/>
    <w:rsid w:val="00D84794"/>
    <w:rsid w:val="00D85861"/>
    <w:rsid w:val="00D858C3"/>
    <w:rsid w:val="00D86CED"/>
    <w:rsid w:val="00D86FEA"/>
    <w:rsid w:val="00D872AA"/>
    <w:rsid w:val="00D90948"/>
    <w:rsid w:val="00D93C91"/>
    <w:rsid w:val="00D963DF"/>
    <w:rsid w:val="00D9715F"/>
    <w:rsid w:val="00DA01A6"/>
    <w:rsid w:val="00DA3B1E"/>
    <w:rsid w:val="00DA3D8C"/>
    <w:rsid w:val="00DA4B9A"/>
    <w:rsid w:val="00DA6985"/>
    <w:rsid w:val="00DB13ED"/>
    <w:rsid w:val="00DB22AC"/>
    <w:rsid w:val="00DB261B"/>
    <w:rsid w:val="00DB346D"/>
    <w:rsid w:val="00DB3EC6"/>
    <w:rsid w:val="00DB42CE"/>
    <w:rsid w:val="00DB59F1"/>
    <w:rsid w:val="00DB7938"/>
    <w:rsid w:val="00DB7E4D"/>
    <w:rsid w:val="00DC008A"/>
    <w:rsid w:val="00DC1D9D"/>
    <w:rsid w:val="00DC2DE5"/>
    <w:rsid w:val="00DC3320"/>
    <w:rsid w:val="00DC4907"/>
    <w:rsid w:val="00DC4D6C"/>
    <w:rsid w:val="00DC50F4"/>
    <w:rsid w:val="00DC5236"/>
    <w:rsid w:val="00DC57FB"/>
    <w:rsid w:val="00DC58CD"/>
    <w:rsid w:val="00DC6C3A"/>
    <w:rsid w:val="00DC6FE4"/>
    <w:rsid w:val="00DC7785"/>
    <w:rsid w:val="00DC79EC"/>
    <w:rsid w:val="00DD0279"/>
    <w:rsid w:val="00DD0468"/>
    <w:rsid w:val="00DD163D"/>
    <w:rsid w:val="00DD2C15"/>
    <w:rsid w:val="00DD33D4"/>
    <w:rsid w:val="00DD6EA8"/>
    <w:rsid w:val="00DD715B"/>
    <w:rsid w:val="00DE0F82"/>
    <w:rsid w:val="00DE135F"/>
    <w:rsid w:val="00DE225A"/>
    <w:rsid w:val="00DE44B0"/>
    <w:rsid w:val="00DE4E1F"/>
    <w:rsid w:val="00DE5ECE"/>
    <w:rsid w:val="00DE642B"/>
    <w:rsid w:val="00DE7766"/>
    <w:rsid w:val="00DF1836"/>
    <w:rsid w:val="00DF2136"/>
    <w:rsid w:val="00DF3CC9"/>
    <w:rsid w:val="00DF7B65"/>
    <w:rsid w:val="00DF7CA4"/>
    <w:rsid w:val="00E00BCF"/>
    <w:rsid w:val="00E00D02"/>
    <w:rsid w:val="00E00FE8"/>
    <w:rsid w:val="00E0191F"/>
    <w:rsid w:val="00E02A6F"/>
    <w:rsid w:val="00E03ADB"/>
    <w:rsid w:val="00E03B8B"/>
    <w:rsid w:val="00E0495E"/>
    <w:rsid w:val="00E057FB"/>
    <w:rsid w:val="00E06A1A"/>
    <w:rsid w:val="00E06E1C"/>
    <w:rsid w:val="00E10C8E"/>
    <w:rsid w:val="00E11428"/>
    <w:rsid w:val="00E126C8"/>
    <w:rsid w:val="00E1386D"/>
    <w:rsid w:val="00E13BB4"/>
    <w:rsid w:val="00E141BA"/>
    <w:rsid w:val="00E14689"/>
    <w:rsid w:val="00E14ADA"/>
    <w:rsid w:val="00E14F2C"/>
    <w:rsid w:val="00E158B8"/>
    <w:rsid w:val="00E16782"/>
    <w:rsid w:val="00E17017"/>
    <w:rsid w:val="00E1766E"/>
    <w:rsid w:val="00E20491"/>
    <w:rsid w:val="00E20C2B"/>
    <w:rsid w:val="00E232E7"/>
    <w:rsid w:val="00E242FD"/>
    <w:rsid w:val="00E24C63"/>
    <w:rsid w:val="00E25447"/>
    <w:rsid w:val="00E25B62"/>
    <w:rsid w:val="00E27FFA"/>
    <w:rsid w:val="00E300B2"/>
    <w:rsid w:val="00E31512"/>
    <w:rsid w:val="00E35C76"/>
    <w:rsid w:val="00E36407"/>
    <w:rsid w:val="00E40B05"/>
    <w:rsid w:val="00E4174E"/>
    <w:rsid w:val="00E4253D"/>
    <w:rsid w:val="00E44123"/>
    <w:rsid w:val="00E443EA"/>
    <w:rsid w:val="00E45384"/>
    <w:rsid w:val="00E45D1E"/>
    <w:rsid w:val="00E4713F"/>
    <w:rsid w:val="00E47381"/>
    <w:rsid w:val="00E513FE"/>
    <w:rsid w:val="00E52155"/>
    <w:rsid w:val="00E523A8"/>
    <w:rsid w:val="00E531CA"/>
    <w:rsid w:val="00E53D67"/>
    <w:rsid w:val="00E546FD"/>
    <w:rsid w:val="00E54A7E"/>
    <w:rsid w:val="00E559C6"/>
    <w:rsid w:val="00E610DE"/>
    <w:rsid w:val="00E61263"/>
    <w:rsid w:val="00E622D9"/>
    <w:rsid w:val="00E638F3"/>
    <w:rsid w:val="00E63C90"/>
    <w:rsid w:val="00E6419E"/>
    <w:rsid w:val="00E641C3"/>
    <w:rsid w:val="00E64507"/>
    <w:rsid w:val="00E658DC"/>
    <w:rsid w:val="00E664C3"/>
    <w:rsid w:val="00E6733D"/>
    <w:rsid w:val="00E67DC7"/>
    <w:rsid w:val="00E7109E"/>
    <w:rsid w:val="00E7169F"/>
    <w:rsid w:val="00E7229E"/>
    <w:rsid w:val="00E72CD1"/>
    <w:rsid w:val="00E742EE"/>
    <w:rsid w:val="00E76F99"/>
    <w:rsid w:val="00E80661"/>
    <w:rsid w:val="00E80B30"/>
    <w:rsid w:val="00E81507"/>
    <w:rsid w:val="00E819E1"/>
    <w:rsid w:val="00E8212F"/>
    <w:rsid w:val="00E85B03"/>
    <w:rsid w:val="00E85F07"/>
    <w:rsid w:val="00E87BC9"/>
    <w:rsid w:val="00E90356"/>
    <w:rsid w:val="00E91064"/>
    <w:rsid w:val="00E931B2"/>
    <w:rsid w:val="00E9374F"/>
    <w:rsid w:val="00E946EF"/>
    <w:rsid w:val="00E94D33"/>
    <w:rsid w:val="00E94EC4"/>
    <w:rsid w:val="00E9563B"/>
    <w:rsid w:val="00EA017E"/>
    <w:rsid w:val="00EA2528"/>
    <w:rsid w:val="00EA4155"/>
    <w:rsid w:val="00EA51F5"/>
    <w:rsid w:val="00EA7D99"/>
    <w:rsid w:val="00EB0041"/>
    <w:rsid w:val="00EB0A1D"/>
    <w:rsid w:val="00EB0B92"/>
    <w:rsid w:val="00EB1370"/>
    <w:rsid w:val="00EB1867"/>
    <w:rsid w:val="00EB18AD"/>
    <w:rsid w:val="00EB21E2"/>
    <w:rsid w:val="00EB2965"/>
    <w:rsid w:val="00EB2A79"/>
    <w:rsid w:val="00EB2B67"/>
    <w:rsid w:val="00EB3992"/>
    <w:rsid w:val="00EB50AB"/>
    <w:rsid w:val="00EB6961"/>
    <w:rsid w:val="00EB70B7"/>
    <w:rsid w:val="00EC0291"/>
    <w:rsid w:val="00EC13A8"/>
    <w:rsid w:val="00EC15D4"/>
    <w:rsid w:val="00EC21E6"/>
    <w:rsid w:val="00EC2AB5"/>
    <w:rsid w:val="00EC3199"/>
    <w:rsid w:val="00EC37BD"/>
    <w:rsid w:val="00EC38FB"/>
    <w:rsid w:val="00EC4A40"/>
    <w:rsid w:val="00EC4F4F"/>
    <w:rsid w:val="00EC52CE"/>
    <w:rsid w:val="00ED08AB"/>
    <w:rsid w:val="00ED117A"/>
    <w:rsid w:val="00ED2535"/>
    <w:rsid w:val="00ED33BC"/>
    <w:rsid w:val="00ED572A"/>
    <w:rsid w:val="00ED6177"/>
    <w:rsid w:val="00ED63AF"/>
    <w:rsid w:val="00ED7C11"/>
    <w:rsid w:val="00EE0248"/>
    <w:rsid w:val="00EE04D1"/>
    <w:rsid w:val="00EE0862"/>
    <w:rsid w:val="00EE4279"/>
    <w:rsid w:val="00EE47BD"/>
    <w:rsid w:val="00EE5549"/>
    <w:rsid w:val="00EE599B"/>
    <w:rsid w:val="00EE6E01"/>
    <w:rsid w:val="00EF0C2F"/>
    <w:rsid w:val="00EF0D0D"/>
    <w:rsid w:val="00EF0F12"/>
    <w:rsid w:val="00EF1AD4"/>
    <w:rsid w:val="00EF4D94"/>
    <w:rsid w:val="00EF5C47"/>
    <w:rsid w:val="00EF6A7D"/>
    <w:rsid w:val="00EF6B7C"/>
    <w:rsid w:val="00EF7785"/>
    <w:rsid w:val="00EF7B3E"/>
    <w:rsid w:val="00F006A7"/>
    <w:rsid w:val="00F00DD7"/>
    <w:rsid w:val="00F023F7"/>
    <w:rsid w:val="00F02ABA"/>
    <w:rsid w:val="00F02F10"/>
    <w:rsid w:val="00F03005"/>
    <w:rsid w:val="00F03FBA"/>
    <w:rsid w:val="00F03FF9"/>
    <w:rsid w:val="00F04990"/>
    <w:rsid w:val="00F05417"/>
    <w:rsid w:val="00F07793"/>
    <w:rsid w:val="00F07A1F"/>
    <w:rsid w:val="00F103E8"/>
    <w:rsid w:val="00F106F7"/>
    <w:rsid w:val="00F10E55"/>
    <w:rsid w:val="00F10E88"/>
    <w:rsid w:val="00F1101B"/>
    <w:rsid w:val="00F11830"/>
    <w:rsid w:val="00F12A6F"/>
    <w:rsid w:val="00F12B6E"/>
    <w:rsid w:val="00F169F4"/>
    <w:rsid w:val="00F16C17"/>
    <w:rsid w:val="00F1703A"/>
    <w:rsid w:val="00F176FB"/>
    <w:rsid w:val="00F2011E"/>
    <w:rsid w:val="00F201A8"/>
    <w:rsid w:val="00F20D8C"/>
    <w:rsid w:val="00F2234A"/>
    <w:rsid w:val="00F2246E"/>
    <w:rsid w:val="00F22A96"/>
    <w:rsid w:val="00F22FF2"/>
    <w:rsid w:val="00F2329B"/>
    <w:rsid w:val="00F235BB"/>
    <w:rsid w:val="00F23D98"/>
    <w:rsid w:val="00F23EE2"/>
    <w:rsid w:val="00F26931"/>
    <w:rsid w:val="00F26F24"/>
    <w:rsid w:val="00F27028"/>
    <w:rsid w:val="00F27137"/>
    <w:rsid w:val="00F27EC4"/>
    <w:rsid w:val="00F316A9"/>
    <w:rsid w:val="00F318C8"/>
    <w:rsid w:val="00F35346"/>
    <w:rsid w:val="00F3601E"/>
    <w:rsid w:val="00F37A3F"/>
    <w:rsid w:val="00F402FA"/>
    <w:rsid w:val="00F41564"/>
    <w:rsid w:val="00F41B5C"/>
    <w:rsid w:val="00F426C1"/>
    <w:rsid w:val="00F42948"/>
    <w:rsid w:val="00F44C5D"/>
    <w:rsid w:val="00F46D3D"/>
    <w:rsid w:val="00F473DA"/>
    <w:rsid w:val="00F47977"/>
    <w:rsid w:val="00F50453"/>
    <w:rsid w:val="00F51EE4"/>
    <w:rsid w:val="00F52620"/>
    <w:rsid w:val="00F53990"/>
    <w:rsid w:val="00F546C3"/>
    <w:rsid w:val="00F554BA"/>
    <w:rsid w:val="00F565C3"/>
    <w:rsid w:val="00F57552"/>
    <w:rsid w:val="00F6091B"/>
    <w:rsid w:val="00F614C9"/>
    <w:rsid w:val="00F65524"/>
    <w:rsid w:val="00F6557D"/>
    <w:rsid w:val="00F71217"/>
    <w:rsid w:val="00F713F9"/>
    <w:rsid w:val="00F72605"/>
    <w:rsid w:val="00F7279D"/>
    <w:rsid w:val="00F728A4"/>
    <w:rsid w:val="00F72CEE"/>
    <w:rsid w:val="00F72CF1"/>
    <w:rsid w:val="00F7394D"/>
    <w:rsid w:val="00F7472C"/>
    <w:rsid w:val="00F75C34"/>
    <w:rsid w:val="00F80D9A"/>
    <w:rsid w:val="00F810BB"/>
    <w:rsid w:val="00F81759"/>
    <w:rsid w:val="00F8284A"/>
    <w:rsid w:val="00F83866"/>
    <w:rsid w:val="00F83F31"/>
    <w:rsid w:val="00F85E7F"/>
    <w:rsid w:val="00F86E8D"/>
    <w:rsid w:val="00F877ED"/>
    <w:rsid w:val="00F87D7A"/>
    <w:rsid w:val="00F9056E"/>
    <w:rsid w:val="00F91763"/>
    <w:rsid w:val="00F9189A"/>
    <w:rsid w:val="00F92177"/>
    <w:rsid w:val="00F92DD6"/>
    <w:rsid w:val="00F932E4"/>
    <w:rsid w:val="00F950FA"/>
    <w:rsid w:val="00F9543A"/>
    <w:rsid w:val="00F978A9"/>
    <w:rsid w:val="00FA01AD"/>
    <w:rsid w:val="00FA21E0"/>
    <w:rsid w:val="00FA3A29"/>
    <w:rsid w:val="00FA3A9F"/>
    <w:rsid w:val="00FA3EA6"/>
    <w:rsid w:val="00FA3F78"/>
    <w:rsid w:val="00FA421A"/>
    <w:rsid w:val="00FA4351"/>
    <w:rsid w:val="00FA4838"/>
    <w:rsid w:val="00FA515D"/>
    <w:rsid w:val="00FA51BC"/>
    <w:rsid w:val="00FA5988"/>
    <w:rsid w:val="00FA6FDE"/>
    <w:rsid w:val="00FA7B23"/>
    <w:rsid w:val="00FA7D93"/>
    <w:rsid w:val="00FB0108"/>
    <w:rsid w:val="00FB15A9"/>
    <w:rsid w:val="00FB2337"/>
    <w:rsid w:val="00FB2DA0"/>
    <w:rsid w:val="00FB329E"/>
    <w:rsid w:val="00FB39AB"/>
    <w:rsid w:val="00FB6164"/>
    <w:rsid w:val="00FB6BBD"/>
    <w:rsid w:val="00FC1578"/>
    <w:rsid w:val="00FC6795"/>
    <w:rsid w:val="00FC6D9F"/>
    <w:rsid w:val="00FC72C9"/>
    <w:rsid w:val="00FD29E6"/>
    <w:rsid w:val="00FD32E0"/>
    <w:rsid w:val="00FD3771"/>
    <w:rsid w:val="00FD66F7"/>
    <w:rsid w:val="00FD7668"/>
    <w:rsid w:val="00FE1559"/>
    <w:rsid w:val="00FE2357"/>
    <w:rsid w:val="00FE2E45"/>
    <w:rsid w:val="00FE55CF"/>
    <w:rsid w:val="00FE62D9"/>
    <w:rsid w:val="00FF0435"/>
    <w:rsid w:val="00FF09E0"/>
    <w:rsid w:val="00FF13EB"/>
    <w:rsid w:val="00FF209F"/>
    <w:rsid w:val="00FF2909"/>
    <w:rsid w:val="00FF2C05"/>
    <w:rsid w:val="00FF348E"/>
    <w:rsid w:val="048A6E02"/>
    <w:rsid w:val="2F865319"/>
    <w:rsid w:val="38626FD6"/>
    <w:rsid w:val="4BF41B96"/>
    <w:rsid w:val="4EA555B7"/>
    <w:rsid w:val="58AA36B6"/>
    <w:rsid w:val="66D13F8C"/>
    <w:rsid w:val="681B40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39" w:semiHidden="0" w:name="toc 1"/>
    <w:lsdException w:unhideWhenUsed="0" w:uiPriority="39" w:semiHidden="0" w:name="toc 2"/>
    <w:lsdException w:qFormat="1" w:unhideWhenUsed="0" w:uiPriority="39" w:semiHidden="0" w:name="toc 3"/>
    <w:lsdException w:qFormat="1" w:uiPriority="39" w:semiHidden="0" w:name="toc 4"/>
    <w:lsdException w:qFormat="1" w:uiPriority="39" w:semiHidden="0" w:name="toc 5"/>
    <w:lsdException w:qFormat="1" w:uiPriority="39" w:semiHidden="0" w:name="toc 6"/>
    <w:lsdException w:uiPriority="39" w:semiHidden="0" w:name="toc 7"/>
    <w:lsdException w:uiPriority="39" w:semiHidden="0" w:name="toc 8"/>
    <w:lsdException w:qFormat="1" w:uiPriority="39" w:semiHidden="0" w:name="toc 9"/>
    <w:lsdException w:uiPriority="0" w:name="Normal Indent"/>
    <w:lsdException w:uiPriority="0" w:name="footnote text"/>
    <w:lsdException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5"/>
    <w:qFormat/>
    <w:uiPriority w:val="0"/>
    <w:pPr>
      <w:keepNext/>
      <w:widowControl/>
      <w:tabs>
        <w:tab w:val="left" w:pos="0"/>
      </w:tabs>
      <w:spacing w:before="60" w:after="60"/>
      <w:ind w:left="2520" w:leftChars="100" w:right="100" w:rightChars="100"/>
      <w:jc w:val="left"/>
      <w:outlineLvl w:val="0"/>
    </w:pPr>
    <w:rPr>
      <w:rFonts w:ascii="Optimum" w:hAnsi="Optimum" w:eastAsiaTheme="majorEastAsia"/>
      <w:b/>
      <w:kern w:val="0"/>
      <w:sz w:val="24"/>
      <w:lang w:eastAsia="zh-TW"/>
    </w:rPr>
  </w:style>
  <w:style w:type="paragraph" w:styleId="3">
    <w:name w:val="heading 2"/>
    <w:basedOn w:val="1"/>
    <w:next w:val="1"/>
    <w:link w:val="46"/>
    <w:unhideWhenUsed/>
    <w:qFormat/>
    <w:uiPriority w:val="0"/>
    <w:pPr>
      <w:keepNext/>
      <w:keepLines/>
      <w:widowControl/>
      <w:spacing w:before="260" w:after="260" w:line="416" w:lineRule="auto"/>
      <w:ind w:left="210" w:leftChars="100" w:right="100" w:rightChars="100"/>
      <w:jc w:val="left"/>
      <w:outlineLvl w:val="1"/>
    </w:pPr>
    <w:rPr>
      <w:rFonts w:ascii="Cambria" w:hAnsi="Cambria" w:cs="黑体" w:eastAsiaTheme="majorEastAsia"/>
      <w:bCs/>
      <w:kern w:val="0"/>
      <w:sz w:val="24"/>
      <w:szCs w:val="32"/>
      <w:lang w:eastAsia="zh-TW"/>
    </w:rPr>
  </w:style>
  <w:style w:type="paragraph" w:styleId="4">
    <w:name w:val="heading 3"/>
    <w:basedOn w:val="1"/>
    <w:next w:val="1"/>
    <w:link w:val="51"/>
    <w:unhideWhenUsed/>
    <w:qFormat/>
    <w:uiPriority w:val="0"/>
    <w:pPr>
      <w:keepNext/>
      <w:keepLines/>
      <w:spacing w:before="260" w:after="260" w:line="416" w:lineRule="auto"/>
      <w:outlineLvl w:val="2"/>
    </w:pPr>
    <w:rPr>
      <w:b/>
      <w:bCs/>
      <w:sz w:val="32"/>
      <w:szCs w:val="32"/>
    </w:rPr>
  </w:style>
  <w:style w:type="character" w:default="1" w:styleId="25">
    <w:name w:val="Default Paragraph Font"/>
    <w:unhideWhenUsed/>
    <w:uiPriority w:val="1"/>
  </w:style>
  <w:style w:type="table" w:default="1" w:styleId="29">
    <w:name w:val="Normal Table"/>
    <w:unhideWhenUsed/>
    <w:uiPriority w:val="99"/>
    <w:tblPr>
      <w:tblLayout w:type="fixed"/>
      <w:tblCellMar>
        <w:top w:w="0" w:type="dxa"/>
        <w:left w:w="108" w:type="dxa"/>
        <w:bottom w:w="0" w:type="dxa"/>
        <w:right w:w="108" w:type="dxa"/>
      </w:tblCellMar>
    </w:tblPr>
  </w:style>
  <w:style w:type="paragraph" w:styleId="5">
    <w:name w:val="annotation subject"/>
    <w:basedOn w:val="6"/>
    <w:next w:val="6"/>
    <w:semiHidden/>
    <w:uiPriority w:val="0"/>
    <w:rPr>
      <w:b/>
      <w:bCs/>
    </w:rPr>
  </w:style>
  <w:style w:type="paragraph" w:styleId="6">
    <w:name w:val="annotation text"/>
    <w:basedOn w:val="1"/>
    <w:uiPriority w:val="0"/>
    <w:pPr>
      <w:jc w:val="left"/>
    </w:pPr>
  </w:style>
  <w:style w:type="paragraph" w:styleId="7">
    <w:name w:val="toc 7"/>
    <w:basedOn w:val="1"/>
    <w:next w:val="1"/>
    <w:unhideWhenUsed/>
    <w:uiPriority w:val="39"/>
    <w:pPr>
      <w:ind w:left="1260"/>
      <w:jc w:val="left"/>
    </w:pPr>
    <w:rPr>
      <w:rFonts w:asciiTheme="minorHAnsi" w:hAnsiTheme="minorHAnsi" w:cstheme="minorHAnsi"/>
      <w:sz w:val="18"/>
      <w:szCs w:val="18"/>
    </w:rPr>
  </w:style>
  <w:style w:type="paragraph" w:styleId="8">
    <w:name w:val="List Bullet"/>
    <w:basedOn w:val="1"/>
    <w:uiPriority w:val="0"/>
    <w:pPr>
      <w:widowControl/>
      <w:numPr>
        <w:ilvl w:val="0"/>
        <w:numId w:val="1"/>
      </w:numPr>
      <w:spacing w:after="20" w:line="280" w:lineRule="atLeast"/>
      <w:jc w:val="left"/>
    </w:pPr>
    <w:rPr>
      <w:rFonts w:ascii="Garamond" w:hAnsi="Garamond" w:eastAsia="PMingLiU" w:cs="Arial"/>
      <w:kern w:val="0"/>
      <w:sz w:val="22"/>
      <w:lang w:eastAsia="en-US"/>
    </w:rPr>
  </w:style>
  <w:style w:type="paragraph" w:styleId="9">
    <w:name w:val="Document Map"/>
    <w:basedOn w:val="1"/>
    <w:link w:val="47"/>
    <w:qFormat/>
    <w:uiPriority w:val="0"/>
    <w:pPr>
      <w:widowControl/>
      <w:jc w:val="left"/>
    </w:pPr>
    <w:rPr>
      <w:rFonts w:ascii="宋体"/>
      <w:kern w:val="0"/>
      <w:sz w:val="18"/>
      <w:szCs w:val="18"/>
      <w:lang w:eastAsia="zh-TW"/>
    </w:rPr>
  </w:style>
  <w:style w:type="paragraph" w:styleId="10">
    <w:name w:val="Body Text"/>
    <w:basedOn w:val="1"/>
    <w:link w:val="48"/>
    <w:uiPriority w:val="0"/>
    <w:pPr>
      <w:widowControl/>
      <w:tabs>
        <w:tab w:val="left" w:pos="0"/>
        <w:tab w:val="left" w:pos="993"/>
      </w:tabs>
      <w:spacing w:after="60"/>
      <w:jc w:val="left"/>
    </w:pPr>
    <w:rPr>
      <w:rFonts w:ascii="Univers" w:hAnsi="Univers" w:eastAsia="PMingLiU"/>
      <w:kern w:val="0"/>
      <w:sz w:val="16"/>
      <w:lang w:eastAsia="zh-TW"/>
    </w:rPr>
  </w:style>
  <w:style w:type="paragraph" w:styleId="11">
    <w:name w:val="Body Text Indent"/>
    <w:basedOn w:val="1"/>
    <w:qFormat/>
    <w:uiPriority w:val="0"/>
    <w:pPr>
      <w:spacing w:after="120"/>
      <w:ind w:left="420" w:leftChars="200"/>
    </w:pPr>
  </w:style>
  <w:style w:type="paragraph" w:styleId="12">
    <w:name w:val="List Bullet 2"/>
    <w:basedOn w:val="1"/>
    <w:uiPriority w:val="0"/>
    <w:pPr>
      <w:widowControl/>
      <w:numPr>
        <w:ilvl w:val="1"/>
        <w:numId w:val="1"/>
      </w:numPr>
      <w:tabs>
        <w:tab w:val="left" w:pos="227"/>
      </w:tabs>
      <w:spacing w:after="20" w:line="260" w:lineRule="atLeast"/>
      <w:jc w:val="left"/>
    </w:pPr>
    <w:rPr>
      <w:rFonts w:ascii="Garamond" w:hAnsi="Garamond" w:eastAsia="PMingLiU" w:cs="Arial"/>
      <w:kern w:val="0"/>
      <w:sz w:val="22"/>
      <w:lang w:eastAsia="en-US"/>
    </w:rPr>
  </w:style>
  <w:style w:type="paragraph" w:styleId="13">
    <w:name w:val="toc 5"/>
    <w:basedOn w:val="1"/>
    <w:next w:val="1"/>
    <w:unhideWhenUsed/>
    <w:qFormat/>
    <w:uiPriority w:val="39"/>
    <w:pPr>
      <w:ind w:left="840"/>
      <w:jc w:val="left"/>
    </w:pPr>
    <w:rPr>
      <w:rFonts w:asciiTheme="minorHAnsi" w:hAnsiTheme="minorHAnsi" w:cstheme="minorHAnsi"/>
      <w:sz w:val="18"/>
      <w:szCs w:val="18"/>
    </w:rPr>
  </w:style>
  <w:style w:type="paragraph" w:styleId="14">
    <w:name w:val="toc 3"/>
    <w:basedOn w:val="1"/>
    <w:next w:val="1"/>
    <w:qFormat/>
    <w:uiPriority w:val="39"/>
    <w:pPr>
      <w:ind w:left="420"/>
      <w:jc w:val="left"/>
    </w:pPr>
    <w:rPr>
      <w:rFonts w:asciiTheme="minorHAnsi" w:hAnsiTheme="minorHAnsi" w:cstheme="minorHAnsi"/>
      <w:i/>
      <w:iCs/>
      <w:sz w:val="20"/>
    </w:rPr>
  </w:style>
  <w:style w:type="paragraph" w:styleId="15">
    <w:name w:val="toc 8"/>
    <w:basedOn w:val="1"/>
    <w:next w:val="1"/>
    <w:unhideWhenUsed/>
    <w:uiPriority w:val="39"/>
    <w:pPr>
      <w:ind w:left="1470"/>
      <w:jc w:val="left"/>
    </w:pPr>
    <w:rPr>
      <w:rFonts w:asciiTheme="minorHAnsi" w:hAnsiTheme="minorHAnsi" w:cstheme="minorHAnsi"/>
      <w:sz w:val="18"/>
      <w:szCs w:val="18"/>
    </w:rPr>
  </w:style>
  <w:style w:type="paragraph" w:styleId="16">
    <w:name w:val="Date"/>
    <w:basedOn w:val="1"/>
    <w:next w:val="1"/>
    <w:link w:val="49"/>
    <w:qFormat/>
    <w:uiPriority w:val="0"/>
    <w:pPr>
      <w:ind w:left="100" w:leftChars="2500"/>
    </w:pPr>
    <w:rPr>
      <w:rFonts w:ascii="宋体" w:hAnsi="宋体"/>
      <w:sz w:val="28"/>
      <w:szCs w:val="24"/>
    </w:rPr>
  </w:style>
  <w:style w:type="paragraph" w:styleId="17">
    <w:name w:val="Balloon Text"/>
    <w:basedOn w:val="1"/>
    <w:semiHidden/>
    <w:qFormat/>
    <w:uiPriority w:val="0"/>
    <w:rPr>
      <w:sz w:val="18"/>
      <w:szCs w:val="18"/>
    </w:rPr>
  </w:style>
  <w:style w:type="paragraph" w:styleId="18">
    <w:name w:val="footer"/>
    <w:basedOn w:val="1"/>
    <w:link w:val="50"/>
    <w:qFormat/>
    <w:uiPriority w:val="99"/>
    <w:pPr>
      <w:tabs>
        <w:tab w:val="center" w:pos="4153"/>
        <w:tab w:val="right" w:pos="8306"/>
      </w:tabs>
      <w:snapToGrid w:val="0"/>
      <w:jc w:val="left"/>
    </w:pPr>
    <w:rPr>
      <w:sz w:val="18"/>
    </w:rPr>
  </w:style>
  <w:style w:type="paragraph" w:styleId="19">
    <w:name w:val="header"/>
    <w:basedOn w:val="1"/>
    <w:link w:val="44"/>
    <w:qFormat/>
    <w:uiPriority w:val="0"/>
    <w:pPr>
      <w:pBdr>
        <w:bottom w:val="single" w:color="auto" w:sz="6" w:space="1"/>
      </w:pBdr>
      <w:tabs>
        <w:tab w:val="center" w:pos="4153"/>
        <w:tab w:val="right" w:pos="8306"/>
      </w:tabs>
      <w:snapToGrid w:val="0"/>
      <w:jc w:val="center"/>
    </w:pPr>
    <w:rPr>
      <w:sz w:val="18"/>
    </w:rPr>
  </w:style>
  <w:style w:type="paragraph" w:styleId="20">
    <w:name w:val="toc 1"/>
    <w:basedOn w:val="1"/>
    <w:next w:val="1"/>
    <w:uiPriority w:val="39"/>
    <w:pPr>
      <w:spacing w:before="120" w:after="120"/>
      <w:jc w:val="left"/>
    </w:pPr>
    <w:rPr>
      <w:rFonts w:asciiTheme="minorHAnsi" w:hAnsiTheme="minorHAnsi" w:cstheme="minorHAnsi"/>
      <w:b/>
      <w:bCs/>
      <w:caps/>
      <w:sz w:val="20"/>
    </w:rPr>
  </w:style>
  <w:style w:type="paragraph" w:styleId="21">
    <w:name w:val="toc 4"/>
    <w:basedOn w:val="1"/>
    <w:next w:val="1"/>
    <w:unhideWhenUsed/>
    <w:qFormat/>
    <w:uiPriority w:val="39"/>
    <w:pPr>
      <w:ind w:left="630"/>
      <w:jc w:val="left"/>
    </w:pPr>
    <w:rPr>
      <w:rFonts w:asciiTheme="minorHAnsi" w:hAnsiTheme="minorHAnsi" w:cstheme="minorHAnsi"/>
      <w:sz w:val="18"/>
      <w:szCs w:val="18"/>
    </w:rPr>
  </w:style>
  <w:style w:type="paragraph" w:styleId="22">
    <w:name w:val="toc 6"/>
    <w:basedOn w:val="1"/>
    <w:next w:val="1"/>
    <w:unhideWhenUsed/>
    <w:qFormat/>
    <w:uiPriority w:val="39"/>
    <w:pPr>
      <w:ind w:left="1050"/>
      <w:jc w:val="left"/>
    </w:pPr>
    <w:rPr>
      <w:rFonts w:asciiTheme="minorHAnsi" w:hAnsiTheme="minorHAnsi" w:cstheme="minorHAnsi"/>
      <w:sz w:val="18"/>
      <w:szCs w:val="18"/>
    </w:rPr>
  </w:style>
  <w:style w:type="paragraph" w:styleId="23">
    <w:name w:val="toc 2"/>
    <w:basedOn w:val="1"/>
    <w:next w:val="1"/>
    <w:uiPriority w:val="39"/>
    <w:pPr>
      <w:ind w:left="210"/>
      <w:jc w:val="left"/>
    </w:pPr>
    <w:rPr>
      <w:rFonts w:asciiTheme="minorHAnsi" w:hAnsiTheme="minorHAnsi" w:cstheme="minorHAnsi"/>
      <w:smallCaps/>
      <w:sz w:val="20"/>
    </w:rPr>
  </w:style>
  <w:style w:type="paragraph" w:styleId="24">
    <w:name w:val="toc 9"/>
    <w:basedOn w:val="1"/>
    <w:next w:val="1"/>
    <w:unhideWhenUsed/>
    <w:qFormat/>
    <w:uiPriority w:val="39"/>
    <w:pPr>
      <w:ind w:left="1680"/>
      <w:jc w:val="left"/>
    </w:pPr>
    <w:rPr>
      <w:rFonts w:asciiTheme="minorHAnsi" w:hAnsiTheme="minorHAnsi" w:cstheme="minorHAnsi"/>
      <w:sz w:val="18"/>
      <w:szCs w:val="18"/>
    </w:rPr>
  </w:style>
  <w:style w:type="character" w:styleId="26">
    <w:name w:val="page number"/>
    <w:basedOn w:val="25"/>
    <w:qFormat/>
    <w:uiPriority w:val="0"/>
  </w:style>
  <w:style w:type="character" w:styleId="27">
    <w:name w:val="Hyperlink"/>
    <w:basedOn w:val="25"/>
    <w:qFormat/>
    <w:uiPriority w:val="99"/>
    <w:rPr>
      <w:color w:val="0000FF"/>
      <w:u w:val="single"/>
    </w:rPr>
  </w:style>
  <w:style w:type="character" w:styleId="28">
    <w:name w:val="annotation reference"/>
    <w:basedOn w:val="25"/>
    <w:semiHidden/>
    <w:uiPriority w:val="0"/>
    <w:rPr>
      <w:sz w:val="21"/>
      <w:szCs w:val="21"/>
    </w:rPr>
  </w:style>
  <w:style w:type="table" w:styleId="30">
    <w:name w:val="Table Grid"/>
    <w:basedOn w:val="29"/>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31">
    <w:name w:val="Char Char1 Char Char Char Char Char Char"/>
    <w:basedOn w:val="1"/>
    <w:qFormat/>
    <w:uiPriority w:val="0"/>
    <w:pPr>
      <w:widowControl/>
      <w:spacing w:after="160" w:line="240" w:lineRule="exact"/>
      <w:jc w:val="left"/>
    </w:pPr>
    <w:rPr>
      <w:rFonts w:ascii="Verdana" w:hAnsi="Verdana"/>
      <w:color w:val="000000"/>
      <w:kern w:val="0"/>
      <w:sz w:val="24"/>
      <w:lang w:eastAsia="en-US"/>
    </w:rPr>
  </w:style>
  <w:style w:type="paragraph" w:customStyle="1" w:styleId="32">
    <w:name w:val="Char"/>
    <w:basedOn w:val="1"/>
    <w:qFormat/>
    <w:uiPriority w:val="0"/>
    <w:pPr>
      <w:spacing w:line="440" w:lineRule="exact"/>
      <w:ind w:firstLine="480" w:firstLineChars="200"/>
    </w:pPr>
    <w:rPr>
      <w:rFonts w:ascii="宋体" w:hAnsi="宋体" w:cs="宋体"/>
      <w:sz w:val="32"/>
      <w:szCs w:val="32"/>
    </w:rPr>
  </w:style>
  <w:style w:type="paragraph" w:customStyle="1" w:styleId="33">
    <w:name w:val="Char Char"/>
    <w:basedOn w:val="1"/>
    <w:uiPriority w:val="0"/>
    <w:pPr>
      <w:widowControl/>
      <w:spacing w:after="160" w:line="240" w:lineRule="exact"/>
      <w:jc w:val="left"/>
    </w:pPr>
    <w:rPr>
      <w:rFonts w:ascii="Verdana" w:hAnsi="Verdana"/>
      <w:color w:val="000000"/>
      <w:kern w:val="0"/>
      <w:sz w:val="24"/>
      <w:lang w:eastAsia="en-US"/>
    </w:rPr>
  </w:style>
  <w:style w:type="paragraph" w:customStyle="1" w:styleId="34">
    <w:name w:val="列出段落1"/>
    <w:basedOn w:val="1"/>
    <w:qFormat/>
    <w:uiPriority w:val="99"/>
    <w:pPr>
      <w:ind w:left="720"/>
      <w:contextualSpacing/>
    </w:pPr>
  </w:style>
  <w:style w:type="paragraph" w:customStyle="1" w:styleId="35">
    <w:name w:val="Address"/>
    <w:basedOn w:val="1"/>
    <w:qFormat/>
    <w:uiPriority w:val="0"/>
    <w:pPr>
      <w:widowControl/>
      <w:pBdr>
        <w:left w:val="single" w:color="auto" w:sz="4" w:space="6"/>
      </w:pBdr>
      <w:spacing w:line="200" w:lineRule="exact"/>
      <w:jc w:val="left"/>
    </w:pPr>
    <w:rPr>
      <w:kern w:val="0"/>
      <w:sz w:val="16"/>
      <w:lang w:eastAsia="en-US"/>
    </w:rPr>
  </w:style>
  <w:style w:type="paragraph" w:customStyle="1" w:styleId="36">
    <w:name w:val="Trading Name"/>
    <w:semiHidden/>
    <w:qFormat/>
    <w:uiPriority w:val="0"/>
    <w:pPr>
      <w:spacing w:line="180" w:lineRule="atLeast"/>
    </w:pPr>
    <w:rPr>
      <w:rFonts w:ascii="Arial Narrow" w:hAnsi="Arial Narrow" w:eastAsia="黑体" w:cs="Arial"/>
      <w:b/>
      <w:sz w:val="14"/>
      <w:lang w:val="en-US" w:eastAsia="en-US" w:bidi="ar-SA"/>
    </w:rPr>
  </w:style>
  <w:style w:type="paragraph" w:customStyle="1" w:styleId="37">
    <w:name w:val="Partner Address"/>
    <w:semiHidden/>
    <w:uiPriority w:val="0"/>
    <w:rPr>
      <w:rFonts w:ascii="Arial Narrow" w:hAnsi="Arial Narrow" w:eastAsia="黑体" w:cs="Arial"/>
      <w:sz w:val="14"/>
      <w:lang w:val="en-US" w:eastAsia="en-US" w:bidi="ar-SA"/>
    </w:rPr>
  </w:style>
  <w:style w:type="paragraph" w:customStyle="1" w:styleId="38">
    <w:name w:val="Half Line Break"/>
    <w:semiHidden/>
    <w:qFormat/>
    <w:uiPriority w:val="0"/>
    <w:rPr>
      <w:rFonts w:ascii="Arial Narrow" w:hAnsi="Arial Narrow" w:eastAsia="黑体" w:cs="Arial"/>
      <w:b/>
      <w:sz w:val="7"/>
      <w:lang w:val="en-US" w:eastAsia="en-US" w:bidi="ar-SA"/>
    </w:rPr>
  </w:style>
  <w:style w:type="paragraph" w:customStyle="1" w:styleId="39">
    <w:name w:val="Letter Footer Title"/>
    <w:next w:val="40"/>
    <w:semiHidden/>
    <w:qFormat/>
    <w:uiPriority w:val="0"/>
    <w:pPr>
      <w:spacing w:line="140" w:lineRule="atLeast"/>
    </w:pPr>
    <w:rPr>
      <w:rFonts w:ascii="Arial Narrow" w:hAnsi="Arial Narrow" w:eastAsia="PMingLiU" w:cs="Arial"/>
      <w:b/>
      <w:sz w:val="11"/>
      <w:lang w:val="en-US" w:eastAsia="en-US" w:bidi="ar-SA"/>
    </w:rPr>
  </w:style>
  <w:style w:type="paragraph" w:customStyle="1" w:styleId="40">
    <w:name w:val="Letter Footer"/>
    <w:uiPriority w:val="0"/>
    <w:pPr>
      <w:spacing w:line="140" w:lineRule="atLeast"/>
    </w:pPr>
    <w:rPr>
      <w:rFonts w:ascii="Arial Narrow" w:hAnsi="Arial Narrow" w:eastAsia="PMingLiU" w:cs="Arial"/>
      <w:sz w:val="11"/>
      <w:lang w:val="en-US" w:eastAsia="en-US" w:bidi="ar-SA"/>
    </w:rPr>
  </w:style>
  <w:style w:type="paragraph" w:customStyle="1" w:styleId="41">
    <w:name w:val="默认段落字体 Para Char Char Char Char Char Char Char"/>
    <w:basedOn w:val="1"/>
    <w:qFormat/>
    <w:uiPriority w:val="0"/>
    <w:rPr>
      <w:rFonts w:ascii="挀甀洀攀渀" w:hAnsi="挀甀洀攀渀"/>
      <w:sz w:val="24"/>
    </w:rPr>
  </w:style>
  <w:style w:type="paragraph" w:customStyle="1" w:styleId="42">
    <w:name w:val="列出段落11"/>
    <w:basedOn w:val="1"/>
    <w:unhideWhenUsed/>
    <w:qFormat/>
    <w:uiPriority w:val="99"/>
    <w:pPr>
      <w:widowControl/>
      <w:ind w:firstLine="420" w:firstLineChars="200"/>
      <w:jc w:val="left"/>
    </w:pPr>
    <w:rPr>
      <w:rFonts w:eastAsia="PMingLiU"/>
      <w:kern w:val="0"/>
      <w:sz w:val="20"/>
      <w:lang w:eastAsia="zh-TW"/>
    </w:rPr>
  </w:style>
  <w:style w:type="paragraph" w:customStyle="1" w:styleId="43">
    <w:name w:val="列出段落2"/>
    <w:basedOn w:val="1"/>
    <w:unhideWhenUsed/>
    <w:uiPriority w:val="99"/>
    <w:pPr>
      <w:widowControl/>
      <w:ind w:firstLine="420" w:firstLineChars="200"/>
      <w:jc w:val="left"/>
    </w:pPr>
    <w:rPr>
      <w:rFonts w:eastAsia="PMingLiU"/>
      <w:kern w:val="0"/>
      <w:sz w:val="20"/>
      <w:lang w:eastAsia="zh-TW"/>
    </w:rPr>
  </w:style>
  <w:style w:type="character" w:customStyle="1" w:styleId="44">
    <w:name w:val="页眉 字符"/>
    <w:basedOn w:val="25"/>
    <w:link w:val="19"/>
    <w:qFormat/>
    <w:uiPriority w:val="0"/>
    <w:rPr>
      <w:kern w:val="2"/>
      <w:sz w:val="18"/>
    </w:rPr>
  </w:style>
  <w:style w:type="character" w:customStyle="1" w:styleId="45">
    <w:name w:val="标题 1 字符"/>
    <w:basedOn w:val="25"/>
    <w:link w:val="2"/>
    <w:qFormat/>
    <w:uiPriority w:val="0"/>
    <w:rPr>
      <w:rFonts w:ascii="Optimum" w:hAnsi="Optimum" w:eastAsiaTheme="majorEastAsia"/>
      <w:b/>
      <w:sz w:val="24"/>
      <w:lang w:eastAsia="zh-TW"/>
    </w:rPr>
  </w:style>
  <w:style w:type="character" w:customStyle="1" w:styleId="46">
    <w:name w:val="标题 2 字符"/>
    <w:basedOn w:val="25"/>
    <w:link w:val="3"/>
    <w:uiPriority w:val="0"/>
    <w:rPr>
      <w:rFonts w:ascii="Cambria" w:hAnsi="Cambria" w:cs="黑体" w:eastAsiaTheme="majorEastAsia"/>
      <w:bCs/>
      <w:sz w:val="24"/>
      <w:szCs w:val="32"/>
      <w:lang w:eastAsia="zh-TW"/>
    </w:rPr>
  </w:style>
  <w:style w:type="character" w:customStyle="1" w:styleId="47">
    <w:name w:val="文档结构图 字符"/>
    <w:basedOn w:val="25"/>
    <w:link w:val="9"/>
    <w:qFormat/>
    <w:uiPriority w:val="0"/>
    <w:rPr>
      <w:rFonts w:ascii="宋体"/>
      <w:sz w:val="18"/>
      <w:szCs w:val="18"/>
      <w:lang w:eastAsia="zh-TW"/>
    </w:rPr>
  </w:style>
  <w:style w:type="character" w:customStyle="1" w:styleId="48">
    <w:name w:val="正文文本 字符"/>
    <w:basedOn w:val="25"/>
    <w:link w:val="10"/>
    <w:qFormat/>
    <w:uiPriority w:val="0"/>
    <w:rPr>
      <w:rFonts w:ascii="Univers" w:hAnsi="Univers" w:eastAsia="PMingLiU"/>
      <w:sz w:val="16"/>
      <w:lang w:eastAsia="zh-TW"/>
    </w:rPr>
  </w:style>
  <w:style w:type="character" w:customStyle="1" w:styleId="49">
    <w:name w:val="日期 字符"/>
    <w:basedOn w:val="25"/>
    <w:link w:val="16"/>
    <w:uiPriority w:val="0"/>
    <w:rPr>
      <w:rFonts w:ascii="宋体" w:hAnsi="宋体"/>
      <w:kern w:val="2"/>
      <w:sz w:val="28"/>
      <w:szCs w:val="24"/>
    </w:rPr>
  </w:style>
  <w:style w:type="character" w:customStyle="1" w:styleId="50">
    <w:name w:val="页脚 字符"/>
    <w:basedOn w:val="25"/>
    <w:link w:val="18"/>
    <w:qFormat/>
    <w:uiPriority w:val="99"/>
    <w:rPr>
      <w:kern w:val="2"/>
      <w:sz w:val="18"/>
    </w:rPr>
  </w:style>
  <w:style w:type="character" w:customStyle="1" w:styleId="51">
    <w:name w:val="标题 3 字符"/>
    <w:basedOn w:val="25"/>
    <w:link w:val="4"/>
    <w:qFormat/>
    <w:uiPriority w:val="0"/>
    <w:rPr>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D8A530-B4B9-4C75-9E83-BA24420B313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22</Pages>
  <Words>2024</Words>
  <Characters>11541</Characters>
  <Lines>96</Lines>
  <Paragraphs>27</Paragraphs>
  <TotalTime>0</TotalTime>
  <ScaleCrop>false</ScaleCrop>
  <LinksUpToDate>false</LinksUpToDate>
  <CharactersWithSpaces>13538</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2019-01-16T03:32:00Z</dcterms:created>
  <dc:creator>cherry.liu</dc:creator>
  <cp:lastModifiedBy>Administrator</cp:lastModifiedBy>
  <cp:lastPrinted>2024-03-26T03:03:00Z</cp:lastPrinted>
  <dcterms:modified xsi:type="dcterms:W3CDTF">2024-03-27T08:23:28Z</dcterms:modified>
  <dc:title>对北京市部分外贸企业2017年收支情况进行核查的报告</dc:title>
  <cp:revision>517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