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ascii="方正小标宋简体" w:eastAsia="方正小标宋简体"/>
          <w:sz w:val="36"/>
          <w:szCs w:val="36"/>
        </w:rPr>
      </w:pPr>
    </w:p>
    <w:p>
      <w:pPr>
        <w:spacing w:line="560" w:lineRule="exact"/>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北京市朝阳区科学技术协会</w:t>
      </w:r>
    </w:p>
    <w:p>
      <w:pPr>
        <w:spacing w:line="560" w:lineRule="exact"/>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2023年度部门整体绩效评价报告</w:t>
      </w:r>
    </w:p>
    <w:p>
      <w:pPr>
        <w:spacing w:line="560" w:lineRule="exact"/>
        <w:rPr>
          <w:rFonts w:ascii="仿宋_GB2312"/>
          <w:szCs w:val="30"/>
        </w:rPr>
      </w:pPr>
    </w:p>
    <w:p>
      <w:pPr>
        <w:spacing w:line="540" w:lineRule="exact"/>
        <w:ind w:firstLine="640" w:firstLineChars="200"/>
        <w:jc w:val="left"/>
        <w:rPr>
          <w:rFonts w:eastAsia="黑体"/>
          <w:color w:val="000000"/>
          <w:kern w:val="0"/>
          <w:sz w:val="32"/>
          <w:szCs w:val="32"/>
        </w:rPr>
      </w:pPr>
      <w:r>
        <w:rPr>
          <w:rFonts w:hAnsi="黑体" w:eastAsia="黑体"/>
          <w:color w:val="000000"/>
          <w:kern w:val="0"/>
          <w:sz w:val="32"/>
          <w:szCs w:val="32"/>
        </w:rPr>
        <w:t>一、部门概况</w:t>
      </w:r>
    </w:p>
    <w:p>
      <w:pPr>
        <w:spacing w:line="540" w:lineRule="exact"/>
        <w:ind w:firstLine="640" w:firstLineChars="200"/>
        <w:jc w:val="left"/>
        <w:rPr>
          <w:rFonts w:eastAsia="楷体_GB2312"/>
          <w:sz w:val="32"/>
          <w:szCs w:val="32"/>
        </w:rPr>
      </w:pPr>
      <w:r>
        <w:rPr>
          <w:rFonts w:eastAsia="楷体_GB2312"/>
          <w:sz w:val="32"/>
          <w:szCs w:val="32"/>
        </w:rPr>
        <w:t>（一）机构设置及职责工作任务情况</w:t>
      </w:r>
    </w:p>
    <w:p>
      <w:pPr>
        <w:spacing w:line="540" w:lineRule="exact"/>
        <w:ind w:firstLine="640" w:firstLineChars="200"/>
        <w:jc w:val="left"/>
        <w:rPr>
          <w:rFonts w:eastAsia="方正小标宋简体"/>
          <w:b/>
          <w:bCs/>
          <w:sz w:val="44"/>
          <w:szCs w:val="44"/>
        </w:rPr>
      </w:pPr>
      <w:r>
        <w:rPr>
          <w:rFonts w:eastAsia="仿宋_GB2312"/>
          <w:sz w:val="32"/>
          <w:szCs w:val="32"/>
        </w:rPr>
        <w:t>1</w:t>
      </w:r>
      <w:r>
        <w:rPr>
          <w:rFonts w:hint="eastAsia" w:eastAsia="仿宋_GB2312"/>
          <w:sz w:val="32"/>
          <w:szCs w:val="32"/>
        </w:rPr>
        <w:t>.</w:t>
      </w:r>
      <w:r>
        <w:rPr>
          <w:rFonts w:eastAsia="仿宋_GB2312"/>
          <w:sz w:val="32"/>
          <w:szCs w:val="32"/>
        </w:rPr>
        <w:t>部门机构设置</w:t>
      </w:r>
    </w:p>
    <w:p>
      <w:pPr>
        <w:snapToGrid w:val="0"/>
        <w:spacing w:line="540" w:lineRule="exact"/>
        <w:ind w:firstLine="640" w:firstLineChars="200"/>
        <w:jc w:val="left"/>
        <w:rPr>
          <w:rFonts w:eastAsia="仿宋_GB2312"/>
          <w:b/>
          <w:bCs/>
          <w:sz w:val="32"/>
          <w:szCs w:val="32"/>
        </w:rPr>
      </w:pPr>
      <w:r>
        <w:rPr>
          <w:rFonts w:eastAsia="仿宋_GB2312"/>
          <w:sz w:val="32"/>
          <w:szCs w:val="32"/>
        </w:rPr>
        <w:t>区科协是由全区性学会、协会、研究会，街、乡科学技术协会组成的科学技术工作者的群众组织，是中共北京市朝阳区委领导下的人民团体，是党和政府联系科学技术工作者的纽带和发展科学技术事业的助手，是北京市科学技术协会的基层组织。根据中共北京市朝阳区委办公室关于印发北京市朝阳区科学技术协会职能配置、内设机构和人员编制方案的通知（朝办发</w:t>
      </w:r>
      <w:r>
        <w:rPr>
          <w:rFonts w:hAnsi="宋体"/>
          <w:sz w:val="32"/>
          <w:szCs w:val="32"/>
        </w:rPr>
        <w:t>﹝</w:t>
      </w:r>
      <w:r>
        <w:rPr>
          <w:rFonts w:eastAsia="仿宋_GB2312"/>
          <w:sz w:val="32"/>
          <w:szCs w:val="32"/>
        </w:rPr>
        <w:t>1995</w:t>
      </w:r>
      <w:r>
        <w:rPr>
          <w:rFonts w:hAnsi="宋体"/>
          <w:sz w:val="32"/>
          <w:szCs w:val="32"/>
        </w:rPr>
        <w:t>﹞</w:t>
      </w:r>
      <w:r>
        <w:rPr>
          <w:rFonts w:eastAsia="仿宋_GB2312"/>
          <w:sz w:val="32"/>
          <w:szCs w:val="32"/>
        </w:rPr>
        <w:t>103号），设立北京市朝阳区科学技术协会。内设2个科室，分别为综合科和科普部；下属1个事业单位，为朝阳区科技协作中心。</w:t>
      </w:r>
    </w:p>
    <w:p>
      <w:pPr>
        <w:snapToGrid w:val="0"/>
        <w:spacing w:line="540" w:lineRule="exact"/>
        <w:jc w:val="left"/>
        <w:rPr>
          <w:rFonts w:eastAsia="仿宋_GB2312"/>
          <w:b/>
          <w:bCs/>
          <w:sz w:val="32"/>
          <w:szCs w:val="32"/>
        </w:rPr>
      </w:pPr>
      <w:r>
        <w:rPr>
          <w:rFonts w:eastAsia="仿宋_GB2312"/>
          <w:sz w:val="32"/>
          <w:szCs w:val="32"/>
        </w:rPr>
        <w:t xml:space="preserve">    2</w:t>
      </w:r>
      <w:r>
        <w:rPr>
          <w:rFonts w:hint="eastAsia" w:eastAsia="仿宋_GB2312"/>
          <w:sz w:val="32"/>
          <w:szCs w:val="32"/>
        </w:rPr>
        <w:t>.</w:t>
      </w:r>
      <w:r>
        <w:rPr>
          <w:rFonts w:eastAsia="仿宋_GB2312"/>
          <w:sz w:val="32"/>
          <w:szCs w:val="32"/>
        </w:rPr>
        <w:t>人员配置及人员构成情况</w:t>
      </w:r>
    </w:p>
    <w:p>
      <w:pPr>
        <w:snapToGrid w:val="0"/>
        <w:spacing w:line="540" w:lineRule="exact"/>
        <w:ind w:firstLine="640" w:firstLineChars="200"/>
        <w:jc w:val="left"/>
        <w:rPr>
          <w:rFonts w:eastAsia="仿宋_GB2312"/>
          <w:sz w:val="32"/>
          <w:szCs w:val="32"/>
        </w:rPr>
      </w:pPr>
      <w:r>
        <w:rPr>
          <w:rFonts w:hint="eastAsia" w:eastAsia="仿宋_GB2312"/>
          <w:sz w:val="32"/>
          <w:szCs w:val="32"/>
        </w:rPr>
        <w:t>区科协</w:t>
      </w:r>
      <w:r>
        <w:rPr>
          <w:rFonts w:eastAsia="仿宋_GB2312"/>
          <w:sz w:val="32"/>
          <w:szCs w:val="32"/>
        </w:rPr>
        <w:t>及所属</w:t>
      </w:r>
      <w:r>
        <w:rPr>
          <w:rFonts w:hint="eastAsia" w:eastAsia="仿宋_GB2312"/>
          <w:sz w:val="32"/>
          <w:szCs w:val="32"/>
        </w:rPr>
        <w:t>协作</w:t>
      </w:r>
      <w:r>
        <w:rPr>
          <w:rFonts w:eastAsia="仿宋_GB2312"/>
          <w:sz w:val="32"/>
          <w:szCs w:val="32"/>
        </w:rPr>
        <w:t>中心共有编制</w:t>
      </w:r>
      <w:r>
        <w:rPr>
          <w:rFonts w:hint="eastAsia" w:eastAsia="仿宋_GB2312"/>
          <w:sz w:val="32"/>
          <w:szCs w:val="32"/>
        </w:rPr>
        <w:t>14</w:t>
      </w:r>
      <w:r>
        <w:rPr>
          <w:rFonts w:eastAsia="仿宋_GB2312"/>
          <w:sz w:val="32"/>
          <w:szCs w:val="32"/>
        </w:rPr>
        <w:t>名，其中：</w:t>
      </w:r>
      <w:r>
        <w:rPr>
          <w:rFonts w:hint="eastAsia" w:eastAsia="仿宋_GB2312"/>
          <w:sz w:val="32"/>
          <w:szCs w:val="32"/>
        </w:rPr>
        <w:t>科协</w:t>
      </w:r>
      <w:r>
        <w:rPr>
          <w:rFonts w:eastAsia="仿宋_GB2312"/>
          <w:sz w:val="32"/>
          <w:szCs w:val="32"/>
        </w:rPr>
        <w:t>行政编制</w:t>
      </w:r>
      <w:r>
        <w:rPr>
          <w:rFonts w:hint="eastAsia" w:eastAsia="仿宋_GB2312"/>
          <w:sz w:val="32"/>
          <w:szCs w:val="32"/>
        </w:rPr>
        <w:t>8</w:t>
      </w:r>
      <w:r>
        <w:rPr>
          <w:rFonts w:eastAsia="仿宋_GB2312"/>
          <w:sz w:val="32"/>
          <w:szCs w:val="32"/>
        </w:rPr>
        <w:t>名，</w:t>
      </w:r>
      <w:r>
        <w:rPr>
          <w:rFonts w:hint="eastAsia" w:eastAsia="仿宋_GB2312"/>
          <w:sz w:val="32"/>
          <w:szCs w:val="32"/>
        </w:rPr>
        <w:t>协作</w:t>
      </w:r>
      <w:r>
        <w:rPr>
          <w:rFonts w:eastAsia="仿宋_GB2312"/>
          <w:sz w:val="32"/>
          <w:szCs w:val="32"/>
        </w:rPr>
        <w:t>中心事业编制</w:t>
      </w:r>
      <w:r>
        <w:rPr>
          <w:rFonts w:hint="eastAsia" w:eastAsia="仿宋_GB2312"/>
          <w:sz w:val="32"/>
          <w:szCs w:val="32"/>
        </w:rPr>
        <w:t>6</w:t>
      </w:r>
      <w:r>
        <w:rPr>
          <w:rFonts w:eastAsia="仿宋_GB2312"/>
          <w:sz w:val="32"/>
          <w:szCs w:val="32"/>
        </w:rPr>
        <w:t>名。截至202</w:t>
      </w:r>
      <w:r>
        <w:rPr>
          <w:rFonts w:hint="eastAsia" w:eastAsia="仿宋_GB2312"/>
          <w:sz w:val="32"/>
          <w:szCs w:val="32"/>
        </w:rPr>
        <w:t>3</w:t>
      </w:r>
      <w:r>
        <w:rPr>
          <w:rFonts w:eastAsia="仿宋_GB2312"/>
          <w:sz w:val="32"/>
          <w:szCs w:val="32"/>
        </w:rPr>
        <w:t>年末，</w:t>
      </w:r>
      <w:r>
        <w:rPr>
          <w:rFonts w:hint="eastAsia" w:eastAsia="仿宋_GB2312"/>
          <w:sz w:val="32"/>
          <w:szCs w:val="32"/>
        </w:rPr>
        <w:t>科协</w:t>
      </w:r>
      <w:r>
        <w:rPr>
          <w:rFonts w:eastAsia="仿宋_GB2312"/>
          <w:sz w:val="32"/>
          <w:szCs w:val="32"/>
        </w:rPr>
        <w:t>实有在职人员</w:t>
      </w:r>
      <w:r>
        <w:rPr>
          <w:rFonts w:hint="eastAsia" w:eastAsia="仿宋_GB2312"/>
          <w:sz w:val="32"/>
          <w:szCs w:val="32"/>
        </w:rPr>
        <w:t>7</w:t>
      </w:r>
      <w:r>
        <w:rPr>
          <w:rFonts w:eastAsia="仿宋_GB2312"/>
          <w:sz w:val="32"/>
          <w:szCs w:val="32"/>
        </w:rPr>
        <w:t>人，</w:t>
      </w:r>
      <w:r>
        <w:rPr>
          <w:rFonts w:hint="eastAsia" w:eastAsia="仿宋_GB2312"/>
          <w:sz w:val="32"/>
          <w:szCs w:val="32"/>
        </w:rPr>
        <w:t>协作</w:t>
      </w:r>
      <w:r>
        <w:rPr>
          <w:rFonts w:eastAsia="仿宋_GB2312"/>
          <w:sz w:val="32"/>
          <w:szCs w:val="32"/>
        </w:rPr>
        <w:t>中心</w:t>
      </w:r>
      <w:r>
        <w:rPr>
          <w:rFonts w:hint="eastAsia" w:eastAsia="仿宋_GB2312"/>
          <w:sz w:val="32"/>
          <w:szCs w:val="32"/>
          <w:lang w:eastAsia="zh-CN"/>
        </w:rPr>
        <w:t>实有</w:t>
      </w:r>
      <w:r>
        <w:rPr>
          <w:rFonts w:eastAsia="仿宋_GB2312"/>
          <w:sz w:val="32"/>
          <w:szCs w:val="32"/>
        </w:rPr>
        <w:t>在职人员</w:t>
      </w:r>
      <w:r>
        <w:rPr>
          <w:rFonts w:hint="eastAsia" w:eastAsia="仿宋_GB2312"/>
          <w:sz w:val="32"/>
          <w:szCs w:val="32"/>
          <w:lang w:val="en-US" w:eastAsia="zh-CN"/>
        </w:rPr>
        <w:t>5</w:t>
      </w:r>
      <w:r>
        <w:rPr>
          <w:rFonts w:eastAsia="仿宋_GB2312"/>
          <w:sz w:val="32"/>
          <w:szCs w:val="32"/>
        </w:rPr>
        <w:t>人。离退休人员</w:t>
      </w:r>
      <w:r>
        <w:rPr>
          <w:rFonts w:hint="eastAsia" w:eastAsia="仿宋_GB2312"/>
          <w:sz w:val="32"/>
          <w:szCs w:val="32"/>
        </w:rPr>
        <w:t>14</w:t>
      </w:r>
      <w:r>
        <w:rPr>
          <w:rFonts w:eastAsia="仿宋_GB2312"/>
          <w:sz w:val="32"/>
          <w:szCs w:val="32"/>
        </w:rPr>
        <w:t>人，其中：离休0人，退休</w:t>
      </w:r>
      <w:r>
        <w:rPr>
          <w:rFonts w:hint="eastAsia" w:eastAsia="仿宋_GB2312"/>
          <w:sz w:val="32"/>
          <w:szCs w:val="32"/>
        </w:rPr>
        <w:t>14</w:t>
      </w:r>
      <w:r>
        <w:rPr>
          <w:rFonts w:eastAsia="仿宋_GB2312"/>
          <w:sz w:val="32"/>
          <w:szCs w:val="32"/>
        </w:rPr>
        <w:t>人。</w:t>
      </w:r>
    </w:p>
    <w:p>
      <w:pPr>
        <w:snapToGrid w:val="0"/>
        <w:spacing w:line="540" w:lineRule="exact"/>
        <w:ind w:firstLine="640" w:firstLineChars="200"/>
        <w:jc w:val="left"/>
        <w:rPr>
          <w:rFonts w:eastAsia="仿宋_GB2312"/>
          <w:sz w:val="32"/>
          <w:szCs w:val="32"/>
        </w:rPr>
      </w:pPr>
      <w:r>
        <w:rPr>
          <w:rFonts w:hint="eastAsia" w:eastAsia="仿宋_GB2312"/>
          <w:sz w:val="32"/>
          <w:szCs w:val="32"/>
        </w:rPr>
        <w:t>3.</w:t>
      </w:r>
      <w:r>
        <w:rPr>
          <w:rFonts w:eastAsia="仿宋_GB2312"/>
          <w:sz w:val="32"/>
          <w:szCs w:val="32"/>
        </w:rPr>
        <w:t>部门主要职能：</w:t>
      </w:r>
    </w:p>
    <w:p>
      <w:pPr>
        <w:snapToGrid w:val="0"/>
        <w:spacing w:line="540" w:lineRule="exact"/>
        <w:ind w:firstLine="640" w:firstLineChars="200"/>
        <w:jc w:val="left"/>
        <w:rPr>
          <w:rFonts w:eastAsia="仿宋_GB2312"/>
          <w:b/>
          <w:bCs/>
          <w:sz w:val="32"/>
          <w:szCs w:val="32"/>
        </w:rPr>
      </w:pPr>
      <w:r>
        <w:rPr>
          <w:rFonts w:eastAsia="仿宋_GB2312"/>
          <w:sz w:val="32"/>
          <w:szCs w:val="32"/>
        </w:rPr>
        <w:t>（1）负责区科普联席会议的日常工作。</w:t>
      </w:r>
    </w:p>
    <w:p>
      <w:pPr>
        <w:snapToGrid w:val="0"/>
        <w:spacing w:line="540" w:lineRule="exact"/>
        <w:ind w:firstLine="640" w:firstLineChars="200"/>
        <w:jc w:val="left"/>
        <w:rPr>
          <w:rFonts w:eastAsia="仿宋_GB2312"/>
          <w:b/>
          <w:bCs/>
          <w:sz w:val="32"/>
          <w:szCs w:val="32"/>
        </w:rPr>
      </w:pPr>
      <w:r>
        <w:rPr>
          <w:rFonts w:eastAsia="仿宋_GB2312"/>
          <w:sz w:val="32"/>
          <w:szCs w:val="32"/>
        </w:rPr>
        <w:t>（2）开展学术交流，活跃学术思想，促进学科发展，推动决策科学化民主化。</w:t>
      </w:r>
    </w:p>
    <w:p>
      <w:pPr>
        <w:snapToGrid w:val="0"/>
        <w:spacing w:line="540" w:lineRule="exact"/>
        <w:ind w:firstLine="640" w:firstLineChars="200"/>
        <w:jc w:val="left"/>
        <w:rPr>
          <w:rFonts w:eastAsia="仿宋_GB2312"/>
          <w:b/>
          <w:bCs/>
          <w:sz w:val="32"/>
          <w:szCs w:val="32"/>
        </w:rPr>
      </w:pPr>
      <w:r>
        <w:rPr>
          <w:rFonts w:eastAsia="仿宋_GB2312"/>
          <w:sz w:val="32"/>
          <w:szCs w:val="32"/>
        </w:rPr>
        <w:t>（3）开展继续教育和技术培训，进行技术咨询服务，促进科技成果向现实生产力的转化。</w:t>
      </w:r>
    </w:p>
    <w:p>
      <w:pPr>
        <w:snapToGrid w:val="0"/>
        <w:spacing w:line="540" w:lineRule="exact"/>
        <w:ind w:firstLine="640" w:firstLineChars="200"/>
        <w:jc w:val="left"/>
        <w:rPr>
          <w:rFonts w:eastAsia="仿宋_GB2312"/>
          <w:b/>
          <w:bCs/>
          <w:sz w:val="32"/>
          <w:szCs w:val="32"/>
        </w:rPr>
      </w:pPr>
      <w:r>
        <w:rPr>
          <w:rFonts w:eastAsia="仿宋_GB2312"/>
          <w:sz w:val="32"/>
          <w:szCs w:val="32"/>
        </w:rPr>
        <w:t>（4）普及科学知识，推广先进技术，开展青少年科技教育活动，编辑出版科学技术普及专刊。</w:t>
      </w:r>
    </w:p>
    <w:p>
      <w:pPr>
        <w:snapToGrid w:val="0"/>
        <w:spacing w:line="540" w:lineRule="exact"/>
        <w:ind w:firstLine="640" w:firstLineChars="200"/>
        <w:jc w:val="left"/>
        <w:rPr>
          <w:rFonts w:eastAsia="仿宋_GB2312"/>
          <w:b/>
          <w:bCs/>
          <w:sz w:val="32"/>
          <w:szCs w:val="32"/>
        </w:rPr>
      </w:pPr>
      <w:r>
        <w:rPr>
          <w:rFonts w:eastAsia="仿宋_GB2312"/>
          <w:sz w:val="32"/>
          <w:szCs w:val="32"/>
        </w:rPr>
        <w:t xml:space="preserve">（5）开展民间的科技交流与合作，促进对外开放。          </w:t>
      </w:r>
    </w:p>
    <w:p>
      <w:pPr>
        <w:snapToGrid w:val="0"/>
        <w:spacing w:line="540" w:lineRule="exact"/>
        <w:ind w:firstLine="640" w:firstLineChars="200"/>
        <w:jc w:val="left"/>
        <w:rPr>
          <w:rFonts w:eastAsia="仿宋_GB2312"/>
          <w:b/>
          <w:bCs/>
          <w:sz w:val="32"/>
          <w:szCs w:val="32"/>
        </w:rPr>
      </w:pPr>
      <w:r>
        <w:rPr>
          <w:rFonts w:eastAsia="仿宋_GB2312"/>
          <w:sz w:val="32"/>
          <w:szCs w:val="32"/>
        </w:rPr>
        <w:t>（6）表彰奖励优秀科技工作者，反映科技工作者的意见和要求，维护科技工作者的合法权益，为科技团体和科技工作者服务。</w:t>
      </w:r>
    </w:p>
    <w:p>
      <w:pPr>
        <w:snapToGrid w:val="0"/>
        <w:spacing w:line="540" w:lineRule="exact"/>
        <w:ind w:firstLine="640" w:firstLineChars="200"/>
        <w:jc w:val="left"/>
        <w:rPr>
          <w:rFonts w:eastAsia="仿宋_GB2312"/>
          <w:b/>
          <w:bCs/>
          <w:sz w:val="32"/>
          <w:szCs w:val="32"/>
        </w:rPr>
      </w:pPr>
      <w:r>
        <w:rPr>
          <w:rFonts w:eastAsia="仿宋_GB2312"/>
          <w:sz w:val="32"/>
          <w:szCs w:val="32"/>
        </w:rPr>
        <w:t>（7）负责对区科协所属学会、协会、研究会进行管理，对街乡科协进行业务指导，联系驻区科研、厂矿、院校等科协组织并开展科技活动。</w:t>
      </w:r>
    </w:p>
    <w:p>
      <w:pPr>
        <w:spacing w:line="540" w:lineRule="exact"/>
        <w:ind w:firstLine="640" w:firstLineChars="200"/>
        <w:jc w:val="left"/>
        <w:rPr>
          <w:rFonts w:eastAsia="楷体_GB2312"/>
          <w:sz w:val="32"/>
          <w:szCs w:val="32"/>
        </w:rPr>
      </w:pPr>
      <w:r>
        <w:rPr>
          <w:rFonts w:eastAsia="仿宋_GB2312"/>
          <w:sz w:val="32"/>
          <w:szCs w:val="32"/>
        </w:rPr>
        <w:t>（8）承办区委、区政府交办的其他事项。</w:t>
      </w:r>
    </w:p>
    <w:p>
      <w:pPr>
        <w:spacing w:line="540" w:lineRule="exact"/>
        <w:ind w:firstLine="640" w:firstLineChars="200"/>
        <w:jc w:val="left"/>
        <w:rPr>
          <w:rFonts w:eastAsia="楷体_GB2312"/>
          <w:sz w:val="32"/>
          <w:szCs w:val="32"/>
        </w:rPr>
      </w:pPr>
      <w:r>
        <w:rPr>
          <w:rFonts w:eastAsia="楷体_GB2312"/>
          <w:sz w:val="32"/>
          <w:szCs w:val="32"/>
        </w:rPr>
        <w:t>（二）部门整体绩效目标设立情况</w:t>
      </w:r>
    </w:p>
    <w:p>
      <w:pPr>
        <w:snapToGrid w:val="0"/>
        <w:spacing w:line="540" w:lineRule="exact"/>
        <w:ind w:firstLine="640" w:firstLineChars="200"/>
        <w:rPr>
          <w:rFonts w:hint="eastAsia" w:eastAsia="仿宋_GB2312"/>
          <w:sz w:val="32"/>
          <w:szCs w:val="32"/>
        </w:rPr>
      </w:pPr>
      <w:r>
        <w:rPr>
          <w:rFonts w:hint="eastAsia" w:eastAsia="仿宋_GB2312"/>
          <w:sz w:val="32"/>
          <w:szCs w:val="32"/>
        </w:rPr>
        <w:t>根据部门职责任务和市区工作重点，我部门科学合理设定部门整体绩效目标，做到目标与职责任务相匹配，既能较为全面地覆盖本部门职责任务，同时也统筹考虑科协未来事业发展方向和新工作要求，使目标制定更具发展性、可持续性和创新性。</w:t>
      </w:r>
    </w:p>
    <w:p>
      <w:pPr>
        <w:snapToGrid w:val="0"/>
        <w:spacing w:line="540" w:lineRule="exact"/>
        <w:ind w:firstLine="640" w:firstLineChars="200"/>
        <w:rPr>
          <w:rFonts w:hint="eastAsia" w:eastAsia="仿宋_GB2312"/>
          <w:sz w:val="32"/>
          <w:szCs w:val="32"/>
        </w:rPr>
      </w:pPr>
      <w:r>
        <w:rPr>
          <w:rFonts w:hint="eastAsia" w:eastAsia="仿宋_GB2312"/>
          <w:sz w:val="32"/>
          <w:szCs w:val="32"/>
        </w:rPr>
        <w:t>2023年我部门整体绩效目标为：围绕践行社会主义核心价值观，弘扬科学精神、科学家精神和工匠精神，传播科学思想、科学方法，培育理性思维，养成文明、健康、绿色、环保的科学生活方式，提高劳动、生产、创新创造的技能，实施重点人群科学素质提升行动；深入贯彻落实创新驱动发展战略，以成立企业科协和院士工作站为抓手，以开展院士专家进企业、园区，科技企业与中科院所属院所对接交流，组织开展科技创新训练营三项活动为具体措施，搭建科技工作者创新创业创造合作平台，助力科技成果转化和先进技术应用，落实好北京国际科技创新中心建设；持续加大对科技人才扶持和关怀力度，充分发挥科协的群团优势和组织优势，关心科技工作者的工作和生活，营造爱才、敬才、用才之风。</w:t>
      </w:r>
    </w:p>
    <w:p>
      <w:pPr>
        <w:spacing w:line="540" w:lineRule="exact"/>
        <w:ind w:firstLine="640" w:firstLineChars="200"/>
        <w:jc w:val="left"/>
        <w:rPr>
          <w:rFonts w:eastAsia="黑体"/>
          <w:color w:val="000000"/>
          <w:kern w:val="0"/>
          <w:sz w:val="32"/>
          <w:szCs w:val="32"/>
        </w:rPr>
      </w:pPr>
      <w:r>
        <w:rPr>
          <w:rFonts w:hAnsi="黑体" w:eastAsia="黑体"/>
          <w:color w:val="000000"/>
          <w:kern w:val="0"/>
          <w:sz w:val="32"/>
          <w:szCs w:val="32"/>
        </w:rPr>
        <w:t>二、当年预算执行情况</w:t>
      </w:r>
    </w:p>
    <w:p>
      <w:pPr>
        <w:spacing w:line="540" w:lineRule="exact"/>
        <w:ind w:firstLine="640" w:firstLineChars="200"/>
        <w:jc w:val="both"/>
        <w:rPr>
          <w:rFonts w:eastAsia="仿宋_GB2312"/>
          <w:color w:val="000000"/>
          <w:kern w:val="0"/>
          <w:sz w:val="32"/>
          <w:szCs w:val="32"/>
        </w:rPr>
      </w:pPr>
      <w:r>
        <w:rPr>
          <w:rFonts w:eastAsia="仿宋_GB2312"/>
          <w:color w:val="000000"/>
          <w:kern w:val="0"/>
          <w:sz w:val="32"/>
          <w:szCs w:val="32"/>
        </w:rPr>
        <w:t>202</w:t>
      </w:r>
      <w:r>
        <w:rPr>
          <w:rFonts w:hint="eastAsia" w:eastAsia="仿宋_GB2312"/>
          <w:color w:val="000000"/>
          <w:kern w:val="0"/>
          <w:sz w:val="32"/>
          <w:szCs w:val="32"/>
        </w:rPr>
        <w:t>3</w:t>
      </w:r>
      <w:r>
        <w:rPr>
          <w:rFonts w:eastAsia="仿宋_GB2312"/>
          <w:color w:val="000000"/>
          <w:kern w:val="0"/>
          <w:sz w:val="32"/>
          <w:szCs w:val="32"/>
        </w:rPr>
        <w:t>年全年预算数</w:t>
      </w:r>
      <w:r>
        <w:rPr>
          <w:rFonts w:hint="eastAsia" w:eastAsia="仿宋_GB2312"/>
          <w:color w:val="000000"/>
          <w:kern w:val="0"/>
          <w:sz w:val="32"/>
          <w:szCs w:val="32"/>
        </w:rPr>
        <w:t>1097.115543</w:t>
      </w:r>
      <w:r>
        <w:rPr>
          <w:rFonts w:eastAsia="仿宋_GB2312"/>
          <w:color w:val="000000"/>
          <w:kern w:val="0"/>
          <w:sz w:val="32"/>
          <w:szCs w:val="32"/>
        </w:rPr>
        <w:t>万元，其中，基本支出预算数</w:t>
      </w:r>
      <w:r>
        <w:rPr>
          <w:rFonts w:hint="eastAsia" w:eastAsia="仿宋_GB2312"/>
          <w:color w:val="000000"/>
          <w:kern w:val="0"/>
          <w:sz w:val="32"/>
          <w:szCs w:val="32"/>
        </w:rPr>
        <w:t>503.505543</w:t>
      </w:r>
      <w:r>
        <w:rPr>
          <w:rFonts w:eastAsia="仿宋_GB2312"/>
          <w:color w:val="000000"/>
          <w:kern w:val="0"/>
          <w:sz w:val="32"/>
          <w:szCs w:val="32"/>
        </w:rPr>
        <w:t>万元，项目支出预算数</w:t>
      </w:r>
      <w:r>
        <w:rPr>
          <w:rFonts w:hint="eastAsia" w:eastAsia="仿宋_GB2312"/>
          <w:color w:val="000000"/>
          <w:kern w:val="0"/>
          <w:sz w:val="32"/>
          <w:szCs w:val="32"/>
        </w:rPr>
        <w:t>593.61</w:t>
      </w:r>
      <w:r>
        <w:rPr>
          <w:rFonts w:eastAsia="仿宋_GB2312"/>
          <w:color w:val="000000"/>
          <w:kern w:val="0"/>
          <w:sz w:val="32"/>
          <w:szCs w:val="32"/>
        </w:rPr>
        <w:t>万元，其他支出预算数</w:t>
      </w:r>
      <w:r>
        <w:rPr>
          <w:rFonts w:hint="eastAsia" w:eastAsia="仿宋_GB2312"/>
          <w:color w:val="000000"/>
          <w:kern w:val="0"/>
          <w:sz w:val="32"/>
          <w:szCs w:val="32"/>
        </w:rPr>
        <w:t>0</w:t>
      </w:r>
      <w:r>
        <w:rPr>
          <w:rFonts w:eastAsia="仿宋_GB2312"/>
          <w:color w:val="000000"/>
          <w:kern w:val="0"/>
          <w:sz w:val="32"/>
          <w:szCs w:val="32"/>
        </w:rPr>
        <w:t>万元。资金总体支出</w:t>
      </w:r>
      <w:r>
        <w:rPr>
          <w:rFonts w:hint="eastAsia" w:eastAsia="仿宋_GB2312"/>
          <w:color w:val="000000"/>
          <w:kern w:val="0"/>
          <w:sz w:val="32"/>
          <w:szCs w:val="32"/>
        </w:rPr>
        <w:t>1097.115543</w:t>
      </w:r>
      <w:r>
        <w:rPr>
          <w:rFonts w:eastAsia="仿宋_GB2312"/>
          <w:color w:val="000000"/>
          <w:kern w:val="0"/>
          <w:sz w:val="32"/>
          <w:szCs w:val="32"/>
        </w:rPr>
        <w:t>万元，其中，基本支出</w:t>
      </w:r>
      <w:r>
        <w:rPr>
          <w:rFonts w:hint="eastAsia" w:eastAsia="仿宋_GB2312"/>
          <w:color w:val="000000"/>
          <w:kern w:val="0"/>
          <w:sz w:val="32"/>
          <w:szCs w:val="32"/>
        </w:rPr>
        <w:t>503.505543</w:t>
      </w:r>
      <w:r>
        <w:rPr>
          <w:rFonts w:eastAsia="仿宋_GB2312"/>
          <w:color w:val="000000"/>
          <w:kern w:val="0"/>
          <w:sz w:val="32"/>
          <w:szCs w:val="32"/>
        </w:rPr>
        <w:t>万元，项目支出</w:t>
      </w:r>
      <w:r>
        <w:rPr>
          <w:rFonts w:hint="eastAsia" w:eastAsia="仿宋_GB2312"/>
          <w:color w:val="000000"/>
          <w:kern w:val="0"/>
          <w:sz w:val="32"/>
          <w:szCs w:val="32"/>
        </w:rPr>
        <w:t>593.61</w:t>
      </w:r>
      <w:r>
        <w:rPr>
          <w:rFonts w:eastAsia="仿宋_GB2312"/>
          <w:color w:val="000000"/>
          <w:kern w:val="0"/>
          <w:sz w:val="32"/>
          <w:szCs w:val="32"/>
        </w:rPr>
        <w:t>万元，其他支出</w:t>
      </w:r>
      <w:r>
        <w:rPr>
          <w:rFonts w:hint="eastAsia" w:eastAsia="仿宋_GB2312"/>
          <w:color w:val="000000"/>
          <w:kern w:val="0"/>
          <w:sz w:val="32"/>
          <w:szCs w:val="32"/>
        </w:rPr>
        <w:t>0</w:t>
      </w:r>
      <w:r>
        <w:rPr>
          <w:rFonts w:eastAsia="仿宋_GB2312"/>
          <w:color w:val="000000"/>
          <w:kern w:val="0"/>
          <w:sz w:val="32"/>
          <w:szCs w:val="32"/>
        </w:rPr>
        <w:t>万元。预算执行率为</w:t>
      </w:r>
      <w:r>
        <w:rPr>
          <w:rFonts w:hint="eastAsia" w:eastAsia="仿宋_GB2312"/>
          <w:color w:val="000000"/>
          <w:kern w:val="0"/>
          <w:sz w:val="32"/>
          <w:szCs w:val="32"/>
        </w:rPr>
        <w:t>100%</w:t>
      </w:r>
      <w:r>
        <w:rPr>
          <w:rFonts w:eastAsia="仿宋_GB2312"/>
          <w:color w:val="000000"/>
          <w:kern w:val="0"/>
          <w:sz w:val="32"/>
          <w:szCs w:val="32"/>
        </w:rPr>
        <w:t>。</w:t>
      </w:r>
    </w:p>
    <w:p>
      <w:pPr>
        <w:spacing w:line="540" w:lineRule="exact"/>
        <w:ind w:left="105" w:leftChars="50" w:firstLine="480" w:firstLineChars="150"/>
        <w:jc w:val="left"/>
        <w:rPr>
          <w:rFonts w:eastAsia="黑体"/>
          <w:color w:val="000000"/>
          <w:kern w:val="0"/>
          <w:sz w:val="32"/>
          <w:szCs w:val="32"/>
        </w:rPr>
      </w:pPr>
      <w:r>
        <w:rPr>
          <w:rFonts w:hAnsi="黑体" w:eastAsia="黑体"/>
          <w:color w:val="000000"/>
          <w:kern w:val="0"/>
          <w:sz w:val="32"/>
          <w:szCs w:val="32"/>
        </w:rPr>
        <w:t>三、整体绩效目标实现情况</w:t>
      </w:r>
    </w:p>
    <w:p>
      <w:pPr>
        <w:spacing w:line="540" w:lineRule="exact"/>
        <w:ind w:left="105" w:leftChars="50" w:firstLine="482" w:firstLineChars="150"/>
        <w:jc w:val="left"/>
        <w:rPr>
          <w:rFonts w:eastAsia="楷体_GB2312"/>
          <w:b/>
          <w:sz w:val="32"/>
          <w:szCs w:val="32"/>
        </w:rPr>
      </w:pPr>
      <w:r>
        <w:rPr>
          <w:rFonts w:eastAsia="楷体_GB2312"/>
          <w:b/>
          <w:sz w:val="32"/>
          <w:szCs w:val="32"/>
        </w:rPr>
        <w:t>（一）产出完成情况分析</w:t>
      </w:r>
    </w:p>
    <w:p>
      <w:pPr>
        <w:spacing w:line="540" w:lineRule="exact"/>
        <w:ind w:left="105" w:leftChars="50" w:firstLine="482" w:firstLineChars="150"/>
        <w:jc w:val="left"/>
        <w:rPr>
          <w:rFonts w:eastAsia="仿宋_GB2312"/>
          <w:b/>
          <w:color w:val="000000"/>
          <w:kern w:val="0"/>
          <w:sz w:val="32"/>
          <w:szCs w:val="32"/>
        </w:rPr>
      </w:pPr>
      <w:r>
        <w:rPr>
          <w:rFonts w:eastAsia="仿宋_GB2312"/>
          <w:b/>
          <w:color w:val="000000"/>
          <w:kern w:val="0"/>
          <w:sz w:val="32"/>
          <w:szCs w:val="32"/>
        </w:rPr>
        <w:t>1.产出数量</w:t>
      </w:r>
    </w:p>
    <w:p>
      <w:pPr>
        <w:spacing w:line="540" w:lineRule="exact"/>
        <w:ind w:left="105" w:leftChars="50" w:firstLine="480" w:firstLineChars="15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（1）加强组织建设，完善科普工作体系。2023年新建企业科协组织6家，转入企业科协1家，新成立园区科协2家，朝阳区企业科协总数达到80家，覆盖科技工作者7万余人。</w:t>
      </w:r>
    </w:p>
    <w:p>
      <w:pPr>
        <w:spacing w:line="540" w:lineRule="exact"/>
        <w:ind w:left="105" w:leftChars="50" w:firstLine="480" w:firstLineChars="15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举办科教进社区、走进“科普场馆”等公民科学素质提升系列活动150余场，活动覆盖全区43个街乡，累积受益1.43万人次。精心组织全国科普日活动，打造“1+5+N”工作格局，举办“中国载人航天自立自强30年”主题展览、科普讲座、新时代文明实践所站科普志愿活动、科普嘉年华、流动科技馆等线下公众科普活动100余场，线上活动200余场次，累计参与公众近100万人次。</w:t>
      </w:r>
    </w:p>
    <w:p>
      <w:pPr>
        <w:spacing w:line="560" w:lineRule="exact"/>
        <w:ind w:firstLine="640" w:firstLineChars="200"/>
        <w:rPr>
          <w:rFonts w:eastAsia="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lang w:eastAsia="zh-CN"/>
        </w:rPr>
        <w:t>）</w:t>
      </w:r>
      <w:r>
        <w:rPr>
          <w:rFonts w:hAnsi="仿宋_GB2312" w:eastAsia="仿宋_GB2312"/>
          <w:bCs/>
          <w:sz w:val="32"/>
          <w:szCs w:val="32"/>
        </w:rPr>
        <w:t>实施基层科普项目资助计划</w:t>
      </w:r>
      <w:r>
        <w:rPr>
          <w:rFonts w:eastAsia="仿宋_GB2312"/>
          <w:sz w:val="32"/>
          <w:szCs w:val="32"/>
        </w:rPr>
        <w:t>。</w:t>
      </w:r>
      <w:r>
        <w:rPr>
          <w:rFonts w:hAnsi="仿宋_GB2312" w:eastAsia="仿宋_GB2312"/>
          <w:sz w:val="32"/>
          <w:szCs w:val="32"/>
        </w:rPr>
        <w:t>支持</w:t>
      </w:r>
      <w:r>
        <w:rPr>
          <w:rFonts w:eastAsia="仿宋_GB2312"/>
          <w:sz w:val="32"/>
          <w:szCs w:val="32"/>
        </w:rPr>
        <w:t>11</w:t>
      </w:r>
      <w:r>
        <w:rPr>
          <w:rFonts w:hAnsi="仿宋_GB2312" w:eastAsia="仿宋_GB2312"/>
          <w:sz w:val="32"/>
          <w:szCs w:val="32"/>
        </w:rPr>
        <w:t>个街乡、</w:t>
      </w:r>
      <w:r>
        <w:rPr>
          <w:rFonts w:eastAsia="仿宋_GB2312"/>
          <w:sz w:val="32"/>
          <w:szCs w:val="32"/>
        </w:rPr>
        <w:t>2</w:t>
      </w:r>
      <w:r>
        <w:rPr>
          <w:rFonts w:hAnsi="仿宋_GB2312" w:eastAsia="仿宋_GB2312"/>
          <w:sz w:val="32"/>
          <w:szCs w:val="32"/>
        </w:rPr>
        <w:t>个学会积极开展科普活动，资金支持总额达</w:t>
      </w:r>
      <w:r>
        <w:rPr>
          <w:rFonts w:eastAsia="仿宋_GB2312"/>
          <w:sz w:val="32"/>
          <w:szCs w:val="32"/>
        </w:rPr>
        <w:t>120</w:t>
      </w:r>
      <w:r>
        <w:rPr>
          <w:rFonts w:hAnsi="仿宋_GB2312" w:eastAsia="仿宋_GB2312"/>
          <w:sz w:val="32"/>
          <w:szCs w:val="32"/>
        </w:rPr>
        <w:t>万元，共计开展活动</w:t>
      </w:r>
      <w:r>
        <w:rPr>
          <w:rFonts w:eastAsia="仿宋_GB2312"/>
          <w:sz w:val="32"/>
          <w:szCs w:val="32"/>
        </w:rPr>
        <w:t>212</w:t>
      </w:r>
      <w:r>
        <w:rPr>
          <w:rFonts w:hAnsi="仿宋_GB2312" w:eastAsia="仿宋_GB2312"/>
          <w:sz w:val="32"/>
          <w:szCs w:val="32"/>
        </w:rPr>
        <w:t>场次，发放宣传资料</w:t>
      </w:r>
      <w:r>
        <w:rPr>
          <w:rFonts w:eastAsia="仿宋_GB2312"/>
          <w:sz w:val="32"/>
          <w:szCs w:val="32"/>
        </w:rPr>
        <w:t>7000</w:t>
      </w:r>
      <w:r>
        <w:rPr>
          <w:rFonts w:hAnsi="仿宋_GB2312" w:eastAsia="仿宋_GB2312"/>
          <w:sz w:val="32"/>
          <w:szCs w:val="32"/>
        </w:rPr>
        <w:t>余份，线上线下参与</w:t>
      </w:r>
      <w:r>
        <w:rPr>
          <w:rFonts w:eastAsia="仿宋_GB2312"/>
          <w:sz w:val="32"/>
          <w:szCs w:val="32"/>
        </w:rPr>
        <w:t>200000</w:t>
      </w:r>
      <w:r>
        <w:rPr>
          <w:rFonts w:hAnsi="仿宋_GB2312" w:eastAsia="仿宋_GB2312"/>
          <w:sz w:val="32"/>
          <w:szCs w:val="32"/>
        </w:rPr>
        <w:t>人次，市级及以上媒体报道</w:t>
      </w:r>
      <w:r>
        <w:rPr>
          <w:rFonts w:eastAsia="仿宋_GB2312"/>
          <w:sz w:val="32"/>
          <w:szCs w:val="32"/>
        </w:rPr>
        <w:t>16</w:t>
      </w:r>
      <w:r>
        <w:rPr>
          <w:rFonts w:hAnsi="仿宋_GB2312" w:eastAsia="仿宋_GB2312"/>
          <w:sz w:val="32"/>
          <w:szCs w:val="32"/>
        </w:rPr>
        <w:t>次，区级媒体报道</w:t>
      </w:r>
      <w:r>
        <w:rPr>
          <w:rFonts w:eastAsia="仿宋_GB2312"/>
          <w:sz w:val="32"/>
          <w:szCs w:val="32"/>
        </w:rPr>
        <w:t>13</w:t>
      </w:r>
      <w:r>
        <w:rPr>
          <w:rFonts w:hAnsi="仿宋_GB2312" w:eastAsia="仿宋_GB2312"/>
          <w:sz w:val="32"/>
          <w:szCs w:val="32"/>
        </w:rPr>
        <w:t>次，自媒体宣传</w:t>
      </w:r>
      <w:r>
        <w:rPr>
          <w:rFonts w:eastAsia="仿宋_GB2312"/>
          <w:sz w:val="32"/>
          <w:szCs w:val="32"/>
        </w:rPr>
        <w:t>260</w:t>
      </w:r>
      <w:r>
        <w:rPr>
          <w:rFonts w:hAnsi="仿宋_GB2312" w:eastAsia="仿宋_GB2312"/>
          <w:sz w:val="32"/>
          <w:szCs w:val="32"/>
        </w:rPr>
        <w:t>次，群众满意度较高。</w:t>
      </w:r>
    </w:p>
    <w:p>
      <w:pPr>
        <w:spacing w:line="540" w:lineRule="exact"/>
        <w:ind w:left="105" w:leftChars="50" w:firstLine="480" w:firstLineChars="150"/>
        <w:jc w:val="left"/>
        <w:rPr>
          <w:rFonts w:hint="eastAsia" w:ascii="仿宋_GB2312" w:hAnsi="仿宋_GB2312" w:eastAsia="仿宋_GB2312" w:cs="仿宋_GB2312"/>
          <w:sz w:val="32"/>
          <w:szCs w:val="32"/>
          <w:lang w:eastAsia="zh-CN"/>
        </w:rPr>
      </w:pPr>
      <w:r>
        <w:rPr>
          <w:rFonts w:hint="eastAsia" w:eastAsia="仿宋_GB2312"/>
          <w:sz w:val="32"/>
          <w:szCs w:val="32"/>
          <w:lang w:eastAsia="zh-CN"/>
        </w:rPr>
        <w:t>（</w:t>
      </w:r>
      <w:r>
        <w:rPr>
          <w:rFonts w:hint="eastAsia" w:eastAsia="仿宋_GB2312"/>
          <w:sz w:val="32"/>
          <w:szCs w:val="32"/>
          <w:lang w:val="en-US" w:eastAsia="zh-CN"/>
        </w:rPr>
        <w:t>4</w:t>
      </w:r>
      <w:r>
        <w:rPr>
          <w:rFonts w:hint="eastAsia" w:eastAsia="仿宋_GB2312"/>
          <w:sz w:val="32"/>
          <w:szCs w:val="32"/>
          <w:lang w:eastAsia="zh-CN"/>
        </w:rPr>
        <w:t>）</w:t>
      </w:r>
      <w:r>
        <w:rPr>
          <w:rFonts w:eastAsia="仿宋_GB2312"/>
          <w:sz w:val="32"/>
          <w:szCs w:val="32"/>
        </w:rPr>
        <w:t>实施科普志愿行动项目。组织朝阳区科学教育馆联盟科普志愿者能力提升研讨会1场；在朝阳区新时代文明实践中心、站（所）组织陶瓷艺术馆科普志愿者活动2场，开设“陶瓷前世今生”科普展览1场；开展特色科普志愿者科普实践进社区活动7场，参与群众超过210人次；开展特色科普志愿者科普实践进校园活动2场，累计参与350人次；制作了3分钟的活动总结视频，主流媒体平台推送科普志愿活动宣传文章20篇次，受益人数2万人。</w:t>
      </w:r>
    </w:p>
    <w:p>
      <w:pPr>
        <w:spacing w:line="540" w:lineRule="exact"/>
        <w:ind w:left="105" w:leftChars="50" w:firstLine="480" w:firstLineChars="15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全面升级“2023年朝阳区公民科学素质大赛”，增设积分商城等奖励闯关板块和“擂台赛”模式，不断增强活动吸引力和公众参与率，累计吸引超10万朝阳群众广泛参与，最终16个街乡32名选手杀入决赛，决出一等奖1名，二等奖2名，三等奖3名。</w:t>
      </w:r>
    </w:p>
    <w:p>
      <w:pPr>
        <w:spacing w:line="540" w:lineRule="exact"/>
        <w:ind w:left="105" w:leftChars="50" w:firstLine="480" w:firstLineChars="15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持续开展“院士专家进园区、进企业”活动，先后邀请18位行业“大咖”为5家驻区企业上门指导答疑，进一步提升企业创新能力。深化科技企业与中科院科研院所科技交流活动，组织50余家企业近百名科技企业负责人走进中国科学院大学雁栖湖校区参观学习大科学装置、国家重点实验室，了解科技前沿发展趋势，增进院企互相了解，建立交流合作新渠道。</w:t>
      </w:r>
    </w:p>
    <w:p>
      <w:pPr>
        <w:spacing w:line="540" w:lineRule="exact"/>
        <w:ind w:left="105" w:leftChars="50" w:firstLine="480" w:firstLineChars="150"/>
        <w:jc w:val="left"/>
        <w:rPr>
          <w:rFonts w:hint="eastAsia" w:eastAsia="仿宋_GB2312"/>
          <w:sz w:val="32"/>
          <w:szCs w:val="32"/>
        </w:rPr>
      </w:pPr>
      <w:r>
        <w:rPr>
          <w:rFonts w:hint="eastAsia" w:eastAsia="仿宋_GB2312"/>
          <w:sz w:val="32"/>
          <w:szCs w:val="32"/>
        </w:rPr>
        <w:t>（</w:t>
      </w:r>
      <w:r>
        <w:rPr>
          <w:rFonts w:hint="eastAsia" w:eastAsia="仿宋_GB2312"/>
          <w:sz w:val="32"/>
          <w:szCs w:val="32"/>
          <w:lang w:val="en-US" w:eastAsia="zh-CN"/>
        </w:rPr>
        <w:t>7</w:t>
      </w:r>
      <w:r>
        <w:rPr>
          <w:rFonts w:hint="eastAsia" w:eastAsia="仿宋_GB2312"/>
          <w:sz w:val="32"/>
          <w:szCs w:val="32"/>
        </w:rPr>
        <w:t>）开展</w:t>
      </w:r>
      <w:r>
        <w:rPr>
          <w:rFonts w:eastAsia="仿宋_GB2312"/>
          <w:sz w:val="32"/>
          <w:szCs w:val="32"/>
        </w:rPr>
        <w:t>最美科技工作者</w:t>
      </w:r>
      <w:r>
        <w:rPr>
          <w:rFonts w:hint="eastAsia" w:eastAsia="仿宋_GB2312"/>
          <w:sz w:val="32"/>
          <w:szCs w:val="32"/>
        </w:rPr>
        <w:t>学习宣传活动</w:t>
      </w:r>
      <w:r>
        <w:rPr>
          <w:rFonts w:eastAsia="仿宋_GB2312"/>
          <w:sz w:val="32"/>
          <w:szCs w:val="32"/>
        </w:rPr>
        <w:t>，遴选出1</w:t>
      </w:r>
      <w:r>
        <w:rPr>
          <w:rFonts w:hint="eastAsia" w:eastAsia="仿宋_GB2312"/>
          <w:sz w:val="32"/>
          <w:szCs w:val="32"/>
        </w:rPr>
        <w:t>9</w:t>
      </w:r>
      <w:r>
        <w:rPr>
          <w:rFonts w:eastAsia="仿宋_GB2312"/>
          <w:sz w:val="32"/>
          <w:szCs w:val="32"/>
        </w:rPr>
        <w:t>名来自各行各业“最美科技工作者”</w:t>
      </w:r>
      <w:r>
        <w:rPr>
          <w:rFonts w:hint="eastAsia" w:eastAsia="仿宋_GB2312"/>
          <w:sz w:val="32"/>
          <w:szCs w:val="32"/>
        </w:rPr>
        <w:t>和5支“最美科技创新团队”，进一步</w:t>
      </w:r>
      <w:r>
        <w:rPr>
          <w:rFonts w:eastAsia="仿宋_GB2312"/>
          <w:sz w:val="32"/>
          <w:szCs w:val="32"/>
        </w:rPr>
        <w:t>激发科技工作者创新热情</w:t>
      </w:r>
      <w:r>
        <w:rPr>
          <w:rFonts w:hint="eastAsia" w:eastAsia="仿宋_GB2312"/>
          <w:sz w:val="32"/>
          <w:szCs w:val="32"/>
        </w:rPr>
        <w:t>。</w:t>
      </w:r>
    </w:p>
    <w:p>
      <w:pPr>
        <w:snapToGrid w:val="0"/>
        <w:spacing w:line="560" w:lineRule="exact"/>
        <w:ind w:firstLine="640" w:firstLineChars="200"/>
        <w:rPr>
          <w:rFonts w:hint="eastAsia" w:ascii="仿宋_GB2312" w:hAnsi="仿宋_GB2312" w:eastAsia="仿宋_GB2312" w:cs="仿宋_GB2312"/>
          <w:kern w:val="44"/>
          <w:sz w:val="32"/>
          <w:szCs w:val="32"/>
        </w:rPr>
      </w:pPr>
      <w:r>
        <w:rPr>
          <w:rFonts w:hint="eastAsia" w:eastAsia="仿宋_GB2312"/>
          <w:sz w:val="32"/>
          <w:szCs w:val="32"/>
        </w:rPr>
        <w:t>（</w:t>
      </w:r>
      <w:r>
        <w:rPr>
          <w:rFonts w:hint="eastAsia" w:eastAsia="仿宋_GB2312"/>
          <w:sz w:val="32"/>
          <w:szCs w:val="32"/>
          <w:lang w:val="en-US" w:eastAsia="zh-CN"/>
        </w:rPr>
        <w:t>8</w:t>
      </w:r>
      <w:r>
        <w:rPr>
          <w:rFonts w:hint="eastAsia" w:eastAsia="仿宋_GB2312"/>
          <w:sz w:val="32"/>
          <w:szCs w:val="32"/>
        </w:rPr>
        <w:t>）继续实施</w:t>
      </w:r>
      <w:r>
        <w:rPr>
          <w:rFonts w:eastAsia="仿宋_GB2312"/>
          <w:sz w:val="32"/>
          <w:szCs w:val="32"/>
        </w:rPr>
        <w:t>科技创新课</w:t>
      </w:r>
      <w:r>
        <w:rPr>
          <w:rFonts w:hint="eastAsia" w:eastAsia="仿宋_GB2312"/>
          <w:sz w:val="32"/>
          <w:szCs w:val="32"/>
        </w:rPr>
        <w:t>项目</w:t>
      </w:r>
      <w:r>
        <w:rPr>
          <w:rFonts w:eastAsia="仿宋_GB2312"/>
          <w:sz w:val="32"/>
          <w:szCs w:val="32"/>
        </w:rPr>
        <w:t>，</w:t>
      </w:r>
      <w:r>
        <w:rPr>
          <w:rFonts w:hint="eastAsia" w:eastAsia="仿宋_GB2312"/>
          <w:sz w:val="32"/>
          <w:szCs w:val="32"/>
        </w:rPr>
        <w:t>设置</w:t>
      </w:r>
      <w:r>
        <w:rPr>
          <w:rFonts w:eastAsia="仿宋_GB2312"/>
          <w:bCs/>
          <w:sz w:val="32"/>
          <w:szCs w:val="32"/>
        </w:rPr>
        <w:t>3</w:t>
      </w:r>
      <w:r>
        <w:rPr>
          <w:rFonts w:hint="eastAsia" w:eastAsia="仿宋_GB2312"/>
          <w:bCs/>
          <w:sz w:val="32"/>
          <w:szCs w:val="32"/>
        </w:rPr>
        <w:t>大</w:t>
      </w:r>
      <w:r>
        <w:rPr>
          <w:rFonts w:eastAsia="仿宋_GB2312"/>
          <w:bCs/>
          <w:sz w:val="32"/>
          <w:szCs w:val="32"/>
        </w:rPr>
        <w:t>模块课程，累计邀请10位老师，安排14门课程38课时学习内容，共50余</w:t>
      </w:r>
      <w:r>
        <w:rPr>
          <w:rFonts w:hint="eastAsia" w:eastAsia="仿宋_GB2312"/>
          <w:bCs/>
          <w:sz w:val="32"/>
          <w:szCs w:val="32"/>
        </w:rPr>
        <w:t>万</w:t>
      </w:r>
      <w:r>
        <w:rPr>
          <w:rFonts w:eastAsia="仿宋_GB2312"/>
          <w:bCs/>
          <w:sz w:val="32"/>
          <w:szCs w:val="32"/>
        </w:rPr>
        <w:t>人次参与，学员满意度100%</w:t>
      </w:r>
      <w:r>
        <w:rPr>
          <w:rFonts w:hint="eastAsia" w:ascii="仿宋_GB2312" w:hAnsi="仿宋_GB2312" w:eastAsia="仿宋_GB2312" w:cs="仿宋_GB2312"/>
          <w:kern w:val="44"/>
          <w:sz w:val="32"/>
          <w:szCs w:val="32"/>
        </w:rPr>
        <w:t>。</w:t>
      </w:r>
    </w:p>
    <w:p>
      <w:pPr>
        <w:spacing w:line="540" w:lineRule="exact"/>
        <w:ind w:left="105" w:leftChars="50" w:firstLine="480" w:firstLineChars="150"/>
        <w:jc w:val="left"/>
        <w:rPr>
          <w:rFonts w:hint="default" w:ascii="Times New Roman" w:hAnsi="Times New Roman" w:eastAsia="仿宋_GB2312" w:cs="Times New Roman"/>
          <w:color w:val="auto"/>
          <w:kern w:val="2"/>
          <w:sz w:val="32"/>
          <w:szCs w:val="32"/>
          <w:highlight w:val="none"/>
          <w:lang w:val="en-US" w:eastAsia="zh-CN" w:bidi="ar-SA"/>
        </w:rPr>
      </w:pPr>
      <w:r>
        <w:rPr>
          <w:rFonts w:hint="eastAsia" w:eastAsia="仿宋_GB2312"/>
          <w:sz w:val="32"/>
          <w:szCs w:val="32"/>
        </w:rPr>
        <w:t>（</w:t>
      </w:r>
      <w:r>
        <w:rPr>
          <w:rFonts w:hint="eastAsia" w:eastAsia="仿宋_GB2312"/>
          <w:sz w:val="32"/>
          <w:szCs w:val="32"/>
          <w:lang w:val="en-US" w:eastAsia="zh-CN"/>
        </w:rPr>
        <w:t>9</w:t>
      </w:r>
      <w:r>
        <w:rPr>
          <w:rFonts w:hint="eastAsia" w:eastAsia="仿宋_GB2312"/>
          <w:sz w:val="32"/>
          <w:szCs w:val="32"/>
        </w:rPr>
        <w:t>）</w:t>
      </w:r>
      <w:r>
        <w:rPr>
          <w:rFonts w:eastAsia="仿宋_GB2312"/>
          <w:sz w:val="32"/>
          <w:szCs w:val="32"/>
        </w:rPr>
        <w:t>实施朝阳科学家会客厅品牌项目，搭建科技成果助推、科学文化传播、决策咨询智汇和国际合作对接等6大平台，中国工程院沈昌祥院士等52名科学家莅临举办学术交流、圆桌论坛、科学峰会、技术研讨、项目路演等6场活动，</w:t>
      </w:r>
      <w:r>
        <w:rPr>
          <w:rFonts w:hint="eastAsia" w:eastAsia="仿宋_GB2312"/>
          <w:sz w:val="32"/>
          <w:szCs w:val="32"/>
        </w:rPr>
        <w:t>吸引</w:t>
      </w:r>
      <w:r>
        <w:rPr>
          <w:rFonts w:eastAsia="仿宋_GB2312"/>
          <w:sz w:val="32"/>
          <w:szCs w:val="32"/>
        </w:rPr>
        <w:t>线上线下12万名观众联动交流。</w:t>
      </w:r>
    </w:p>
    <w:p>
      <w:pPr>
        <w:pStyle w:val="2"/>
        <w:keepNext w:val="0"/>
        <w:keepLines w:val="0"/>
        <w:pageBreakBefore w:val="0"/>
        <w:widowControl w:val="0"/>
        <w:kinsoku/>
        <w:wordWrap/>
        <w:overflowPunct/>
        <w:topLinePunct w:val="0"/>
        <w:autoSpaceDE/>
        <w:autoSpaceDN/>
        <w:bidi w:val="0"/>
        <w:adjustRightInd/>
        <w:snapToGrid/>
        <w:spacing w:after="0" w:line="560" w:lineRule="exact"/>
        <w:ind w:right="0" w:rightChars="0" w:firstLine="640" w:firstLineChars="200"/>
        <w:jc w:val="both"/>
        <w:textAlignment w:val="auto"/>
        <w:outlineLvl w:val="9"/>
        <w:rPr>
          <w:rFonts w:hint="default" w:ascii="Times New Roman" w:hAnsi="Times New Roman" w:cs="Times New Roman"/>
          <w:color w:val="auto"/>
          <w:highlight w:val="none"/>
          <w:lang w:val="en-US" w:eastAsia="zh-CN"/>
        </w:rPr>
      </w:pPr>
      <w:r>
        <w:rPr>
          <w:rFonts w:hint="eastAsia" w:eastAsia="仿宋_GB2312" w:cs="Times New Roman"/>
          <w:color w:val="auto"/>
          <w:kern w:val="2"/>
          <w:sz w:val="32"/>
          <w:szCs w:val="32"/>
          <w:highlight w:val="none"/>
          <w:lang w:val="en-US" w:eastAsia="zh-CN" w:bidi="ar-SA"/>
        </w:rPr>
        <w:t>（10）</w:t>
      </w:r>
      <w:r>
        <w:rPr>
          <w:rFonts w:hint="default" w:ascii="Times New Roman" w:hAnsi="Times New Roman" w:eastAsia="仿宋_GB2312" w:cs="Times New Roman"/>
          <w:color w:val="auto"/>
          <w:sz w:val="32"/>
          <w:szCs w:val="40"/>
          <w:highlight w:val="none"/>
          <w:lang w:val="en-US" w:eastAsia="zh-CN"/>
        </w:rPr>
        <w:t>支持指导北京科创空间投资发展有限公司园区承接北京市科协“千人进千企”产业工作站科技企业需求对接会——</w:t>
      </w:r>
      <w:r>
        <w:rPr>
          <w:rFonts w:hint="default" w:ascii="Times New Roman" w:hAnsi="Times New Roman" w:eastAsia="仿宋_GB2312" w:cs="Times New Roman"/>
          <w:color w:val="auto"/>
          <w:kern w:val="2"/>
          <w:sz w:val="32"/>
          <w:szCs w:val="32"/>
          <w:highlight w:val="none"/>
          <w:lang w:val="en-US" w:eastAsia="zh-CN" w:bidi="ar-SA"/>
        </w:rPr>
        <w:t>全国知识产权宣传周特别活动，60余名行业专家、企业代表参加活动，</w:t>
      </w:r>
      <w:r>
        <w:rPr>
          <w:rFonts w:hint="default" w:ascii="Times New Roman" w:hAnsi="Times New Roman" w:eastAsia="仿宋_GB2312" w:cs="Times New Roman"/>
          <w:color w:val="auto"/>
          <w:sz w:val="32"/>
          <w:szCs w:val="40"/>
          <w:highlight w:val="none"/>
          <w:lang w:val="en-US" w:eastAsia="zh-CN"/>
        </w:rPr>
        <w:t>进一步提高了基层科协组织凝聚力、战斗力、服务力和传播力。</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仿宋_GB2312" w:cs="Times New Roman"/>
          <w:color w:val="auto"/>
          <w:kern w:val="2"/>
          <w:sz w:val="32"/>
          <w:szCs w:val="32"/>
          <w:highlight w:val="none"/>
          <w:lang w:val="en-US" w:eastAsia="zh-CN" w:bidi="ar-SA"/>
        </w:rPr>
      </w:pPr>
      <w:r>
        <w:rPr>
          <w:rFonts w:hint="eastAsia" w:ascii="Times New Roman" w:hAnsi="Times New Roman" w:eastAsia="仿宋_GB2312" w:cs="Times New Roman"/>
          <w:color w:val="auto"/>
          <w:kern w:val="2"/>
          <w:sz w:val="32"/>
          <w:szCs w:val="32"/>
          <w:highlight w:val="none"/>
          <w:lang w:val="en-US" w:eastAsia="zh-CN" w:bidi="ar-SA"/>
        </w:rPr>
        <w:t>（11）</w:t>
      </w:r>
      <w:r>
        <w:rPr>
          <w:rFonts w:eastAsia="仿宋_GB2312"/>
          <w:sz w:val="32"/>
          <w:szCs w:val="32"/>
        </w:rPr>
        <w:t>成功举办</w:t>
      </w:r>
      <w:r>
        <w:rPr>
          <w:rFonts w:eastAsia="仿宋_GB2312"/>
          <w:sz w:val="32"/>
          <w:szCs w:val="32"/>
          <w:lang w:val="en-GB"/>
        </w:rPr>
        <w:t>20</w:t>
      </w:r>
      <w:r>
        <w:rPr>
          <w:rFonts w:eastAsia="仿宋_GB2312"/>
          <w:sz w:val="32"/>
          <w:szCs w:val="32"/>
        </w:rPr>
        <w:t>23</w:t>
      </w:r>
      <w:r>
        <w:rPr>
          <w:rFonts w:eastAsia="仿宋_GB2312"/>
          <w:sz w:val="32"/>
          <w:szCs w:val="32"/>
          <w:lang w:val="en-GB"/>
        </w:rPr>
        <w:t>年朝阳区科技工作者健康跑</w:t>
      </w:r>
      <w:r>
        <w:rPr>
          <w:rFonts w:eastAsia="仿宋_GB2312"/>
          <w:sz w:val="32"/>
          <w:szCs w:val="32"/>
        </w:rPr>
        <w:t>、</w:t>
      </w:r>
      <w:r>
        <w:rPr>
          <w:rFonts w:eastAsia="仿宋_GB2312"/>
          <w:sz w:val="32"/>
          <w:szCs w:val="32"/>
          <w:lang w:val="en-GB"/>
        </w:rPr>
        <w:t>乒乓球比赛</w:t>
      </w:r>
      <w:r>
        <w:rPr>
          <w:rFonts w:eastAsia="仿宋_GB2312"/>
          <w:sz w:val="32"/>
          <w:szCs w:val="32"/>
        </w:rPr>
        <w:t>和青年联谊等活动。</w:t>
      </w:r>
      <w:r>
        <w:rPr>
          <w:rFonts w:eastAsia="仿宋_GB2312"/>
          <w:sz w:val="32"/>
          <w:szCs w:val="32"/>
          <w:shd w:val="clear" w:color="auto" w:fill="FFFFFF"/>
        </w:rPr>
        <w:t>来自辖区企业、学会、科研院所、机关、驻军等100余单位的1000余人次参加活动并取得良好效果</w:t>
      </w:r>
      <w:r>
        <w:rPr>
          <w:rFonts w:hint="eastAsia" w:eastAsia="仿宋_GB2312"/>
          <w:sz w:val="32"/>
          <w:szCs w:val="32"/>
          <w:shd w:val="clear" w:color="auto" w:fill="FFFFFF"/>
        </w:rPr>
        <w:t>。</w:t>
      </w:r>
      <w:bookmarkStart w:id="1" w:name="_GoBack"/>
      <w:bookmarkEnd w:id="1"/>
    </w:p>
    <w:p>
      <w:pPr>
        <w:spacing w:line="540" w:lineRule="exact"/>
        <w:ind w:left="105" w:leftChars="50" w:firstLine="482" w:firstLineChars="150"/>
        <w:jc w:val="left"/>
        <w:rPr>
          <w:rFonts w:eastAsia="仿宋_GB2312"/>
          <w:b/>
          <w:color w:val="000000"/>
          <w:kern w:val="0"/>
          <w:sz w:val="32"/>
          <w:szCs w:val="32"/>
        </w:rPr>
      </w:pPr>
      <w:r>
        <w:rPr>
          <w:rFonts w:eastAsia="仿宋_GB2312"/>
          <w:b/>
          <w:color w:val="000000"/>
          <w:kern w:val="0"/>
          <w:sz w:val="32"/>
          <w:szCs w:val="32"/>
        </w:rPr>
        <w:t>2.产出质量</w:t>
      </w:r>
    </w:p>
    <w:p>
      <w:pPr>
        <w:spacing w:line="540" w:lineRule="exact"/>
        <w:ind w:left="105" w:leftChars="50" w:firstLine="480" w:firstLineChars="150"/>
        <w:jc w:val="left"/>
        <w:rPr>
          <w:rFonts w:hint="eastAsia" w:eastAsia="仿宋_GB2312"/>
          <w:sz w:val="32"/>
          <w:szCs w:val="32"/>
        </w:rPr>
      </w:pPr>
      <w:r>
        <w:rPr>
          <w:rFonts w:hint="eastAsia" w:eastAsia="仿宋_GB2312"/>
          <w:sz w:val="32"/>
          <w:szCs w:val="32"/>
        </w:rPr>
        <w:t>“最美科技工作者”示范引领作用进一步凸显。</w:t>
      </w:r>
      <w:r>
        <w:rPr>
          <w:rFonts w:eastAsia="仿宋_GB2312"/>
          <w:sz w:val="32"/>
          <w:szCs w:val="32"/>
        </w:rPr>
        <w:t>成功举办2023年朝阳区</w:t>
      </w:r>
      <w:r>
        <w:rPr>
          <w:rFonts w:hint="eastAsia" w:eastAsia="仿宋_GB2312"/>
          <w:sz w:val="32"/>
          <w:szCs w:val="32"/>
        </w:rPr>
        <w:t>“</w:t>
      </w:r>
      <w:r>
        <w:rPr>
          <w:rFonts w:eastAsia="仿宋_GB2312"/>
          <w:sz w:val="32"/>
          <w:szCs w:val="32"/>
        </w:rPr>
        <w:t>最美科技工作者</w:t>
      </w:r>
      <w:r>
        <w:rPr>
          <w:rFonts w:hint="eastAsia" w:eastAsia="仿宋_GB2312"/>
          <w:sz w:val="32"/>
          <w:szCs w:val="32"/>
        </w:rPr>
        <w:t>”</w:t>
      </w:r>
      <w:r>
        <w:rPr>
          <w:rFonts w:eastAsia="仿宋_GB2312"/>
          <w:sz w:val="32"/>
          <w:szCs w:val="32"/>
        </w:rPr>
        <w:t>先进事迹发布会，吸引人民网、新华网、科普时报、北京青年报等十余家媒体争相报道。中国电子科技集团第十二研究所集团首席科学家冯进军当选2023北京</w:t>
      </w:r>
      <w:r>
        <w:rPr>
          <w:rFonts w:hint="eastAsia" w:eastAsia="仿宋_GB2312"/>
          <w:sz w:val="32"/>
          <w:szCs w:val="32"/>
        </w:rPr>
        <w:t>“</w:t>
      </w:r>
      <w:r>
        <w:rPr>
          <w:rFonts w:eastAsia="仿宋_GB2312"/>
          <w:sz w:val="32"/>
          <w:szCs w:val="32"/>
        </w:rPr>
        <w:t>最美科技工作者</w:t>
      </w:r>
      <w:r>
        <w:rPr>
          <w:rFonts w:hint="eastAsia" w:eastAsia="仿宋_GB2312"/>
          <w:sz w:val="32"/>
          <w:szCs w:val="32"/>
        </w:rPr>
        <w:t>”</w:t>
      </w:r>
      <w:r>
        <w:rPr>
          <w:rFonts w:eastAsia="仿宋_GB2312"/>
          <w:sz w:val="32"/>
          <w:szCs w:val="32"/>
        </w:rPr>
        <w:t>，并被推荐作为2023年全国</w:t>
      </w:r>
      <w:r>
        <w:rPr>
          <w:rFonts w:hint="eastAsia" w:eastAsia="仿宋_GB2312"/>
          <w:sz w:val="32"/>
          <w:szCs w:val="32"/>
        </w:rPr>
        <w:t>“</w:t>
      </w:r>
      <w:r>
        <w:rPr>
          <w:rFonts w:eastAsia="仿宋_GB2312"/>
          <w:sz w:val="32"/>
          <w:szCs w:val="32"/>
        </w:rPr>
        <w:t>最美科技工作者</w:t>
      </w:r>
      <w:r>
        <w:rPr>
          <w:rFonts w:hint="eastAsia" w:eastAsia="仿宋_GB2312"/>
          <w:sz w:val="32"/>
          <w:szCs w:val="32"/>
        </w:rPr>
        <w:t>”</w:t>
      </w:r>
      <w:r>
        <w:rPr>
          <w:rFonts w:eastAsia="仿宋_GB2312"/>
          <w:sz w:val="32"/>
          <w:szCs w:val="32"/>
        </w:rPr>
        <w:t>候选人。</w:t>
      </w:r>
    </w:p>
    <w:p>
      <w:pPr>
        <w:adjustRightInd w:val="0"/>
        <w:snapToGrid w:val="0"/>
        <w:spacing w:line="54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公民科学素质提升实现新突破。区科协选派的朝阳区代表队在2023年京津冀公民科学素质大赛决赛中表现优异，荣获一</w:t>
      </w:r>
      <w:r>
        <w:rPr>
          <w:rFonts w:ascii="仿宋_GB2312" w:hAnsi="仿宋_GB2312" w:eastAsia="仿宋_GB2312" w:cs="仿宋_GB2312"/>
          <w:sz w:val="32"/>
          <w:szCs w:val="32"/>
        </w:rPr>
        <w:t>等奖</w:t>
      </w:r>
      <w:r>
        <w:rPr>
          <w:rFonts w:hint="eastAsia" w:ascii="仿宋_GB2312" w:hAnsi="仿宋_GB2312" w:eastAsia="仿宋_GB2312" w:cs="仿宋_GB2312"/>
          <w:sz w:val="32"/>
          <w:szCs w:val="32"/>
        </w:rPr>
        <w:t>，实现一等奖零的突破</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根据国家统计局《中华人民共和国2023年国民经济和社会发展统计公报》以及中国科协有关数据公布，2023年朝阳区具备科学素质的公民比例为32.5%</w:t>
      </w:r>
      <w:r>
        <w:rPr>
          <w:rFonts w:ascii="仿宋_GB2312" w:hAnsi="仿宋_GB2312" w:eastAsia="仿宋_GB2312" w:cs="仿宋_GB2312"/>
          <w:sz w:val="32"/>
          <w:szCs w:val="32"/>
        </w:rPr>
        <w:t>，居北京市第</w:t>
      </w:r>
      <w:r>
        <w:rPr>
          <w:rFonts w:ascii="仿宋_GB2312" w:hAnsi="仿宋_GB2312" w:eastAsia="仿宋_GB2312" w:cs="仿宋_GB2312"/>
          <w:sz w:val="32"/>
          <w:szCs w:val="32"/>
          <w:highlight w:val="none"/>
        </w:rPr>
        <w:t>2位，</w:t>
      </w:r>
      <w:r>
        <w:rPr>
          <w:rFonts w:ascii="仿宋_GB2312" w:hAnsi="仿宋_GB2312" w:eastAsia="仿宋_GB2312" w:cs="仿宋_GB2312"/>
          <w:sz w:val="32"/>
          <w:szCs w:val="32"/>
        </w:rPr>
        <w:t>较</w:t>
      </w:r>
      <w:r>
        <w:rPr>
          <w:rFonts w:hint="eastAsia" w:ascii="仿宋_GB2312" w:hAnsi="仿宋_GB2312" w:eastAsia="仿宋_GB2312" w:cs="仿宋_GB2312"/>
          <w:sz w:val="32"/>
          <w:szCs w:val="32"/>
        </w:rPr>
        <w:t>上年</w:t>
      </w:r>
      <w:r>
        <w:rPr>
          <w:rFonts w:ascii="仿宋_GB2312" w:hAnsi="仿宋_GB2312" w:eastAsia="仿宋_GB2312" w:cs="仿宋_GB2312"/>
          <w:sz w:val="32"/>
          <w:szCs w:val="32"/>
        </w:rPr>
        <w:t>增长</w:t>
      </w:r>
      <w:r>
        <w:rPr>
          <w:rFonts w:hint="eastAsia" w:ascii="仿宋_GB2312" w:hAnsi="仿宋_GB2312" w:eastAsia="仿宋_GB2312" w:cs="仿宋_GB2312"/>
          <w:sz w:val="32"/>
          <w:szCs w:val="32"/>
        </w:rPr>
        <w:t>5.1</w:t>
      </w:r>
      <w:r>
        <w:rPr>
          <w:rFonts w:ascii="仿宋_GB2312" w:hAnsi="仿宋_GB2312" w:eastAsia="仿宋_GB2312" w:cs="仿宋_GB2312"/>
          <w:sz w:val="32"/>
          <w:szCs w:val="32"/>
        </w:rPr>
        <w:t>个百分点。</w:t>
      </w:r>
    </w:p>
    <w:p>
      <w:pPr>
        <w:pStyle w:val="2"/>
        <w:spacing w:after="0" w:line="560" w:lineRule="exact"/>
        <w:ind w:firstLine="640" w:firstLineChars="200"/>
        <w:rPr>
          <w:rFonts w:ascii="Times New Roman" w:hAnsi="Times New Roman"/>
        </w:rPr>
      </w:pPr>
      <w:r>
        <w:rPr>
          <w:rFonts w:hint="eastAsia" w:ascii="Times New Roman" w:hAnsi="Times New Roman" w:eastAsia="仿宋_GB2312"/>
          <w:sz w:val="32"/>
          <w:szCs w:val="32"/>
        </w:rPr>
        <w:t>创新驱动发展成效取得新进展。</w:t>
      </w:r>
      <w:r>
        <w:rPr>
          <w:rFonts w:ascii="Times New Roman" w:hAnsi="Times New Roman" w:eastAsia="仿宋_GB2312"/>
          <w:sz w:val="32"/>
          <w:szCs w:val="32"/>
        </w:rPr>
        <w:t>园区、企业科协2个项目获得北京市</w:t>
      </w:r>
      <w:r>
        <w:rPr>
          <w:rFonts w:hint="eastAsia" w:ascii="Times New Roman" w:hAnsi="Times New Roman" w:eastAsia="仿宋_GB2312"/>
          <w:sz w:val="32"/>
          <w:szCs w:val="32"/>
        </w:rPr>
        <w:t>“</w:t>
      </w:r>
      <w:r>
        <w:rPr>
          <w:rFonts w:ascii="Times New Roman" w:hAnsi="Times New Roman" w:eastAsia="仿宋_GB2312"/>
          <w:sz w:val="32"/>
          <w:szCs w:val="32"/>
        </w:rPr>
        <w:t>金桥工程</w:t>
      </w:r>
      <w:r>
        <w:rPr>
          <w:rFonts w:hint="eastAsia" w:ascii="Times New Roman" w:hAnsi="Times New Roman" w:eastAsia="仿宋_GB2312"/>
          <w:sz w:val="32"/>
          <w:szCs w:val="32"/>
        </w:rPr>
        <w:t>”</w:t>
      </w:r>
      <w:r>
        <w:rPr>
          <w:rFonts w:ascii="Times New Roman" w:hAnsi="Times New Roman" w:eastAsia="仿宋_GB2312"/>
          <w:sz w:val="32"/>
          <w:szCs w:val="32"/>
        </w:rPr>
        <w:t>A类</w:t>
      </w:r>
      <w:r>
        <w:rPr>
          <w:rFonts w:hint="eastAsia" w:ascii="Times New Roman" w:hAnsi="Times New Roman" w:eastAsia="仿宋_GB2312"/>
          <w:sz w:val="32"/>
          <w:szCs w:val="32"/>
        </w:rPr>
        <w:t>奖励，5个项目获得C类</w:t>
      </w:r>
      <w:r>
        <w:rPr>
          <w:rFonts w:ascii="Times New Roman" w:hAnsi="Times New Roman" w:eastAsia="仿宋_GB2312"/>
          <w:sz w:val="32"/>
          <w:szCs w:val="32"/>
        </w:rPr>
        <w:t>奖励，位居全市前列</w:t>
      </w:r>
      <w:r>
        <w:rPr>
          <w:rFonts w:ascii="Times New Roman" w:hAnsi="Times New Roman" w:eastAsia="仿宋_GB2312"/>
          <w:sz w:val="32"/>
          <w:szCs w:val="40"/>
        </w:rPr>
        <w:t>。北京建工环境修复股份有限公司籍龙杰领衔的油田废弃物绿色低碳化处理技术与装备研究项目，被评为2023年</w:t>
      </w:r>
      <w:r>
        <w:rPr>
          <w:rFonts w:hint="eastAsia" w:ascii="Times New Roman" w:hAnsi="Times New Roman" w:eastAsia="仿宋_GB2312"/>
          <w:sz w:val="32"/>
          <w:szCs w:val="40"/>
        </w:rPr>
        <w:t>“</w:t>
      </w:r>
      <w:r>
        <w:rPr>
          <w:rFonts w:ascii="Times New Roman" w:hAnsi="Times New Roman" w:eastAsia="仿宋_GB2312"/>
          <w:sz w:val="32"/>
          <w:szCs w:val="40"/>
        </w:rPr>
        <w:t>北京优秀青年工程师创新工作室</w:t>
      </w:r>
      <w:r>
        <w:rPr>
          <w:rFonts w:hint="eastAsia" w:ascii="Times New Roman" w:hAnsi="Times New Roman" w:eastAsia="仿宋_GB2312"/>
          <w:sz w:val="32"/>
          <w:szCs w:val="40"/>
        </w:rPr>
        <w:t>”</w:t>
      </w:r>
      <w:r>
        <w:rPr>
          <w:rFonts w:ascii="Times New Roman" w:hAnsi="Times New Roman" w:eastAsia="仿宋_GB2312"/>
          <w:sz w:val="32"/>
          <w:szCs w:val="40"/>
        </w:rPr>
        <w:t>C类项目</w:t>
      </w:r>
      <w:r>
        <w:rPr>
          <w:rFonts w:hint="eastAsia" w:ascii="Times New Roman" w:hAnsi="Times New Roman" w:eastAsia="仿宋_GB2312"/>
          <w:sz w:val="32"/>
          <w:szCs w:val="40"/>
        </w:rPr>
        <w:t>。</w:t>
      </w:r>
    </w:p>
    <w:p>
      <w:pPr>
        <w:spacing w:line="560" w:lineRule="exact"/>
        <w:ind w:firstLine="636"/>
        <w:rPr>
          <w:rFonts w:hint="eastAsia" w:eastAsia="仿宋_GB2312"/>
          <w:sz w:val="32"/>
          <w:szCs w:val="32"/>
        </w:rPr>
      </w:pPr>
      <w:r>
        <w:rPr>
          <w:rFonts w:hint="eastAsia" w:eastAsia="仿宋_GB2312"/>
          <w:sz w:val="32"/>
          <w:szCs w:val="32"/>
        </w:rPr>
        <w:t>服务党和政府决策取得新成效。</w:t>
      </w:r>
      <w:r>
        <w:rPr>
          <w:rFonts w:eastAsia="仿宋_GB2312"/>
          <w:sz w:val="32"/>
          <w:szCs w:val="32"/>
        </w:rPr>
        <w:t>总结沉淀专家学者碰撞出的真知灼见，打磨加工形成《数字经济人才赋能朝阳创新发展的研究及建议》，为区委区政府科学决策提供参考咨询，赋能赋智朝阳区高质量发展。</w:t>
      </w:r>
    </w:p>
    <w:p>
      <w:pPr>
        <w:spacing w:line="560" w:lineRule="exact"/>
        <w:ind w:firstLine="636"/>
        <w:rPr>
          <w:rFonts w:eastAsia="仿宋_GB2312"/>
          <w:sz w:val="32"/>
          <w:szCs w:val="32"/>
        </w:rPr>
      </w:pPr>
      <w:r>
        <w:rPr>
          <w:rFonts w:hint="eastAsia" w:ascii="仿宋_GB2312" w:hAnsi="仿宋_GB2312" w:eastAsia="仿宋_GB2312" w:cs="仿宋_GB2312"/>
          <w:sz w:val="32"/>
          <w:szCs w:val="32"/>
        </w:rPr>
        <w:t>面向未来，</w:t>
      </w:r>
      <w:r>
        <w:rPr>
          <w:rFonts w:ascii="仿宋_GB2312" w:hAnsi="仿宋_GB2312" w:eastAsia="仿宋_GB2312" w:cs="仿宋_GB2312"/>
          <w:sz w:val="32"/>
          <w:szCs w:val="32"/>
        </w:rPr>
        <w:t>青少年科普工作成效显著</w:t>
      </w:r>
      <w:r>
        <w:rPr>
          <w:rFonts w:hint="eastAsia" w:ascii="仿宋_GB2312" w:hAnsi="仿宋_GB2312" w:eastAsia="仿宋_GB2312" w:cs="仿宋_GB2312"/>
          <w:sz w:val="32"/>
          <w:szCs w:val="32"/>
        </w:rPr>
        <w:t>。</w:t>
      </w:r>
      <w:r>
        <w:rPr>
          <w:rFonts w:ascii="仿宋_GB2312" w:hAnsi="仿宋_GB2312" w:eastAsia="仿宋_GB2312" w:cs="仿宋_GB2312"/>
          <w:sz w:val="32"/>
          <w:szCs w:val="32"/>
        </w:rPr>
        <w:t>在第42届北京青少年科技创新大赛终评活动中，我区有14项中学生科技创新作品获得一等奖，位列全市三甲。在青少年创客国际交流展示活动中，我区7个学生项目获得一等奖，</w:t>
      </w:r>
      <w:r>
        <w:rPr>
          <w:rFonts w:hint="eastAsia" w:ascii="仿宋_GB2312" w:hAnsi="仿宋_GB2312" w:eastAsia="仿宋_GB2312" w:cs="仿宋_GB2312"/>
          <w:sz w:val="32"/>
          <w:szCs w:val="32"/>
        </w:rPr>
        <w:t>获奖数</w:t>
      </w:r>
      <w:r>
        <w:rPr>
          <w:rFonts w:hint="eastAsia" w:eastAsia="仿宋_GB2312"/>
          <w:sz w:val="32"/>
          <w:szCs w:val="32"/>
        </w:rPr>
        <w:t>量</w:t>
      </w:r>
      <w:r>
        <w:rPr>
          <w:rFonts w:eastAsia="仿宋_GB2312"/>
          <w:sz w:val="32"/>
          <w:szCs w:val="32"/>
        </w:rPr>
        <w:t>并列全市第一。同时我区师生获得</w:t>
      </w:r>
      <w:r>
        <w:rPr>
          <w:rFonts w:hint="eastAsia" w:eastAsia="仿宋_GB2312"/>
          <w:sz w:val="32"/>
          <w:szCs w:val="32"/>
        </w:rPr>
        <w:t>“</w:t>
      </w:r>
      <w:r>
        <w:rPr>
          <w:rFonts w:eastAsia="仿宋_GB2312"/>
          <w:sz w:val="32"/>
          <w:szCs w:val="32"/>
        </w:rPr>
        <w:t>北京交大思源科技创新专项奖</w:t>
      </w:r>
      <w:r>
        <w:rPr>
          <w:rFonts w:hint="eastAsia" w:eastAsia="仿宋_GB2312"/>
          <w:sz w:val="32"/>
          <w:szCs w:val="32"/>
        </w:rPr>
        <w:t>”</w:t>
      </w:r>
      <w:r>
        <w:rPr>
          <w:rFonts w:eastAsia="仿宋_GB2312"/>
          <w:sz w:val="32"/>
          <w:szCs w:val="32"/>
        </w:rPr>
        <w:t>等各类专项奖17项；岳蕾、孔令娟</w:t>
      </w:r>
      <w:r>
        <w:rPr>
          <w:rFonts w:hint="eastAsia" w:eastAsia="仿宋_GB2312"/>
          <w:sz w:val="32"/>
          <w:szCs w:val="32"/>
        </w:rPr>
        <w:t>2</w:t>
      </w:r>
      <w:r>
        <w:rPr>
          <w:rFonts w:eastAsia="仿宋_GB2312"/>
          <w:sz w:val="32"/>
          <w:szCs w:val="32"/>
        </w:rPr>
        <w:t>位老师获颁本届赛事十佳科技辅导员称号。在第37届全国青少年科技创新大赛上，我区八十中</w:t>
      </w:r>
      <w:r>
        <w:rPr>
          <w:rFonts w:hint="eastAsia" w:eastAsia="仿宋_GB2312"/>
          <w:sz w:val="32"/>
          <w:szCs w:val="32"/>
        </w:rPr>
        <w:t>学生</w:t>
      </w:r>
      <w:r>
        <w:rPr>
          <w:rFonts w:eastAsia="仿宋_GB2312"/>
          <w:sz w:val="32"/>
          <w:szCs w:val="32"/>
        </w:rPr>
        <w:t>高杰磊荣获本届大赛最高荣誉</w:t>
      </w:r>
      <w:r>
        <w:rPr>
          <w:rFonts w:hint="eastAsia" w:eastAsia="仿宋_GB2312"/>
          <w:sz w:val="32"/>
          <w:szCs w:val="32"/>
        </w:rPr>
        <w:t>“</w:t>
      </w:r>
      <w:r>
        <w:rPr>
          <w:rFonts w:eastAsia="仿宋_GB2312"/>
          <w:sz w:val="32"/>
          <w:szCs w:val="32"/>
        </w:rPr>
        <w:t>中国科协主席奖</w:t>
      </w:r>
      <w:r>
        <w:rPr>
          <w:rFonts w:hint="eastAsia" w:eastAsia="仿宋_GB2312"/>
          <w:sz w:val="32"/>
          <w:szCs w:val="32"/>
        </w:rPr>
        <w:t>”</w:t>
      </w:r>
      <w:r>
        <w:rPr>
          <w:rFonts w:eastAsia="仿宋_GB2312"/>
          <w:sz w:val="32"/>
          <w:szCs w:val="32"/>
        </w:rPr>
        <w:t>，是本届大赛中北京市唯一获此殊荣的学生。中国传媒大学附属小学在大赛中被评为</w:t>
      </w:r>
      <w:r>
        <w:rPr>
          <w:rFonts w:hint="eastAsia" w:eastAsia="仿宋_GB2312"/>
          <w:sz w:val="32"/>
          <w:szCs w:val="32"/>
        </w:rPr>
        <w:t>“</w:t>
      </w:r>
      <w:r>
        <w:rPr>
          <w:rFonts w:eastAsia="仿宋_GB2312"/>
          <w:sz w:val="32"/>
          <w:szCs w:val="32"/>
        </w:rPr>
        <w:t>十佳科技教育创新学校</w:t>
      </w:r>
      <w:r>
        <w:rPr>
          <w:rFonts w:hint="eastAsia" w:eastAsia="仿宋_GB2312"/>
          <w:sz w:val="32"/>
          <w:szCs w:val="32"/>
        </w:rPr>
        <w:t>”</w:t>
      </w:r>
      <w:r>
        <w:rPr>
          <w:rFonts w:eastAsia="仿宋_GB2312"/>
          <w:sz w:val="32"/>
          <w:szCs w:val="32"/>
        </w:rPr>
        <w:t>和</w:t>
      </w:r>
      <w:r>
        <w:rPr>
          <w:rFonts w:hint="eastAsia" w:eastAsia="仿宋_GB2312"/>
          <w:sz w:val="32"/>
          <w:szCs w:val="32"/>
        </w:rPr>
        <w:t>“</w:t>
      </w:r>
      <w:r>
        <w:rPr>
          <w:rFonts w:eastAsia="仿宋_GB2312"/>
          <w:sz w:val="32"/>
          <w:szCs w:val="32"/>
        </w:rPr>
        <w:t>创新之星</w:t>
      </w:r>
      <w:r>
        <w:rPr>
          <w:rFonts w:hint="eastAsia" w:eastAsia="仿宋_GB2312"/>
          <w:sz w:val="32"/>
          <w:szCs w:val="32"/>
        </w:rPr>
        <w:t>”</w:t>
      </w:r>
      <w:r>
        <w:rPr>
          <w:rFonts w:eastAsia="仿宋_GB2312"/>
          <w:sz w:val="32"/>
          <w:szCs w:val="32"/>
        </w:rPr>
        <w:t>学校。</w:t>
      </w:r>
    </w:p>
    <w:p>
      <w:pPr>
        <w:spacing w:line="540" w:lineRule="exact"/>
        <w:ind w:left="105" w:leftChars="50" w:firstLine="482" w:firstLineChars="150"/>
        <w:jc w:val="left"/>
        <w:rPr>
          <w:rFonts w:eastAsia="仿宋_GB2312"/>
          <w:b/>
          <w:color w:val="000000"/>
          <w:kern w:val="0"/>
          <w:sz w:val="32"/>
          <w:szCs w:val="32"/>
        </w:rPr>
      </w:pPr>
      <w:r>
        <w:rPr>
          <w:rFonts w:eastAsia="仿宋_GB2312"/>
          <w:b/>
          <w:color w:val="000000"/>
          <w:kern w:val="0"/>
          <w:sz w:val="32"/>
          <w:szCs w:val="32"/>
        </w:rPr>
        <w:t>3.产出进度</w:t>
      </w:r>
    </w:p>
    <w:p>
      <w:pPr>
        <w:spacing w:line="540" w:lineRule="exact"/>
        <w:ind w:left="105" w:leftChars="50" w:firstLine="480" w:firstLineChars="150"/>
        <w:jc w:val="left"/>
        <w:rPr>
          <w:rFonts w:eastAsia="仿宋_GB2312"/>
          <w:color w:val="000000"/>
          <w:kern w:val="0"/>
          <w:sz w:val="32"/>
          <w:szCs w:val="32"/>
        </w:rPr>
      </w:pPr>
      <w:r>
        <w:rPr>
          <w:rFonts w:hint="eastAsia" w:eastAsia="仿宋_GB2312"/>
          <w:sz w:val="32"/>
          <w:szCs w:val="32"/>
        </w:rPr>
        <w:t>所有</w:t>
      </w:r>
      <w:r>
        <w:rPr>
          <w:rFonts w:eastAsia="仿宋_GB2312"/>
          <w:sz w:val="32"/>
          <w:szCs w:val="32"/>
        </w:rPr>
        <w:t>项目在202</w:t>
      </w:r>
      <w:r>
        <w:rPr>
          <w:rFonts w:hint="eastAsia" w:eastAsia="仿宋_GB2312"/>
          <w:sz w:val="32"/>
          <w:szCs w:val="32"/>
        </w:rPr>
        <w:t>3</w:t>
      </w:r>
      <w:r>
        <w:rPr>
          <w:rFonts w:eastAsia="仿宋_GB2312"/>
          <w:sz w:val="32"/>
          <w:szCs w:val="32"/>
        </w:rPr>
        <w:t>年</w:t>
      </w:r>
      <w:r>
        <w:rPr>
          <w:rFonts w:hint="eastAsia" w:eastAsia="仿宋_GB2312"/>
          <w:sz w:val="32"/>
          <w:szCs w:val="32"/>
        </w:rPr>
        <w:t>内</w:t>
      </w:r>
      <w:r>
        <w:rPr>
          <w:rFonts w:eastAsia="仿宋_GB2312"/>
          <w:sz w:val="32"/>
          <w:szCs w:val="32"/>
        </w:rPr>
        <w:t>全部完成</w:t>
      </w:r>
      <w:r>
        <w:rPr>
          <w:rFonts w:hint="eastAsia" w:eastAsia="仿宋_GB2312"/>
          <w:sz w:val="32"/>
          <w:szCs w:val="32"/>
        </w:rPr>
        <w:t>，</w:t>
      </w:r>
      <w:r>
        <w:rPr>
          <w:rFonts w:eastAsia="仿宋_GB2312"/>
          <w:sz w:val="32"/>
          <w:szCs w:val="32"/>
        </w:rPr>
        <w:t>项目产出进度</w:t>
      </w:r>
      <w:r>
        <w:rPr>
          <w:rFonts w:hint="eastAsia" w:eastAsia="仿宋_GB2312"/>
          <w:sz w:val="32"/>
          <w:szCs w:val="32"/>
        </w:rPr>
        <w:t>良</w:t>
      </w:r>
      <w:r>
        <w:rPr>
          <w:rFonts w:eastAsia="仿宋_GB2312"/>
          <w:sz w:val="32"/>
          <w:szCs w:val="32"/>
        </w:rPr>
        <w:t>好。</w:t>
      </w:r>
    </w:p>
    <w:p>
      <w:pPr>
        <w:spacing w:line="540" w:lineRule="exact"/>
        <w:ind w:left="105" w:leftChars="50" w:firstLine="482" w:firstLineChars="150"/>
        <w:jc w:val="left"/>
        <w:rPr>
          <w:rFonts w:eastAsia="仿宋_GB2312"/>
          <w:b/>
          <w:color w:val="000000"/>
          <w:kern w:val="0"/>
          <w:sz w:val="32"/>
          <w:szCs w:val="32"/>
        </w:rPr>
      </w:pPr>
      <w:r>
        <w:rPr>
          <w:rFonts w:eastAsia="仿宋_GB2312"/>
          <w:b/>
          <w:color w:val="000000"/>
          <w:kern w:val="0"/>
          <w:sz w:val="32"/>
          <w:szCs w:val="32"/>
        </w:rPr>
        <w:t xml:space="preserve">4.产出成本 </w:t>
      </w:r>
    </w:p>
    <w:p>
      <w:pPr>
        <w:spacing w:line="600" w:lineRule="exact"/>
        <w:ind w:left="105" w:leftChars="50" w:firstLine="480" w:firstLineChars="150"/>
        <w:rPr>
          <w:rFonts w:eastAsia="仿宋_GB2312"/>
          <w:sz w:val="32"/>
          <w:szCs w:val="32"/>
        </w:rPr>
      </w:pPr>
      <w:r>
        <w:rPr>
          <w:rFonts w:eastAsia="仿宋_GB2312"/>
          <w:sz w:val="32"/>
          <w:szCs w:val="32"/>
        </w:rPr>
        <w:t>根据《中华人民共和国科学技术普及法》《北京市朝阳区科协系统深化改革实施方案》（京朝办字〔2019〕107号）</w:t>
      </w:r>
      <w:r>
        <w:rPr>
          <w:rFonts w:eastAsia="仿宋_GB2312"/>
          <w:color w:val="000000"/>
          <w:sz w:val="32"/>
          <w:szCs w:val="32"/>
        </w:rPr>
        <w:t>《北京市朝阳区全民科学素质行动规划纲要（2021-2035年）》</w:t>
      </w:r>
      <w:r>
        <w:rPr>
          <w:rFonts w:eastAsia="仿宋_GB2312"/>
          <w:sz w:val="32"/>
          <w:szCs w:val="32"/>
        </w:rPr>
        <w:t>等文件精神</w:t>
      </w:r>
      <w:r>
        <w:rPr>
          <w:rFonts w:hint="eastAsia" w:eastAsia="仿宋_GB2312"/>
          <w:sz w:val="32"/>
          <w:szCs w:val="32"/>
          <w:lang w:eastAsia="zh-CN"/>
        </w:rPr>
        <w:t>，</w:t>
      </w:r>
      <w:r>
        <w:rPr>
          <w:rFonts w:eastAsia="仿宋_GB2312"/>
          <w:sz w:val="32"/>
          <w:szCs w:val="32"/>
        </w:rPr>
        <w:t>进行了项目预算额度测算，并按照立项内容进行了具体实施。项目</w:t>
      </w:r>
      <w:r>
        <w:rPr>
          <w:rFonts w:hint="eastAsia" w:eastAsia="仿宋_GB2312"/>
          <w:sz w:val="32"/>
          <w:szCs w:val="32"/>
          <w:lang w:eastAsia="zh-CN"/>
        </w:rPr>
        <w:t>年内</w:t>
      </w:r>
      <w:r>
        <w:rPr>
          <w:rFonts w:eastAsia="仿宋_GB2312"/>
          <w:sz w:val="32"/>
          <w:szCs w:val="32"/>
        </w:rPr>
        <w:t>已</w:t>
      </w:r>
      <w:r>
        <w:rPr>
          <w:rFonts w:hint="eastAsia" w:eastAsia="仿宋_GB2312"/>
          <w:sz w:val="32"/>
          <w:szCs w:val="32"/>
        </w:rPr>
        <w:t>全部</w:t>
      </w:r>
      <w:r>
        <w:rPr>
          <w:rFonts w:eastAsia="仿宋_GB2312"/>
          <w:sz w:val="32"/>
          <w:szCs w:val="32"/>
        </w:rPr>
        <w:t>完成，并进行了结算审计工作。</w:t>
      </w:r>
      <w:r>
        <w:rPr>
          <w:rFonts w:hint="eastAsia" w:ascii="仿宋_GB2312" w:hAnsi="宋体" w:eastAsia="仿宋_GB2312" w:cs="宋体"/>
          <w:color w:val="000000"/>
          <w:kern w:val="0"/>
          <w:sz w:val="32"/>
          <w:szCs w:val="32"/>
        </w:rPr>
        <w:t>不存在无预算、超预算支出等情况。</w:t>
      </w:r>
    </w:p>
    <w:p>
      <w:pPr>
        <w:spacing w:line="540" w:lineRule="exact"/>
        <w:ind w:left="105" w:leftChars="50" w:firstLine="482" w:firstLineChars="150"/>
        <w:jc w:val="left"/>
        <w:rPr>
          <w:rFonts w:eastAsia="楷体_GB2312"/>
          <w:b/>
          <w:sz w:val="32"/>
          <w:szCs w:val="32"/>
        </w:rPr>
      </w:pPr>
      <w:r>
        <w:rPr>
          <w:rFonts w:eastAsia="楷体_GB2312"/>
          <w:b/>
          <w:sz w:val="32"/>
          <w:szCs w:val="32"/>
        </w:rPr>
        <w:t>（二）效果实现情况分析</w:t>
      </w:r>
    </w:p>
    <w:p>
      <w:pPr>
        <w:spacing w:line="540" w:lineRule="exact"/>
        <w:ind w:left="105" w:leftChars="50" w:firstLine="482" w:firstLineChars="150"/>
        <w:jc w:val="left"/>
        <w:rPr>
          <w:rFonts w:eastAsia="仿宋_GB2312"/>
          <w:b/>
          <w:color w:val="000000"/>
          <w:kern w:val="0"/>
          <w:sz w:val="32"/>
          <w:szCs w:val="32"/>
        </w:rPr>
      </w:pPr>
      <w:r>
        <w:rPr>
          <w:rFonts w:eastAsia="仿宋_GB2312"/>
          <w:b/>
          <w:color w:val="000000"/>
          <w:kern w:val="0"/>
          <w:sz w:val="32"/>
          <w:szCs w:val="32"/>
        </w:rPr>
        <w:t>1.经济效益</w:t>
      </w:r>
    </w:p>
    <w:p>
      <w:pPr>
        <w:spacing w:line="540" w:lineRule="exact"/>
        <w:ind w:left="105" w:leftChars="50" w:firstLine="480" w:firstLineChars="150"/>
        <w:jc w:val="left"/>
        <w:rPr>
          <w:rFonts w:eastAsia="仿宋_GB2312"/>
          <w:color w:val="000000"/>
          <w:kern w:val="0"/>
          <w:sz w:val="32"/>
          <w:szCs w:val="32"/>
        </w:rPr>
      </w:pPr>
      <w:r>
        <w:rPr>
          <w:rFonts w:eastAsia="仿宋_GB2312"/>
          <w:kern w:val="44"/>
          <w:sz w:val="32"/>
          <w:szCs w:val="44"/>
        </w:rPr>
        <w:t>通过项目的实施，提高朝阳区整体科学文化素养，激发科技工作者的创新热情，为科技工作者搭建</w:t>
      </w:r>
      <w:r>
        <w:rPr>
          <w:rFonts w:hint="eastAsia" w:eastAsia="仿宋_GB2312"/>
          <w:kern w:val="44"/>
          <w:sz w:val="32"/>
          <w:szCs w:val="44"/>
          <w:lang w:eastAsia="zh-CN"/>
        </w:rPr>
        <w:t>了</w:t>
      </w:r>
      <w:r>
        <w:rPr>
          <w:rFonts w:eastAsia="仿宋_GB2312"/>
          <w:kern w:val="44"/>
          <w:sz w:val="32"/>
          <w:szCs w:val="44"/>
        </w:rPr>
        <w:t>参与朝阳区创新发展建言献策的常态化平台。</w:t>
      </w:r>
    </w:p>
    <w:p>
      <w:pPr>
        <w:spacing w:line="540" w:lineRule="exact"/>
        <w:ind w:left="105" w:leftChars="50" w:firstLine="482" w:firstLineChars="150"/>
        <w:jc w:val="left"/>
        <w:rPr>
          <w:rFonts w:eastAsia="仿宋_GB2312"/>
          <w:b/>
          <w:color w:val="000000"/>
          <w:kern w:val="0"/>
          <w:sz w:val="32"/>
          <w:szCs w:val="32"/>
        </w:rPr>
      </w:pPr>
      <w:r>
        <w:rPr>
          <w:rFonts w:eastAsia="仿宋_GB2312"/>
          <w:b/>
          <w:color w:val="000000"/>
          <w:kern w:val="0"/>
          <w:sz w:val="32"/>
          <w:szCs w:val="32"/>
        </w:rPr>
        <w:t>2.社会效益</w:t>
      </w:r>
    </w:p>
    <w:p>
      <w:pPr>
        <w:adjustRightInd w:val="0"/>
        <w:snapToGrid w:val="0"/>
        <w:spacing w:line="540" w:lineRule="exact"/>
        <w:ind w:firstLine="640" w:firstLineChars="200"/>
        <w:jc w:val="left"/>
        <w:rPr>
          <w:rFonts w:eastAsia="仿宋_GB2312"/>
          <w:sz w:val="32"/>
          <w:szCs w:val="32"/>
        </w:rPr>
      </w:pPr>
      <w:r>
        <w:rPr>
          <w:rFonts w:eastAsia="仿宋_GB2312"/>
          <w:sz w:val="32"/>
          <w:szCs w:val="32"/>
        </w:rPr>
        <w:t>通过项目的实施，为</w:t>
      </w:r>
      <w:r>
        <w:rPr>
          <w:rFonts w:hint="eastAsia" w:eastAsia="仿宋_GB2312"/>
          <w:sz w:val="32"/>
          <w:szCs w:val="32"/>
        </w:rPr>
        <w:t>区域内广大人民群众和科技</w:t>
      </w:r>
      <w:r>
        <w:rPr>
          <w:rFonts w:eastAsia="仿宋_GB2312"/>
          <w:sz w:val="32"/>
          <w:szCs w:val="32"/>
        </w:rPr>
        <w:t>人才提供</w:t>
      </w:r>
      <w:r>
        <w:rPr>
          <w:rFonts w:hint="eastAsia" w:eastAsia="仿宋_GB2312"/>
          <w:sz w:val="32"/>
          <w:szCs w:val="32"/>
        </w:rPr>
        <w:t>了丰富的</w:t>
      </w:r>
      <w:r>
        <w:rPr>
          <w:rFonts w:eastAsia="仿宋_GB2312"/>
          <w:sz w:val="32"/>
          <w:szCs w:val="32"/>
        </w:rPr>
        <w:t>学习交流机会</w:t>
      </w:r>
      <w:r>
        <w:rPr>
          <w:rFonts w:hint="eastAsia" w:eastAsia="仿宋_GB2312"/>
          <w:sz w:val="32"/>
          <w:szCs w:val="32"/>
        </w:rPr>
        <w:t>，使科学知识、科学精神、科学思想、科学方法得到了广泛传播普及，</w:t>
      </w:r>
      <w:r>
        <w:rPr>
          <w:rFonts w:eastAsia="仿宋_GB2312"/>
          <w:sz w:val="32"/>
          <w:szCs w:val="32"/>
        </w:rPr>
        <w:t>有效</w:t>
      </w:r>
      <w:r>
        <w:rPr>
          <w:rFonts w:hint="eastAsia" w:eastAsia="仿宋_GB2312"/>
          <w:sz w:val="32"/>
          <w:szCs w:val="32"/>
        </w:rPr>
        <w:t>提升了朝阳区公民科学素质，</w:t>
      </w:r>
      <w:r>
        <w:rPr>
          <w:rFonts w:eastAsia="仿宋_GB2312"/>
          <w:sz w:val="32"/>
          <w:szCs w:val="32"/>
        </w:rPr>
        <w:t>推动</w:t>
      </w:r>
      <w:r>
        <w:rPr>
          <w:rFonts w:hint="eastAsia" w:eastAsia="仿宋_GB2312"/>
          <w:sz w:val="32"/>
          <w:szCs w:val="32"/>
        </w:rPr>
        <w:t>了区域经济社会发展，</w:t>
      </w:r>
      <w:r>
        <w:rPr>
          <w:rFonts w:eastAsia="仿宋_GB2312"/>
          <w:sz w:val="32"/>
          <w:szCs w:val="32"/>
        </w:rPr>
        <w:t>具有良好的社会效益。</w:t>
      </w:r>
    </w:p>
    <w:p>
      <w:pPr>
        <w:spacing w:line="540" w:lineRule="exact"/>
        <w:ind w:left="105" w:leftChars="50" w:firstLine="482" w:firstLineChars="150"/>
        <w:jc w:val="left"/>
        <w:rPr>
          <w:rFonts w:eastAsia="仿宋_GB2312"/>
          <w:b/>
          <w:color w:val="000000"/>
          <w:kern w:val="0"/>
          <w:sz w:val="32"/>
          <w:szCs w:val="32"/>
        </w:rPr>
      </w:pPr>
      <w:r>
        <w:rPr>
          <w:rFonts w:eastAsia="仿宋_GB2312"/>
          <w:b/>
          <w:color w:val="000000"/>
          <w:kern w:val="0"/>
          <w:sz w:val="32"/>
          <w:szCs w:val="32"/>
        </w:rPr>
        <w:t>3.环境效益</w:t>
      </w:r>
    </w:p>
    <w:p>
      <w:pPr>
        <w:adjustRightInd w:val="0"/>
        <w:snapToGrid w:val="0"/>
        <w:spacing w:line="540" w:lineRule="exact"/>
        <w:ind w:firstLine="640" w:firstLineChars="200"/>
        <w:jc w:val="left"/>
        <w:rPr>
          <w:rFonts w:eastAsia="仿宋_GB2312"/>
          <w:sz w:val="32"/>
          <w:szCs w:val="32"/>
        </w:rPr>
      </w:pPr>
      <w:r>
        <w:rPr>
          <w:rFonts w:eastAsia="仿宋_GB2312"/>
          <w:kern w:val="44"/>
          <w:sz w:val="32"/>
          <w:szCs w:val="44"/>
        </w:rPr>
        <w:t>利用科协系统院士专家资源优势以及各类专家资源优势，以解决实际问题和发展布局为核心，围绕区委区政府的重点难点工作，围绕老百姓关心和迫切解决的热点难点问题，围绕朝阳区各级各界代表委员关注的焦点问题，提供科学参考、咨询服务</w:t>
      </w:r>
      <w:r>
        <w:rPr>
          <w:rFonts w:hint="eastAsia" w:eastAsia="仿宋_GB2312"/>
          <w:kern w:val="44"/>
          <w:sz w:val="32"/>
          <w:szCs w:val="44"/>
        </w:rPr>
        <w:t>，为朝阳区生态环境保护和各项事业发展提供强大科技力量</w:t>
      </w:r>
      <w:r>
        <w:rPr>
          <w:rFonts w:eastAsia="仿宋_GB2312"/>
          <w:kern w:val="44"/>
          <w:sz w:val="32"/>
          <w:szCs w:val="44"/>
        </w:rPr>
        <w:t>。</w:t>
      </w:r>
    </w:p>
    <w:p>
      <w:pPr>
        <w:spacing w:line="540" w:lineRule="exact"/>
        <w:ind w:left="105" w:leftChars="50" w:firstLine="482" w:firstLineChars="150"/>
        <w:jc w:val="left"/>
        <w:rPr>
          <w:rFonts w:eastAsia="仿宋_GB2312"/>
          <w:b/>
          <w:color w:val="000000"/>
          <w:kern w:val="0"/>
          <w:sz w:val="32"/>
          <w:szCs w:val="32"/>
        </w:rPr>
      </w:pPr>
      <w:r>
        <w:rPr>
          <w:rFonts w:eastAsia="仿宋_GB2312"/>
          <w:b/>
          <w:color w:val="000000"/>
          <w:kern w:val="0"/>
          <w:sz w:val="32"/>
          <w:szCs w:val="32"/>
        </w:rPr>
        <w:t>4.可持续性影响</w:t>
      </w:r>
    </w:p>
    <w:p>
      <w:pPr>
        <w:spacing w:line="540" w:lineRule="exact"/>
        <w:ind w:left="105" w:leftChars="50" w:firstLine="480" w:firstLineChars="150"/>
        <w:jc w:val="left"/>
        <w:rPr>
          <w:rFonts w:eastAsia="仿宋_GB2312"/>
          <w:color w:val="000000"/>
          <w:kern w:val="0"/>
          <w:sz w:val="32"/>
          <w:szCs w:val="32"/>
        </w:rPr>
      </w:pPr>
      <w:r>
        <w:rPr>
          <w:rFonts w:eastAsia="仿宋_GB2312"/>
          <w:sz w:val="32"/>
          <w:szCs w:val="32"/>
        </w:rPr>
        <w:t>以政策为导向，激发科技工作者的创新动力，科普宣传惠及广大人民群众，为党和政府科学决策发挥应有作用。</w:t>
      </w:r>
    </w:p>
    <w:p>
      <w:pPr>
        <w:spacing w:line="540" w:lineRule="exact"/>
        <w:ind w:left="105" w:leftChars="50" w:firstLine="482" w:firstLineChars="150"/>
        <w:jc w:val="left"/>
        <w:rPr>
          <w:rFonts w:eastAsia="仿宋_GB2312"/>
          <w:b/>
          <w:color w:val="000000"/>
          <w:kern w:val="0"/>
          <w:sz w:val="32"/>
          <w:szCs w:val="32"/>
        </w:rPr>
      </w:pPr>
      <w:r>
        <w:rPr>
          <w:rFonts w:eastAsia="仿宋_GB2312"/>
          <w:b/>
          <w:color w:val="000000"/>
          <w:kern w:val="0"/>
          <w:sz w:val="32"/>
          <w:szCs w:val="32"/>
        </w:rPr>
        <w:t>5.服务对象满意度</w:t>
      </w:r>
    </w:p>
    <w:p>
      <w:pPr>
        <w:adjustRightInd w:val="0"/>
        <w:snapToGrid w:val="0"/>
        <w:spacing w:line="540" w:lineRule="exact"/>
        <w:ind w:firstLine="640" w:firstLineChars="200"/>
        <w:jc w:val="left"/>
        <w:rPr>
          <w:rFonts w:eastAsia="仿宋_GB2312"/>
          <w:sz w:val="32"/>
          <w:szCs w:val="32"/>
        </w:rPr>
      </w:pPr>
      <w:bookmarkStart w:id="0" w:name="_Hlk63833358"/>
      <w:r>
        <w:rPr>
          <w:rFonts w:eastAsia="仿宋_GB2312"/>
          <w:sz w:val="32"/>
          <w:szCs w:val="32"/>
        </w:rPr>
        <w:t>本部门的主要服务对象为朝阳区的辖区居民及在朝阳工作的科技工作者，通过开展一系列活动，不论是社区居民还是科技工作者</w:t>
      </w:r>
      <w:r>
        <w:rPr>
          <w:rFonts w:hint="eastAsia" w:eastAsia="仿宋_GB2312"/>
          <w:sz w:val="32"/>
          <w:szCs w:val="32"/>
        </w:rPr>
        <w:t>，</w:t>
      </w:r>
      <w:r>
        <w:rPr>
          <w:rFonts w:eastAsia="仿宋_GB2312"/>
          <w:sz w:val="32"/>
          <w:szCs w:val="32"/>
        </w:rPr>
        <w:t>都</w:t>
      </w:r>
      <w:r>
        <w:rPr>
          <w:rFonts w:hint="eastAsia" w:eastAsia="仿宋_GB2312"/>
          <w:sz w:val="32"/>
          <w:szCs w:val="32"/>
          <w:lang w:eastAsia="zh-CN"/>
        </w:rPr>
        <w:t>比较</w:t>
      </w:r>
      <w:r>
        <w:rPr>
          <w:rFonts w:eastAsia="仿宋_GB2312"/>
          <w:sz w:val="32"/>
          <w:szCs w:val="32"/>
        </w:rPr>
        <w:t>认可部门的相关</w:t>
      </w:r>
      <w:r>
        <w:rPr>
          <w:rFonts w:hint="eastAsia" w:eastAsia="仿宋_GB2312"/>
          <w:sz w:val="32"/>
          <w:szCs w:val="32"/>
        </w:rPr>
        <w:t>工作和</w:t>
      </w:r>
      <w:r>
        <w:rPr>
          <w:rFonts w:eastAsia="仿宋_GB2312"/>
          <w:sz w:val="32"/>
          <w:szCs w:val="32"/>
        </w:rPr>
        <w:t>服务。</w:t>
      </w:r>
      <w:bookmarkEnd w:id="0"/>
    </w:p>
    <w:p>
      <w:pPr>
        <w:spacing w:line="540" w:lineRule="exact"/>
        <w:ind w:left="105" w:leftChars="50" w:firstLine="480" w:firstLineChars="150"/>
        <w:jc w:val="left"/>
        <w:rPr>
          <w:rFonts w:eastAsia="黑体"/>
          <w:color w:val="000000"/>
          <w:kern w:val="0"/>
          <w:sz w:val="32"/>
          <w:szCs w:val="32"/>
        </w:rPr>
      </w:pPr>
      <w:r>
        <w:rPr>
          <w:rFonts w:eastAsia="黑体"/>
          <w:color w:val="000000"/>
          <w:kern w:val="0"/>
          <w:sz w:val="32"/>
          <w:szCs w:val="32"/>
        </w:rPr>
        <w:t>四、预算管理情况分析</w:t>
      </w:r>
    </w:p>
    <w:p>
      <w:pPr>
        <w:spacing w:line="540" w:lineRule="exact"/>
        <w:ind w:left="105" w:leftChars="50" w:firstLine="482" w:firstLineChars="150"/>
        <w:jc w:val="left"/>
        <w:rPr>
          <w:rFonts w:eastAsia="楷体_GB2312"/>
          <w:b/>
          <w:sz w:val="32"/>
          <w:szCs w:val="32"/>
        </w:rPr>
      </w:pPr>
      <w:r>
        <w:rPr>
          <w:rFonts w:eastAsia="楷体_GB2312"/>
          <w:b/>
          <w:sz w:val="32"/>
          <w:szCs w:val="32"/>
        </w:rPr>
        <w:t>（一）财务管理</w:t>
      </w:r>
    </w:p>
    <w:p>
      <w:pPr>
        <w:spacing w:line="540" w:lineRule="exact"/>
        <w:ind w:left="105" w:leftChars="50" w:firstLine="482" w:firstLineChars="150"/>
        <w:jc w:val="left"/>
        <w:rPr>
          <w:rFonts w:eastAsia="仿宋_GB2312"/>
          <w:b/>
          <w:color w:val="000000"/>
          <w:kern w:val="0"/>
          <w:sz w:val="32"/>
          <w:szCs w:val="32"/>
        </w:rPr>
      </w:pPr>
      <w:r>
        <w:rPr>
          <w:rFonts w:eastAsia="仿宋_GB2312"/>
          <w:b/>
          <w:color w:val="000000"/>
          <w:kern w:val="0"/>
          <w:sz w:val="32"/>
          <w:szCs w:val="32"/>
        </w:rPr>
        <w:t>1.财务管理制度健全性</w:t>
      </w:r>
    </w:p>
    <w:p>
      <w:pPr>
        <w:spacing w:line="540" w:lineRule="exact"/>
        <w:ind w:left="105" w:leftChars="50" w:firstLine="480" w:firstLineChars="150"/>
        <w:jc w:val="left"/>
        <w:rPr>
          <w:rFonts w:eastAsia="仿宋_GB2312"/>
          <w:color w:val="000000"/>
          <w:kern w:val="0"/>
          <w:sz w:val="32"/>
          <w:szCs w:val="32"/>
        </w:rPr>
      </w:pPr>
      <w:r>
        <w:rPr>
          <w:rFonts w:hint="eastAsia" w:eastAsia="仿宋_GB2312"/>
          <w:color w:val="000000"/>
          <w:kern w:val="0"/>
          <w:sz w:val="32"/>
          <w:szCs w:val="32"/>
        </w:rPr>
        <w:t>一是健全完善财务管理制度，规范财务管理，充分发挥财务管理的监督核算作用；二是加强经费管理制度、财务人员岗位职责等综合性的管理制度；三是严格预算开支，建立财务管理的内部控制制度。</w:t>
      </w:r>
    </w:p>
    <w:p>
      <w:pPr>
        <w:spacing w:line="540" w:lineRule="exact"/>
        <w:ind w:left="105" w:leftChars="50" w:firstLine="482" w:firstLineChars="150"/>
        <w:jc w:val="left"/>
        <w:rPr>
          <w:rFonts w:eastAsia="仿宋_GB2312"/>
          <w:b/>
          <w:color w:val="000000"/>
          <w:kern w:val="0"/>
          <w:sz w:val="32"/>
          <w:szCs w:val="32"/>
        </w:rPr>
      </w:pPr>
      <w:r>
        <w:rPr>
          <w:rFonts w:eastAsia="仿宋_GB2312"/>
          <w:b/>
          <w:color w:val="000000"/>
          <w:kern w:val="0"/>
          <w:sz w:val="32"/>
          <w:szCs w:val="32"/>
        </w:rPr>
        <w:t>2.资金使用合规性和安全性</w:t>
      </w:r>
    </w:p>
    <w:p>
      <w:pPr>
        <w:spacing w:line="540" w:lineRule="exact"/>
        <w:ind w:left="105" w:leftChars="50" w:firstLine="480" w:firstLineChars="150"/>
        <w:jc w:val="left"/>
        <w:rPr>
          <w:rFonts w:eastAsia="仿宋_GB2312"/>
          <w:color w:val="000000"/>
          <w:kern w:val="0"/>
          <w:sz w:val="32"/>
          <w:szCs w:val="32"/>
        </w:rPr>
      </w:pPr>
      <w:r>
        <w:rPr>
          <w:rFonts w:hint="eastAsia" w:eastAsia="仿宋_GB2312"/>
          <w:color w:val="000000"/>
          <w:kern w:val="0"/>
          <w:sz w:val="32"/>
          <w:szCs w:val="32"/>
        </w:rPr>
        <w:t>一是加强行政机关及下属事业单位财政专项资金效率、效益性审查。重点检查项目财政专项结余资金的形成原因，将该类存量资金纳入财政预算统筹管理，以提高财政资金的使用效率。</w:t>
      </w:r>
    </w:p>
    <w:p>
      <w:pPr>
        <w:spacing w:line="540" w:lineRule="exact"/>
        <w:ind w:left="105" w:leftChars="50" w:firstLine="480" w:firstLineChars="150"/>
        <w:jc w:val="left"/>
        <w:rPr>
          <w:rFonts w:eastAsia="仿宋_GB2312"/>
          <w:color w:val="000000"/>
          <w:kern w:val="0"/>
          <w:sz w:val="32"/>
          <w:szCs w:val="32"/>
        </w:rPr>
      </w:pPr>
      <w:r>
        <w:rPr>
          <w:rFonts w:hint="eastAsia" w:eastAsia="仿宋_GB2312"/>
          <w:color w:val="000000"/>
          <w:kern w:val="0"/>
          <w:sz w:val="32"/>
          <w:szCs w:val="32"/>
        </w:rPr>
        <w:t>二是加强行政机关及下属事业单位财政专项资金使用的合规性审查。依据项目专项资金使用规定，重点检查有无挤占挪用、扩大开支范围等问题，对违规情况，及时提出整改要求。</w:t>
      </w:r>
    </w:p>
    <w:p>
      <w:pPr>
        <w:spacing w:line="540" w:lineRule="exact"/>
        <w:ind w:left="105" w:leftChars="50" w:firstLine="480" w:firstLineChars="150"/>
        <w:jc w:val="left"/>
        <w:rPr>
          <w:rFonts w:eastAsia="仿宋_GB2312"/>
          <w:color w:val="000000"/>
          <w:kern w:val="0"/>
          <w:sz w:val="32"/>
          <w:szCs w:val="32"/>
        </w:rPr>
      </w:pPr>
      <w:r>
        <w:rPr>
          <w:rFonts w:hint="eastAsia" w:eastAsia="仿宋_GB2312"/>
          <w:color w:val="000000"/>
          <w:kern w:val="0"/>
          <w:sz w:val="32"/>
          <w:szCs w:val="32"/>
        </w:rPr>
        <w:t>三是加强行政机关及下属事业单位财政专项资金的安全性审查。重点检查有无建立健全相关内部管理和内部控制制度，督促制度规范强化管理，以确保财政资金安全完整。</w:t>
      </w:r>
    </w:p>
    <w:p>
      <w:pPr>
        <w:spacing w:line="540" w:lineRule="exact"/>
        <w:ind w:left="105" w:leftChars="50" w:firstLine="482" w:firstLineChars="150"/>
        <w:jc w:val="left"/>
        <w:rPr>
          <w:rFonts w:eastAsia="仿宋_GB2312"/>
          <w:b/>
          <w:color w:val="000000"/>
          <w:kern w:val="0"/>
          <w:sz w:val="32"/>
          <w:szCs w:val="32"/>
        </w:rPr>
      </w:pPr>
      <w:r>
        <w:rPr>
          <w:rFonts w:eastAsia="仿宋_GB2312"/>
          <w:b/>
          <w:color w:val="000000"/>
          <w:kern w:val="0"/>
          <w:sz w:val="32"/>
          <w:szCs w:val="32"/>
        </w:rPr>
        <w:t>3.会计基础信息完善性</w:t>
      </w:r>
    </w:p>
    <w:p>
      <w:pPr>
        <w:spacing w:line="540" w:lineRule="exact"/>
        <w:ind w:left="105" w:leftChars="50" w:firstLine="480" w:firstLineChars="150"/>
        <w:jc w:val="left"/>
        <w:rPr>
          <w:rFonts w:eastAsia="仿宋_GB2312"/>
          <w:color w:val="000000"/>
          <w:kern w:val="0"/>
          <w:sz w:val="32"/>
          <w:szCs w:val="32"/>
        </w:rPr>
      </w:pPr>
      <w:r>
        <w:rPr>
          <w:rFonts w:hint="eastAsia" w:eastAsia="仿宋_GB2312"/>
          <w:color w:val="000000"/>
          <w:kern w:val="0"/>
          <w:sz w:val="32"/>
          <w:szCs w:val="32"/>
        </w:rPr>
        <w:t>一是加强会计基础工作，确保会计信息真实；二是加强内部控制制度，提高会计信息质量；三是加强会计凭证的审核与监督，从源头上保证会计信息的真实。</w:t>
      </w:r>
    </w:p>
    <w:p>
      <w:pPr>
        <w:spacing w:line="540" w:lineRule="exact"/>
        <w:ind w:left="105" w:leftChars="50" w:firstLine="482" w:firstLineChars="150"/>
        <w:jc w:val="left"/>
        <w:rPr>
          <w:rFonts w:eastAsia="楷体_GB2312"/>
          <w:b/>
          <w:sz w:val="32"/>
          <w:szCs w:val="32"/>
        </w:rPr>
      </w:pPr>
      <w:r>
        <w:rPr>
          <w:rFonts w:eastAsia="楷体_GB2312"/>
          <w:b/>
          <w:sz w:val="32"/>
          <w:szCs w:val="32"/>
        </w:rPr>
        <w:t>（二）资产管理</w:t>
      </w:r>
    </w:p>
    <w:p>
      <w:pPr>
        <w:spacing w:line="540" w:lineRule="exact"/>
        <w:ind w:left="105" w:leftChars="50" w:firstLine="480" w:firstLineChars="150"/>
        <w:jc w:val="left"/>
        <w:rPr>
          <w:rFonts w:ascii="仿宋_GB2312" w:eastAsia="仿宋_GB2312"/>
          <w:sz w:val="32"/>
          <w:szCs w:val="32"/>
        </w:rPr>
      </w:pPr>
      <w:r>
        <w:rPr>
          <w:rFonts w:hint="eastAsia" w:ascii="仿宋_GB2312" w:eastAsia="仿宋_GB2312"/>
          <w:color w:val="000000"/>
          <w:sz w:val="32"/>
          <w:szCs w:val="32"/>
        </w:rPr>
        <w:t>根据《行政事业性国有资产管理条例》（国务院令第738号）文件，结合</w:t>
      </w:r>
      <w:r>
        <w:rPr>
          <w:rFonts w:ascii="仿宋_GB2312" w:eastAsia="仿宋_GB2312"/>
          <w:color w:val="000000"/>
          <w:sz w:val="32"/>
          <w:szCs w:val="32"/>
        </w:rPr>
        <w:t>《财政部关于进一步加强和改进行政事业单位国有资产管理工作的通知》</w:t>
      </w:r>
      <w:r>
        <w:rPr>
          <w:rFonts w:hint="eastAsia" w:ascii="仿宋_GB2312" w:eastAsia="仿宋_GB2312"/>
          <w:color w:val="000000"/>
          <w:sz w:val="32"/>
          <w:szCs w:val="32"/>
        </w:rPr>
        <w:t>《行政事业单位国有资产报告制度》等有关规定，对本部门资产占有、使用、变动</w:t>
      </w:r>
      <w:r>
        <w:rPr>
          <w:rFonts w:hint="eastAsia" w:ascii="仿宋_GB2312" w:eastAsia="仿宋_GB2312"/>
          <w:sz w:val="32"/>
          <w:szCs w:val="32"/>
        </w:rPr>
        <w:t>进行管理。</w:t>
      </w:r>
    </w:p>
    <w:p>
      <w:pPr>
        <w:spacing w:line="540" w:lineRule="exact"/>
        <w:ind w:left="105" w:leftChars="50" w:firstLine="482" w:firstLineChars="150"/>
        <w:jc w:val="left"/>
        <w:rPr>
          <w:rFonts w:eastAsia="楷体_GB2312"/>
          <w:b/>
          <w:sz w:val="32"/>
          <w:szCs w:val="32"/>
        </w:rPr>
      </w:pPr>
      <w:r>
        <w:rPr>
          <w:rFonts w:eastAsia="楷体_GB2312"/>
          <w:b/>
          <w:sz w:val="32"/>
          <w:szCs w:val="32"/>
        </w:rPr>
        <w:t>（三）绩效管理</w:t>
      </w:r>
    </w:p>
    <w:p>
      <w:pPr>
        <w:spacing w:line="540" w:lineRule="exact"/>
        <w:ind w:left="105" w:leftChars="50" w:firstLine="480" w:firstLineChars="150"/>
        <w:jc w:val="left"/>
        <w:rPr>
          <w:rFonts w:ascii="仿宋_GB2312" w:eastAsia="仿宋_GB2312"/>
          <w:color w:val="000000"/>
          <w:sz w:val="32"/>
          <w:szCs w:val="32"/>
        </w:rPr>
      </w:pPr>
      <w:r>
        <w:rPr>
          <w:rFonts w:hint="eastAsia" w:ascii="仿宋_GB2312" w:eastAsia="仿宋_GB2312"/>
          <w:color w:val="000000"/>
          <w:sz w:val="32"/>
          <w:szCs w:val="32"/>
        </w:rPr>
        <w:t>一是树立预算绩效管理理念，落实全过程预算绩效管理改革工作要求；二是加强绩效管理宣传和培训</w:t>
      </w:r>
      <w:r>
        <w:rPr>
          <w:rFonts w:hint="eastAsia" w:ascii="仿宋_GB2312" w:eastAsia="仿宋_GB2312"/>
          <w:color w:val="000000"/>
          <w:sz w:val="32"/>
          <w:szCs w:val="32"/>
          <w:lang w:eastAsia="zh-CN"/>
        </w:rPr>
        <w:t>，全面提升项目实施人员绩效意识，推进项目绩效全过程管理</w:t>
      </w:r>
      <w:r>
        <w:rPr>
          <w:rFonts w:hint="eastAsia" w:ascii="仿宋_GB2312" w:eastAsia="仿宋_GB2312"/>
          <w:color w:val="000000"/>
          <w:sz w:val="32"/>
          <w:szCs w:val="32"/>
        </w:rPr>
        <w:t>；三是完善绩效管理工作考核，促进预算绩效管理工作开展。</w:t>
      </w:r>
    </w:p>
    <w:p>
      <w:pPr>
        <w:spacing w:line="540" w:lineRule="exact"/>
        <w:ind w:left="105" w:leftChars="50" w:firstLine="482" w:firstLineChars="150"/>
        <w:jc w:val="left"/>
        <w:rPr>
          <w:rFonts w:eastAsia="楷体_GB2312"/>
          <w:b/>
          <w:sz w:val="32"/>
          <w:szCs w:val="32"/>
        </w:rPr>
      </w:pPr>
      <w:r>
        <w:rPr>
          <w:rFonts w:eastAsia="楷体_GB2312"/>
          <w:b/>
          <w:sz w:val="32"/>
          <w:szCs w:val="32"/>
        </w:rPr>
        <w:t>（四）结转结余率</w:t>
      </w:r>
    </w:p>
    <w:p>
      <w:pPr>
        <w:spacing w:line="540" w:lineRule="exact"/>
        <w:ind w:left="105" w:leftChars="50" w:firstLine="480" w:firstLineChars="150"/>
        <w:jc w:val="left"/>
        <w:rPr>
          <w:rFonts w:eastAsia="仿宋_GB2312"/>
          <w:sz w:val="32"/>
          <w:szCs w:val="32"/>
        </w:rPr>
      </w:pPr>
      <w:r>
        <w:rPr>
          <w:rFonts w:eastAsia="仿宋_GB2312"/>
          <w:sz w:val="32"/>
          <w:szCs w:val="32"/>
        </w:rPr>
        <w:t>本部门资金来源有两个方向，一是区级财政拨款的经费，二是市级财政的专项资金</w:t>
      </w:r>
      <w:r>
        <w:rPr>
          <w:rFonts w:hint="eastAsia" w:eastAsia="仿宋_GB2312"/>
          <w:sz w:val="32"/>
          <w:szCs w:val="32"/>
          <w:lang w:eastAsia="zh-CN"/>
        </w:rPr>
        <w:t>。</w:t>
      </w:r>
      <w:r>
        <w:rPr>
          <w:rFonts w:eastAsia="仿宋_GB2312"/>
          <w:sz w:val="32"/>
          <w:szCs w:val="32"/>
        </w:rPr>
        <w:t>202</w:t>
      </w:r>
      <w:r>
        <w:rPr>
          <w:rFonts w:hint="eastAsia" w:eastAsia="仿宋_GB2312"/>
          <w:sz w:val="32"/>
          <w:szCs w:val="32"/>
        </w:rPr>
        <w:t>3</w:t>
      </w:r>
      <w:r>
        <w:rPr>
          <w:rFonts w:eastAsia="仿宋_GB2312"/>
          <w:sz w:val="32"/>
          <w:szCs w:val="32"/>
        </w:rPr>
        <w:t>年度区级财政资金</w:t>
      </w:r>
      <w:r>
        <w:rPr>
          <w:rFonts w:hint="eastAsia" w:eastAsia="仿宋_GB2312"/>
          <w:sz w:val="32"/>
          <w:szCs w:val="32"/>
          <w:lang w:eastAsia="zh-CN"/>
        </w:rPr>
        <w:t>不再</w:t>
      </w:r>
      <w:r>
        <w:rPr>
          <w:rFonts w:eastAsia="仿宋_GB2312"/>
          <w:sz w:val="32"/>
          <w:szCs w:val="32"/>
        </w:rPr>
        <w:t>结转</w:t>
      </w:r>
      <w:r>
        <w:rPr>
          <w:rFonts w:hint="eastAsia" w:eastAsia="仿宋_GB2312"/>
          <w:sz w:val="32"/>
          <w:szCs w:val="32"/>
          <w:lang w:eastAsia="zh-CN"/>
        </w:rPr>
        <w:t>，</w:t>
      </w:r>
      <w:r>
        <w:rPr>
          <w:rFonts w:eastAsia="仿宋_GB2312"/>
          <w:sz w:val="32"/>
          <w:szCs w:val="32"/>
        </w:rPr>
        <w:t>结余资金为实有资金账户收到的市级财政专项款，结转到202</w:t>
      </w:r>
      <w:r>
        <w:rPr>
          <w:rFonts w:hint="eastAsia" w:eastAsia="仿宋_GB2312"/>
          <w:sz w:val="32"/>
          <w:szCs w:val="32"/>
        </w:rPr>
        <w:t>4</w:t>
      </w:r>
      <w:r>
        <w:rPr>
          <w:rFonts w:eastAsia="仿宋_GB2312"/>
          <w:sz w:val="32"/>
          <w:szCs w:val="32"/>
        </w:rPr>
        <w:t>年使用，结转资金</w:t>
      </w:r>
      <w:r>
        <w:rPr>
          <w:rFonts w:hint="eastAsia" w:eastAsia="仿宋_GB2312"/>
          <w:sz w:val="32"/>
          <w:szCs w:val="32"/>
          <w:lang w:eastAsia="zh-CN"/>
        </w:rPr>
        <w:t>金额</w:t>
      </w:r>
      <w:r>
        <w:rPr>
          <w:rFonts w:eastAsia="仿宋_GB2312"/>
          <w:sz w:val="32"/>
          <w:szCs w:val="32"/>
        </w:rPr>
        <w:t>为</w:t>
      </w:r>
      <w:r>
        <w:rPr>
          <w:rFonts w:hint="eastAsia" w:eastAsia="仿宋_GB2312"/>
          <w:sz w:val="32"/>
          <w:szCs w:val="32"/>
        </w:rPr>
        <w:t>20137.21</w:t>
      </w:r>
      <w:r>
        <w:rPr>
          <w:rFonts w:eastAsia="仿宋_GB2312"/>
          <w:sz w:val="32"/>
          <w:szCs w:val="32"/>
        </w:rPr>
        <w:t>元。202</w:t>
      </w:r>
      <w:r>
        <w:rPr>
          <w:rFonts w:hint="eastAsia" w:eastAsia="仿宋_GB2312"/>
          <w:sz w:val="32"/>
          <w:szCs w:val="32"/>
        </w:rPr>
        <w:t>2</w:t>
      </w:r>
      <w:r>
        <w:rPr>
          <w:rFonts w:eastAsia="仿宋_GB2312"/>
          <w:sz w:val="32"/>
          <w:szCs w:val="32"/>
        </w:rPr>
        <w:t>年</w:t>
      </w:r>
      <w:r>
        <w:rPr>
          <w:rFonts w:hint="eastAsia" w:eastAsia="仿宋_GB2312"/>
          <w:sz w:val="32"/>
          <w:szCs w:val="32"/>
          <w:lang w:eastAsia="zh-CN"/>
        </w:rPr>
        <w:t>的</w:t>
      </w:r>
      <w:r>
        <w:rPr>
          <w:rFonts w:eastAsia="仿宋_GB2312"/>
          <w:sz w:val="32"/>
          <w:szCs w:val="32"/>
        </w:rPr>
        <w:t>结转资金已经全部使用完毕，结转结余率100%。</w:t>
      </w:r>
    </w:p>
    <w:p>
      <w:pPr>
        <w:spacing w:line="540" w:lineRule="exact"/>
        <w:ind w:left="105" w:leftChars="50" w:firstLine="482" w:firstLineChars="150"/>
        <w:jc w:val="left"/>
        <w:rPr>
          <w:rFonts w:eastAsia="楷体_GB2312"/>
          <w:b/>
          <w:sz w:val="32"/>
          <w:szCs w:val="32"/>
        </w:rPr>
      </w:pPr>
      <w:r>
        <w:rPr>
          <w:rFonts w:eastAsia="楷体_GB2312"/>
          <w:b/>
          <w:sz w:val="32"/>
          <w:szCs w:val="32"/>
        </w:rPr>
        <w:t>（五）部门预决算差异率</w:t>
      </w:r>
    </w:p>
    <w:p>
      <w:pPr>
        <w:spacing w:line="540" w:lineRule="exact"/>
        <w:ind w:left="105" w:leftChars="50" w:firstLine="480" w:firstLineChars="150"/>
        <w:jc w:val="left"/>
        <w:rPr>
          <w:rFonts w:eastAsia="仿宋_GB2312"/>
          <w:sz w:val="32"/>
          <w:szCs w:val="32"/>
        </w:rPr>
      </w:pPr>
      <w:r>
        <w:rPr>
          <w:rFonts w:hint="eastAsia" w:eastAsia="仿宋_GB2312"/>
          <w:sz w:val="32"/>
          <w:szCs w:val="32"/>
        </w:rPr>
        <w:t>本部门2023年度全年预算数与决算数一致，不存在差异率。</w:t>
      </w:r>
    </w:p>
    <w:p>
      <w:pPr>
        <w:spacing w:line="540" w:lineRule="exact"/>
        <w:ind w:left="105" w:leftChars="50" w:firstLine="480" w:firstLineChars="150"/>
        <w:jc w:val="left"/>
        <w:rPr>
          <w:rFonts w:eastAsia="黑体"/>
          <w:sz w:val="32"/>
          <w:szCs w:val="32"/>
        </w:rPr>
      </w:pPr>
      <w:r>
        <w:rPr>
          <w:rFonts w:eastAsia="黑体"/>
          <w:sz w:val="32"/>
          <w:szCs w:val="32"/>
        </w:rPr>
        <w:t>五、总体评价结论</w:t>
      </w:r>
    </w:p>
    <w:p>
      <w:pPr>
        <w:spacing w:line="540" w:lineRule="exact"/>
        <w:ind w:left="105" w:leftChars="50" w:firstLine="482" w:firstLineChars="150"/>
        <w:jc w:val="left"/>
        <w:rPr>
          <w:rFonts w:eastAsia="楷体_GB2312"/>
          <w:b/>
          <w:sz w:val="32"/>
          <w:szCs w:val="32"/>
        </w:rPr>
      </w:pPr>
      <w:r>
        <w:rPr>
          <w:rFonts w:eastAsia="楷体_GB2312"/>
          <w:b/>
          <w:sz w:val="32"/>
          <w:szCs w:val="32"/>
        </w:rPr>
        <w:t>（一）评价得分情况</w:t>
      </w:r>
    </w:p>
    <w:p>
      <w:pPr>
        <w:spacing w:line="540" w:lineRule="exact"/>
        <w:ind w:left="105" w:leftChars="50" w:firstLine="480" w:firstLineChars="150"/>
        <w:jc w:val="left"/>
        <w:rPr>
          <w:rFonts w:hint="eastAsia" w:eastAsia="仿宋_GB2312"/>
          <w:sz w:val="32"/>
          <w:szCs w:val="32"/>
          <w:lang w:eastAsia="zh-CN"/>
        </w:rPr>
      </w:pPr>
      <w:r>
        <w:rPr>
          <w:rFonts w:eastAsia="仿宋_GB2312"/>
          <w:sz w:val="32"/>
          <w:szCs w:val="32"/>
        </w:rPr>
        <w:t>本次自评得分为9</w:t>
      </w:r>
      <w:r>
        <w:rPr>
          <w:rFonts w:hint="eastAsia" w:eastAsia="仿宋_GB2312"/>
          <w:sz w:val="32"/>
          <w:szCs w:val="32"/>
        </w:rPr>
        <w:t>5</w:t>
      </w:r>
      <w:r>
        <w:rPr>
          <w:rFonts w:eastAsia="仿宋_GB2312"/>
          <w:sz w:val="32"/>
          <w:szCs w:val="32"/>
        </w:rPr>
        <w:t>分。</w:t>
      </w:r>
      <w:r>
        <w:rPr>
          <w:rFonts w:hint="eastAsia" w:eastAsia="仿宋_GB2312"/>
          <w:sz w:val="32"/>
          <w:szCs w:val="32"/>
          <w:lang w:eastAsia="zh-CN"/>
        </w:rPr>
        <w:t>项目总体产出数量、质量、进度、效益等指标均完成较好，服务对象满意度高；并委托第三方会计事务所，对重点项目进行了部门评价，评价结果优秀。</w:t>
      </w:r>
    </w:p>
    <w:p>
      <w:pPr>
        <w:spacing w:line="540" w:lineRule="exact"/>
        <w:ind w:left="105" w:leftChars="50" w:firstLine="482" w:firstLineChars="150"/>
        <w:jc w:val="left"/>
        <w:rPr>
          <w:rFonts w:eastAsia="楷体_GB2312"/>
          <w:b/>
          <w:sz w:val="32"/>
          <w:szCs w:val="32"/>
        </w:rPr>
      </w:pPr>
      <w:r>
        <w:rPr>
          <w:rFonts w:eastAsia="楷体_GB2312"/>
          <w:b/>
          <w:sz w:val="32"/>
          <w:szCs w:val="32"/>
        </w:rPr>
        <w:t>（二）存在的问题及原因分析</w:t>
      </w:r>
    </w:p>
    <w:p>
      <w:pPr>
        <w:spacing w:line="540" w:lineRule="exact"/>
        <w:ind w:left="105" w:leftChars="50" w:firstLine="480" w:firstLineChars="150"/>
        <w:jc w:val="left"/>
        <w:rPr>
          <w:rFonts w:eastAsia="仿宋_GB2312"/>
          <w:sz w:val="32"/>
          <w:szCs w:val="32"/>
        </w:rPr>
      </w:pPr>
      <w:r>
        <w:rPr>
          <w:rFonts w:eastAsia="仿宋_GB2312"/>
          <w:sz w:val="32"/>
          <w:szCs w:val="32"/>
        </w:rPr>
        <w:t>1.</w:t>
      </w:r>
      <w:r>
        <w:rPr>
          <w:rFonts w:hint="eastAsia" w:eastAsia="仿宋_GB2312"/>
          <w:sz w:val="32"/>
          <w:szCs w:val="32"/>
        </w:rPr>
        <w:t>第八次代表大会</w:t>
      </w:r>
      <w:r>
        <w:rPr>
          <w:rFonts w:hint="eastAsia" w:eastAsia="仿宋_GB2312"/>
          <w:sz w:val="32"/>
          <w:szCs w:val="32"/>
          <w:lang w:eastAsia="zh-CN"/>
        </w:rPr>
        <w:t>参会人数、举办</w:t>
      </w:r>
      <w:r>
        <w:rPr>
          <w:rFonts w:hint="eastAsia" w:eastAsia="仿宋_GB2312"/>
          <w:sz w:val="32"/>
          <w:szCs w:val="32"/>
        </w:rPr>
        <w:t>规模具有难以预测性</w:t>
      </w:r>
      <w:r>
        <w:rPr>
          <w:rFonts w:eastAsia="仿宋_GB2312"/>
          <w:sz w:val="32"/>
          <w:szCs w:val="32"/>
        </w:rPr>
        <w:t>，无法</w:t>
      </w:r>
      <w:r>
        <w:rPr>
          <w:rFonts w:hint="eastAsia" w:eastAsia="仿宋_GB2312"/>
          <w:sz w:val="32"/>
          <w:szCs w:val="32"/>
        </w:rPr>
        <w:t>准备估算预算金额</w:t>
      </w:r>
      <w:r>
        <w:rPr>
          <w:rFonts w:eastAsia="仿宋_GB2312"/>
          <w:sz w:val="32"/>
          <w:szCs w:val="32"/>
        </w:rPr>
        <w:t>，因此在年度中间进行预算的单独申报。</w:t>
      </w:r>
    </w:p>
    <w:p>
      <w:pPr>
        <w:spacing w:line="540" w:lineRule="exact"/>
        <w:ind w:left="105" w:leftChars="50" w:firstLine="480" w:firstLineChars="150"/>
        <w:jc w:val="left"/>
        <w:rPr>
          <w:rFonts w:eastAsia="仿宋_GB2312"/>
          <w:sz w:val="32"/>
          <w:szCs w:val="32"/>
        </w:rPr>
      </w:pPr>
      <w:r>
        <w:rPr>
          <w:rFonts w:eastAsia="仿宋_GB2312"/>
          <w:sz w:val="32"/>
          <w:szCs w:val="32"/>
        </w:rPr>
        <w:t>2.项目经费存在跨年度使用。结转项目经费属于市科协下拨的站点调查经费</w:t>
      </w:r>
      <w:r>
        <w:rPr>
          <w:rFonts w:hint="eastAsia" w:eastAsia="仿宋_GB2312"/>
          <w:sz w:val="32"/>
          <w:szCs w:val="32"/>
        </w:rPr>
        <w:t>和奖补经费</w:t>
      </w:r>
      <w:r>
        <w:rPr>
          <w:rFonts w:eastAsia="仿宋_GB2312"/>
          <w:sz w:val="32"/>
          <w:szCs w:val="32"/>
        </w:rPr>
        <w:t>，因站点调查项目具有阶段性特点，故存在跨年度使用情况。</w:t>
      </w:r>
    </w:p>
    <w:p>
      <w:pPr>
        <w:spacing w:line="540" w:lineRule="exact"/>
        <w:ind w:firstLine="640" w:firstLineChars="200"/>
        <w:jc w:val="left"/>
        <w:rPr>
          <w:rFonts w:eastAsia="仿宋_GB2312"/>
          <w:color w:val="000000"/>
          <w:kern w:val="0"/>
          <w:sz w:val="32"/>
          <w:szCs w:val="32"/>
        </w:rPr>
      </w:pPr>
      <w:r>
        <w:rPr>
          <w:rFonts w:eastAsia="黑体"/>
          <w:color w:val="000000"/>
          <w:kern w:val="0"/>
          <w:sz w:val="32"/>
          <w:szCs w:val="32"/>
        </w:rPr>
        <w:t>六、措施建议</w:t>
      </w:r>
    </w:p>
    <w:p>
      <w:pPr>
        <w:spacing w:line="540" w:lineRule="exact"/>
        <w:ind w:left="105" w:leftChars="50" w:firstLine="480" w:firstLineChars="150"/>
        <w:jc w:val="left"/>
        <w:rPr>
          <w:rFonts w:eastAsia="仿宋_GB2312"/>
          <w:sz w:val="32"/>
          <w:szCs w:val="32"/>
        </w:rPr>
      </w:pPr>
      <w:r>
        <w:rPr>
          <w:rFonts w:eastAsia="仿宋_GB2312"/>
          <w:sz w:val="32"/>
          <w:szCs w:val="32"/>
        </w:rPr>
        <w:t>1.加强领导，精心组织，逐步推开，实现预算绩效目标科协系统的日常工作全覆盖。</w:t>
      </w:r>
    </w:p>
    <w:p>
      <w:pPr>
        <w:spacing w:line="540" w:lineRule="exact"/>
        <w:ind w:left="105" w:leftChars="50" w:firstLine="480" w:firstLineChars="150"/>
        <w:jc w:val="left"/>
        <w:rPr>
          <w:rFonts w:eastAsia="仿宋_GB2312"/>
          <w:sz w:val="32"/>
          <w:szCs w:val="32"/>
        </w:rPr>
      </w:pPr>
      <w:r>
        <w:rPr>
          <w:rFonts w:eastAsia="仿宋_GB2312"/>
          <w:sz w:val="32"/>
          <w:szCs w:val="32"/>
        </w:rPr>
        <w:t>2.科学合理编制预算，优化预算执行管理</w:t>
      </w:r>
      <w:r>
        <w:rPr>
          <w:rFonts w:hint="eastAsia" w:eastAsia="仿宋_GB2312"/>
          <w:sz w:val="32"/>
          <w:szCs w:val="32"/>
          <w:lang w:eastAsia="zh-CN"/>
        </w:rPr>
        <w:t>，</w:t>
      </w:r>
      <w:r>
        <w:rPr>
          <w:rFonts w:eastAsia="仿宋_GB2312"/>
          <w:sz w:val="32"/>
          <w:szCs w:val="32"/>
        </w:rPr>
        <w:t>进一步强化财政资金预算约束，提升资金使用效益。</w:t>
      </w:r>
    </w:p>
    <w:p>
      <w:pPr>
        <w:spacing w:line="540" w:lineRule="exact"/>
        <w:ind w:left="105" w:leftChars="50" w:firstLine="480" w:firstLineChars="150"/>
        <w:jc w:val="left"/>
        <w:rPr>
          <w:rFonts w:eastAsia="仿宋_GB2312"/>
          <w:sz w:val="32"/>
          <w:szCs w:val="32"/>
        </w:rPr>
      </w:pPr>
    </w:p>
    <w:p>
      <w:pPr>
        <w:spacing w:line="540" w:lineRule="exact"/>
        <w:ind w:left="105" w:leftChars="50" w:firstLine="480" w:firstLineChars="150"/>
        <w:jc w:val="left"/>
        <w:rPr>
          <w:rFonts w:eastAsia="仿宋_GB2312"/>
          <w:sz w:val="32"/>
          <w:szCs w:val="32"/>
        </w:rPr>
      </w:pPr>
    </w:p>
    <w:p>
      <w:pPr>
        <w:spacing w:line="540" w:lineRule="exact"/>
        <w:ind w:left="105" w:leftChars="50" w:firstLine="480" w:firstLineChars="150"/>
        <w:jc w:val="left"/>
        <w:rPr>
          <w:rFonts w:eastAsia="仿宋_GB2312"/>
          <w:sz w:val="32"/>
          <w:szCs w:val="32"/>
        </w:rPr>
      </w:pPr>
    </w:p>
    <w:p>
      <w:pPr>
        <w:spacing w:line="540" w:lineRule="exact"/>
        <w:ind w:left="105" w:leftChars="50" w:firstLine="480" w:firstLineChars="150"/>
        <w:jc w:val="right"/>
        <w:rPr>
          <w:rFonts w:eastAsia="仿宋_GB2312"/>
          <w:sz w:val="32"/>
          <w:szCs w:val="32"/>
        </w:rPr>
      </w:pPr>
      <w:r>
        <w:rPr>
          <w:rFonts w:hint="eastAsia" w:eastAsia="仿宋_GB2312"/>
          <w:sz w:val="32"/>
          <w:szCs w:val="32"/>
        </w:rPr>
        <w:t>北京市朝阳区科学技术协会</w:t>
      </w:r>
    </w:p>
    <w:p>
      <w:pPr>
        <w:spacing w:line="540" w:lineRule="exact"/>
        <w:ind w:left="105" w:leftChars="50" w:firstLine="5920" w:firstLineChars="1850"/>
        <w:jc w:val="left"/>
        <w:rPr>
          <w:rFonts w:eastAsia="仿宋_GB2312"/>
          <w:sz w:val="32"/>
          <w:szCs w:val="32"/>
        </w:rPr>
      </w:pPr>
      <w:r>
        <w:rPr>
          <w:rFonts w:hint="eastAsia" w:eastAsia="仿宋_GB2312"/>
          <w:sz w:val="32"/>
          <w:szCs w:val="32"/>
        </w:rPr>
        <w:t>2024年3月2</w:t>
      </w:r>
      <w:r>
        <w:rPr>
          <w:rFonts w:hint="eastAsia" w:eastAsia="仿宋_GB2312"/>
          <w:sz w:val="32"/>
          <w:szCs w:val="32"/>
          <w:lang w:val="en-US" w:eastAsia="zh-CN"/>
        </w:rPr>
        <w:t>6</w:t>
      </w:r>
      <w:r>
        <w:rPr>
          <w:rFonts w:hint="eastAsia" w:eastAsia="仿宋_GB2312"/>
          <w:sz w:val="32"/>
          <w:szCs w:val="32"/>
        </w:rPr>
        <w:t>日</w:t>
      </w:r>
    </w:p>
    <w:sectPr>
      <w:pgSz w:w="11906" w:h="16838"/>
      <w:pgMar w:top="1418" w:right="1418" w:bottom="1361"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Calibri Light">
    <w:panose1 w:val="020F0302020204030204"/>
    <w:charset w:val="00"/>
    <w:family w:val="swiss"/>
    <w:pitch w:val="default"/>
    <w:sig w:usb0="A00002EF" w:usb1="4000207B" w:usb2="00000000" w:usb3="00000000" w:csb0="2000019F" w:csb1="00000000"/>
  </w:font>
  <w:font w:name="Arial">
    <w:panose1 w:val="020B0604020202020204"/>
    <w:charset w:val="00"/>
    <w:family w:val="swiss"/>
    <w:pitch w:val="default"/>
    <w:sig w:usb0="E0002AFF" w:usb1="C0007843" w:usb2="00000009" w:usb3="00000000" w:csb0="400001FF" w:csb1="FFFF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方正舒体">
    <w:panose1 w:val="02010601030101010101"/>
    <w:charset w:val="86"/>
    <w:family w:val="auto"/>
    <w:pitch w:val="default"/>
    <w:sig w:usb0="00000003"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69BF12E6"/>
    <w:rsid w:val="000102DA"/>
    <w:rsid w:val="0001184F"/>
    <w:rsid w:val="00062141"/>
    <w:rsid w:val="000B3D2F"/>
    <w:rsid w:val="0017576B"/>
    <w:rsid w:val="001A667E"/>
    <w:rsid w:val="001B0C1A"/>
    <w:rsid w:val="001E68A3"/>
    <w:rsid w:val="001F6D18"/>
    <w:rsid w:val="00221B02"/>
    <w:rsid w:val="00336092"/>
    <w:rsid w:val="004057B9"/>
    <w:rsid w:val="0048556F"/>
    <w:rsid w:val="004E1AA5"/>
    <w:rsid w:val="00565463"/>
    <w:rsid w:val="00594B45"/>
    <w:rsid w:val="005B1C4C"/>
    <w:rsid w:val="00643D9D"/>
    <w:rsid w:val="00687122"/>
    <w:rsid w:val="006C0EBE"/>
    <w:rsid w:val="006C22E7"/>
    <w:rsid w:val="006D468D"/>
    <w:rsid w:val="00742E5D"/>
    <w:rsid w:val="007F76E0"/>
    <w:rsid w:val="00820477"/>
    <w:rsid w:val="00883EE4"/>
    <w:rsid w:val="008E0CA4"/>
    <w:rsid w:val="00950A2E"/>
    <w:rsid w:val="009652B5"/>
    <w:rsid w:val="009A7DD0"/>
    <w:rsid w:val="00A22F4F"/>
    <w:rsid w:val="00A338B4"/>
    <w:rsid w:val="00B14C82"/>
    <w:rsid w:val="00B200D1"/>
    <w:rsid w:val="00B4582A"/>
    <w:rsid w:val="00B64351"/>
    <w:rsid w:val="00BF65C8"/>
    <w:rsid w:val="00C15020"/>
    <w:rsid w:val="00C43486"/>
    <w:rsid w:val="00CF743C"/>
    <w:rsid w:val="00D904AE"/>
    <w:rsid w:val="00EA67FE"/>
    <w:rsid w:val="00EA796A"/>
    <w:rsid w:val="00EB722F"/>
    <w:rsid w:val="00EE1D52"/>
    <w:rsid w:val="00F07E18"/>
    <w:rsid w:val="00F27860"/>
    <w:rsid w:val="00F6074C"/>
    <w:rsid w:val="00F66C42"/>
    <w:rsid w:val="00F8067F"/>
    <w:rsid w:val="00F83E05"/>
    <w:rsid w:val="00FD722A"/>
    <w:rsid w:val="11E653C2"/>
    <w:rsid w:val="1CAC6C4F"/>
    <w:rsid w:val="2C947983"/>
    <w:rsid w:val="374E380A"/>
    <w:rsid w:val="46F666B8"/>
    <w:rsid w:val="50B332D2"/>
    <w:rsid w:val="591C523D"/>
    <w:rsid w:val="69BF12E6"/>
    <w:rsid w:val="76DC64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unhideWhenUsed/>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Body Text"/>
    <w:basedOn w:val="1"/>
    <w:next w:val="1"/>
    <w:link w:val="9"/>
    <w:qFormat/>
    <w:uiPriority w:val="0"/>
    <w:pPr>
      <w:spacing w:after="120"/>
    </w:pPr>
    <w:rPr>
      <w:rFonts w:ascii="Calibri" w:hAnsi="Calibri"/>
    </w:rPr>
  </w:style>
  <w:style w:type="paragraph" w:styleId="3">
    <w:name w:val="footer"/>
    <w:basedOn w:val="1"/>
    <w:link w:val="8"/>
    <w:qFormat/>
    <w:uiPriority w:val="0"/>
    <w:pPr>
      <w:tabs>
        <w:tab w:val="center" w:pos="4153"/>
        <w:tab w:val="right" w:pos="8306"/>
      </w:tabs>
      <w:snapToGrid w:val="0"/>
      <w:jc w:val="left"/>
    </w:pPr>
    <w:rPr>
      <w:sz w:val="18"/>
      <w:szCs w:val="18"/>
    </w:rPr>
  </w:style>
  <w:style w:type="paragraph" w:styleId="4">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5"/>
    <w:link w:val="4"/>
    <w:qFormat/>
    <w:uiPriority w:val="0"/>
    <w:rPr>
      <w:rFonts w:ascii="Times New Roman" w:hAnsi="Times New Roman" w:eastAsia="宋体" w:cs="Times New Roman"/>
      <w:kern w:val="2"/>
      <w:sz w:val="18"/>
      <w:szCs w:val="18"/>
    </w:rPr>
  </w:style>
  <w:style w:type="character" w:customStyle="1" w:styleId="8">
    <w:name w:val="页脚 Char"/>
    <w:basedOn w:val="5"/>
    <w:link w:val="3"/>
    <w:uiPriority w:val="0"/>
    <w:rPr>
      <w:rFonts w:ascii="Times New Roman" w:hAnsi="Times New Roman" w:eastAsia="宋体" w:cs="Times New Roman"/>
      <w:kern w:val="2"/>
      <w:sz w:val="18"/>
      <w:szCs w:val="18"/>
    </w:rPr>
  </w:style>
  <w:style w:type="character" w:customStyle="1" w:styleId="9">
    <w:name w:val="正文文本 Char"/>
    <w:basedOn w:val="5"/>
    <w:link w:val="2"/>
    <w:qFormat/>
    <w:uiPriority w:val="0"/>
    <w:rPr>
      <w:rFonts w:ascii="Calibri" w:hAnsi="Calibri" w:eastAsia="宋体" w:cs="Times New Roman"/>
      <w:kern w:val="2"/>
      <w:sz w:val="21"/>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774</Words>
  <Characters>4417</Characters>
  <Lines>36</Lines>
  <Paragraphs>10</Paragraphs>
  <ScaleCrop>false</ScaleCrop>
  <LinksUpToDate>false</LinksUpToDate>
  <CharactersWithSpaces>5181</CharactersWithSpaces>
  <Application>WPS Office_10.8.0.6308_F1E327BC-269C-435d-A152-05C5408002CA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2023-02-21T07:45:00Z</dcterms:created>
  <dc:creator>Administrator</dc:creator>
  <cp:lastModifiedBy>Administrator</cp:lastModifiedBy>
  <dcterms:modified xsi:type="dcterms:W3CDTF">2024-03-28T02:54:30Z</dcterms:modifi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2052-10.8.0.6308</vt:lpwstr>
  </property>
</Properties>
</file>