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eastAsia="方正小标宋简体"/>
          <w:sz w:val="36"/>
          <w:szCs w:val="36"/>
        </w:rPr>
      </w:pPr>
      <w:r>
        <w:rPr>
          <w:rFonts w:hint="eastAsia" w:eastAsia="方正小标宋简体"/>
          <w:sz w:val="36"/>
          <w:szCs w:val="36"/>
        </w:rPr>
        <w:t>北京市朝阳区农村合作经济经营管理站</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keepNext w:val="0"/>
        <w:keepLines w:val="0"/>
        <w:pageBreakBefore w:val="0"/>
        <w:kinsoku/>
        <w:wordWrap/>
        <w:overflowPunct/>
        <w:topLinePunct w:val="0"/>
        <w:autoSpaceDE/>
        <w:autoSpaceDN/>
        <w:bidi w:val="0"/>
        <w:adjustRightInd/>
        <w:snapToGrid w:val="0"/>
        <w:spacing w:line="560" w:lineRule="exact"/>
        <w:ind w:left="0" w:leftChars="0" w:right="0" w:rightChars="0" w:firstLine="640" w:firstLineChars="200"/>
        <w:jc w:val="both"/>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1.机构设置。</w:t>
      </w:r>
      <w:r>
        <w:rPr>
          <w:rFonts w:hint="default" w:ascii="Times New Roman" w:hAnsi="Times New Roman" w:eastAsia="仿宋_GB2312" w:cs="Times New Roman"/>
          <w:sz w:val="32"/>
          <w:szCs w:val="32"/>
        </w:rPr>
        <w:t>北京市朝阳区农村合作经济经营管理站为区政府直属事业单位，机构规格正处级，经费形式全额拨款。</w:t>
      </w:r>
    </w:p>
    <w:p>
      <w:pPr>
        <w:keepNext w:val="0"/>
        <w:keepLines w:val="0"/>
        <w:pageBreakBefore w:val="0"/>
        <w:kinsoku/>
        <w:wordWrap/>
        <w:overflowPunct/>
        <w:topLinePunct w:val="0"/>
        <w:autoSpaceDE/>
        <w:autoSpaceDN/>
        <w:bidi w:val="0"/>
        <w:adjustRightInd/>
        <w:snapToGrid w:val="0"/>
        <w:spacing w:line="560" w:lineRule="exact"/>
        <w:ind w:left="0" w:leftChars="0" w:right="0" w:rightChars="0" w:firstLine="640" w:firstLineChars="200"/>
        <w:jc w:val="both"/>
        <w:outlineLvl w:val="9"/>
        <w:rPr>
          <w:rFonts w:hint="eastAsia" w:ascii="楷体_GB2312" w:eastAsia="楷体_GB2312"/>
          <w:sz w:val="32"/>
          <w:szCs w:val="32"/>
          <w:lang w:val="en-US" w:eastAsia="zh-CN"/>
        </w:rPr>
      </w:pPr>
      <w:r>
        <w:rPr>
          <w:rFonts w:hint="default" w:ascii="Times New Roman" w:hAnsi="Times New Roman" w:eastAsia="仿宋_GB2312" w:cs="Times New Roman"/>
          <w:sz w:val="32"/>
          <w:szCs w:val="32"/>
          <w:lang w:val="en-US" w:eastAsia="zh-CN"/>
        </w:rPr>
        <w:t>2.主要职责工作任务。</w:t>
      </w:r>
      <w:r>
        <w:rPr>
          <w:rFonts w:hint="default" w:ascii="Times New Roman" w:hAnsi="Times New Roman" w:eastAsia="仿宋_GB2312" w:cs="Times New Roman"/>
          <w:sz w:val="32"/>
          <w:szCs w:val="32"/>
        </w:rPr>
        <w:t>协助开展本区农村集体经济产权制度改革工作，并具体实施。指导开展农村集体企业改制工作。指导开展农村集体经济组织管理工作。开展本区农村集体经营性资产、资源性资产和资金的监督管理工作。开展本区农村经济统计工作，并对农村经济运行情况进行监测和分析。开展本区农村城市化进程中农村经济方面重大课题的调查研究工作。协助开展农业产业化经营和管理工作。指导开展本区农村集体经济合同纠纷调解仲裁工作和农村负担监督管理工作。对农村土地承包合同和农村经济合同进行监督管理。指导本区农村财务管理、财务公开工作。指导开展本区农村集体经济组织日常审计工作。开展本区农村管理信息化系统数据采集、数据分析及应用、日常维护和业务指导等工作。协助做好农村经营管理人才队伍建设工作。</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（二）部门整体绩效目标设立情况（包括绩效目标设立依据、目标</w:t>
      </w:r>
      <w:r>
        <w:rPr>
          <w:rFonts w:ascii="楷体_GB2312" w:eastAsia="楷体_GB2312"/>
          <w:sz w:val="32"/>
          <w:szCs w:val="32"/>
        </w:rPr>
        <w:t>与</w:t>
      </w:r>
      <w:r>
        <w:rPr>
          <w:rFonts w:hint="eastAsia" w:ascii="楷体_GB2312" w:eastAsia="楷体_GB2312"/>
          <w:sz w:val="32"/>
          <w:szCs w:val="32"/>
        </w:rPr>
        <w:t>职责任务匹配情况、目标合理性等）</w:t>
      </w:r>
    </w:p>
    <w:p>
      <w:pPr>
        <w:spacing w:line="600" w:lineRule="exact"/>
        <w:ind w:firstLine="640" w:firstLineChars="200"/>
        <w:rPr>
          <w:rFonts w:eastAsia="仿宋_GB2312"/>
          <w:sz w:val="32"/>
          <w:szCs w:val="32"/>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年区经管站聚焦高质量发展集体经济，深入实施乡村振兴战略，围绕部门主要职能和重点工作任务，围绕中央、市、区重点工作，设立部门整体绩效目标，充分利用财政资金，切实履行单位职能，</w:t>
      </w:r>
      <w:r>
        <w:rPr>
          <w:rFonts w:hint="default" w:ascii="Times New Roman" w:hAnsi="Times New Roman" w:eastAsia="仿宋_GB2312" w:cs="Times New Roman"/>
          <w:color w:val="000000"/>
          <w:kern w:val="0"/>
          <w:sz w:val="32"/>
          <w:szCs w:val="32"/>
          <w:lang w:eastAsia="zh-CN"/>
        </w:rPr>
        <w:t>部门整体绩效目标与职责任务匹配，目标设定合理。</w:t>
      </w: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年区经管站全面推进</w:t>
      </w:r>
      <w:r>
        <w:rPr>
          <w:rFonts w:hint="eastAsia" w:ascii="Times New Roman" w:hAnsi="Times New Roman" w:eastAsia="仿宋_GB2312" w:cs="Times New Roman"/>
          <w:color w:val="000000"/>
          <w:kern w:val="0"/>
          <w:sz w:val="32"/>
          <w:szCs w:val="32"/>
          <w:lang w:eastAsia="zh-CN"/>
        </w:rPr>
        <w:t>三资管理</w:t>
      </w:r>
      <w:r>
        <w:rPr>
          <w:rFonts w:hint="eastAsia" w:eastAsia="仿宋_GB2312" w:cs="Times New Roman"/>
          <w:color w:val="000000"/>
          <w:kern w:val="0"/>
          <w:sz w:val="32"/>
          <w:szCs w:val="32"/>
          <w:lang w:eastAsia="zh-CN"/>
        </w:rPr>
        <w:t>工作</w:t>
      </w:r>
      <w:r>
        <w:rPr>
          <w:rFonts w:hint="default" w:ascii="Times New Roman" w:hAnsi="Times New Roman" w:eastAsia="仿宋_GB2312" w:cs="Times New Roman"/>
          <w:color w:val="000000"/>
          <w:kern w:val="0"/>
          <w:sz w:val="32"/>
          <w:szCs w:val="32"/>
        </w:rPr>
        <w:t>，加强农经队伍建设，促进农村集体经济持续健康发展，</w:t>
      </w:r>
      <w:r>
        <w:rPr>
          <w:rFonts w:hint="default" w:ascii="Times New Roman" w:hAnsi="Times New Roman" w:eastAsia="仿宋_GB2312" w:cs="Times New Roman"/>
          <w:sz w:val="32"/>
          <w:szCs w:val="32"/>
          <w:lang w:val="zh-TW" w:eastAsia="zh-TW"/>
        </w:rPr>
        <w:t>规范农村集体企业经营管理</w:t>
      </w:r>
      <w:r>
        <w:rPr>
          <w:rFonts w:hint="default" w:ascii="Times New Roman" w:hAnsi="Times New Roman" w:eastAsia="仿宋_GB2312" w:cs="Times New Roman"/>
          <w:sz w:val="32"/>
          <w:szCs w:val="32"/>
          <w:lang w:val="zh-TW" w:eastAsia="zh-CN"/>
        </w:rPr>
        <w:t>，</w:t>
      </w:r>
      <w:r>
        <w:rPr>
          <w:rFonts w:hint="default" w:ascii="Times New Roman" w:hAnsi="Times New Roman" w:eastAsia="仿宋_GB2312" w:cs="Times New Roman"/>
          <w:color w:val="000000"/>
          <w:kern w:val="0"/>
          <w:sz w:val="32"/>
          <w:szCs w:val="32"/>
        </w:rPr>
        <w:t>维护集体利益。</w:t>
      </w:r>
      <w:r>
        <w:rPr>
          <w:rFonts w:hint="default" w:ascii="Times New Roman" w:hAnsi="Times New Roman" w:eastAsia="仿宋_GB2312" w:cs="Times New Roman"/>
          <w:sz w:val="32"/>
          <w:szCs w:val="32"/>
          <w:lang w:val="zh-TW" w:eastAsia="zh-CN"/>
        </w:rPr>
        <w:t>高标准完成豆各庄等5个乡乡级产改，简化优化资产资源产权流转交易审核程序，</w:t>
      </w:r>
      <w:r>
        <w:rPr>
          <w:rFonts w:hint="default" w:ascii="Times New Roman" w:hAnsi="Times New Roman" w:eastAsia="仿宋_GB2312" w:cs="Times New Roman"/>
          <w:b w:val="0"/>
          <w:color w:val="000000"/>
          <w:sz w:val="32"/>
          <w:szCs w:val="32"/>
          <w:lang w:eastAsia="zh-CN"/>
        </w:rPr>
        <w:t>开展农村集体“三资”管理领域突出问题及群众身边不正之风和腐败问题专项整治，</w:t>
      </w:r>
      <w:bookmarkStart w:id="0" w:name="_GoBack"/>
      <w:bookmarkEnd w:id="0"/>
      <w:r>
        <w:rPr>
          <w:rFonts w:hint="default" w:ascii="Times New Roman" w:hAnsi="Times New Roman" w:eastAsia="仿宋_GB2312" w:cs="Times New Roman"/>
          <w:b w:val="0"/>
          <w:color w:val="000000"/>
          <w:sz w:val="32"/>
          <w:szCs w:val="32"/>
          <w:lang w:eastAsia="zh-CN"/>
        </w:rPr>
        <w:t>推动工作走深走实。</w:t>
      </w:r>
      <w:r>
        <w:rPr>
          <w:rFonts w:hint="default" w:ascii="Times New Roman" w:hAnsi="Times New Roman" w:eastAsia="仿宋_GB2312" w:cs="Times New Roman"/>
          <w:b w:val="0"/>
          <w:color w:val="000000"/>
          <w:sz w:val="32"/>
          <w:szCs w:val="32"/>
        </w:rPr>
        <w:t>坚持规范集体经济管理与推进高质量发展并重</w:t>
      </w:r>
      <w:r>
        <w:rPr>
          <w:rFonts w:hint="default" w:ascii="Times New Roman" w:hAnsi="Times New Roman" w:eastAsia="仿宋_GB2312" w:cs="Times New Roman"/>
          <w:b w:val="0"/>
          <w:color w:val="000000"/>
          <w:sz w:val="32"/>
          <w:szCs w:val="32"/>
          <w:lang w:eastAsia="zh-CN"/>
        </w:rPr>
        <w:t>，简化程序为科技引领赋能，争取政策助</w:t>
      </w:r>
      <w:r>
        <w:rPr>
          <w:rFonts w:hint="eastAsia" w:ascii="Times New Roman" w:hAnsi="Times New Roman" w:eastAsia="仿宋_GB2312" w:cs="Times New Roman"/>
          <w:b w:val="0"/>
          <w:color w:val="000000"/>
          <w:sz w:val="32"/>
          <w:szCs w:val="32"/>
          <w:lang w:eastAsia="zh-CN"/>
        </w:rPr>
        <w:t>力</w:t>
      </w:r>
      <w:r>
        <w:rPr>
          <w:rFonts w:hint="default" w:ascii="Times New Roman" w:hAnsi="Times New Roman" w:eastAsia="仿宋_GB2312" w:cs="Times New Roman"/>
          <w:b w:val="0"/>
          <w:color w:val="000000"/>
          <w:sz w:val="32"/>
          <w:szCs w:val="32"/>
          <w:lang w:eastAsia="zh-CN"/>
        </w:rPr>
        <w:t>集体</w:t>
      </w:r>
      <w:r>
        <w:rPr>
          <w:rFonts w:hint="eastAsia" w:ascii="Times New Roman" w:hAnsi="Times New Roman" w:eastAsia="仿宋_GB2312" w:cs="Times New Roman"/>
          <w:b w:val="0"/>
          <w:color w:val="000000"/>
          <w:sz w:val="32"/>
          <w:szCs w:val="32"/>
          <w:lang w:eastAsia="zh-CN"/>
        </w:rPr>
        <w:t>经济</w:t>
      </w:r>
      <w:r>
        <w:rPr>
          <w:rFonts w:hint="default" w:ascii="Times New Roman" w:hAnsi="Times New Roman" w:eastAsia="仿宋_GB2312" w:cs="Times New Roman"/>
          <w:b w:val="0"/>
          <w:color w:val="000000"/>
          <w:sz w:val="32"/>
          <w:szCs w:val="32"/>
          <w:lang w:eastAsia="zh-CN"/>
        </w:rPr>
        <w:t>发展</w:t>
      </w:r>
      <w:r>
        <w:rPr>
          <w:rFonts w:hint="default" w:ascii="Times New Roman" w:hAnsi="Times New Roman" w:eastAsia="仿宋_GB2312" w:cs="Times New Roman"/>
          <w:sz w:val="32"/>
          <w:szCs w:val="32"/>
        </w:rPr>
        <w:t>。</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年全年预算数1</w:t>
      </w:r>
      <w:r>
        <w:rPr>
          <w:rFonts w:hint="default" w:ascii="Times New Roman" w:hAnsi="Times New Roman" w:eastAsia="仿宋_GB2312" w:cs="Times New Roman"/>
          <w:color w:val="000000"/>
          <w:kern w:val="0"/>
          <w:sz w:val="32"/>
          <w:szCs w:val="32"/>
          <w:lang w:val="en-US" w:eastAsia="zh-CN"/>
        </w:rPr>
        <w:t>513.81</w:t>
      </w:r>
      <w:r>
        <w:rPr>
          <w:rFonts w:hint="default" w:ascii="Times New Roman" w:hAnsi="Times New Roman" w:eastAsia="仿宋_GB2312" w:cs="Times New Roman"/>
          <w:color w:val="000000"/>
          <w:kern w:val="0"/>
          <w:sz w:val="32"/>
          <w:szCs w:val="32"/>
        </w:rPr>
        <w:t>万元，其中，基本支出预算数</w:t>
      </w:r>
      <w:r>
        <w:rPr>
          <w:rFonts w:hint="default" w:ascii="Times New Roman" w:hAnsi="Times New Roman" w:eastAsia="仿宋_GB2312" w:cs="Times New Roman"/>
          <w:color w:val="000000"/>
          <w:kern w:val="0"/>
          <w:sz w:val="32"/>
          <w:szCs w:val="32"/>
          <w:lang w:val="en-US" w:eastAsia="zh-CN"/>
        </w:rPr>
        <w:t>1228.60</w:t>
      </w:r>
      <w:r>
        <w:rPr>
          <w:rFonts w:hint="default" w:ascii="Times New Roman" w:hAnsi="Times New Roman" w:eastAsia="仿宋_GB2312" w:cs="Times New Roman"/>
          <w:color w:val="000000"/>
          <w:kern w:val="0"/>
          <w:sz w:val="32"/>
          <w:szCs w:val="32"/>
        </w:rPr>
        <w:t>万元，项目支出预算数</w:t>
      </w:r>
      <w:r>
        <w:rPr>
          <w:rFonts w:hint="default" w:ascii="Times New Roman" w:hAnsi="Times New Roman" w:eastAsia="仿宋_GB2312" w:cs="Times New Roman"/>
          <w:color w:val="000000"/>
          <w:kern w:val="0"/>
          <w:sz w:val="32"/>
          <w:szCs w:val="32"/>
          <w:lang w:val="en-US" w:eastAsia="zh-CN"/>
        </w:rPr>
        <w:t>285.21</w:t>
      </w:r>
      <w:r>
        <w:rPr>
          <w:rFonts w:hint="default" w:ascii="Times New Roman" w:hAnsi="Times New Roman" w:eastAsia="仿宋_GB2312" w:cs="Times New Roman"/>
          <w:color w:val="000000"/>
          <w:kern w:val="0"/>
          <w:sz w:val="32"/>
          <w:szCs w:val="32"/>
        </w:rPr>
        <w:t>万元，其他支出预算数</w:t>
      </w:r>
      <w:r>
        <w:rPr>
          <w:rFonts w:hint="default" w:ascii="Times New Roman" w:hAnsi="Times New Roman" w:eastAsia="仿宋_GB2312" w:cs="Times New Roman"/>
          <w:color w:val="000000"/>
          <w:kern w:val="0"/>
          <w:sz w:val="32"/>
          <w:szCs w:val="32"/>
          <w:lang w:val="en-US" w:eastAsia="zh-CN"/>
        </w:rPr>
        <w:t>0</w:t>
      </w:r>
      <w:r>
        <w:rPr>
          <w:rFonts w:hint="default" w:ascii="Times New Roman" w:hAnsi="Times New Roman" w:eastAsia="仿宋_GB2312" w:cs="Times New Roman"/>
          <w:color w:val="000000"/>
          <w:kern w:val="0"/>
          <w:sz w:val="32"/>
          <w:szCs w:val="32"/>
        </w:rPr>
        <w:t>万元。资金总体支出1</w:t>
      </w:r>
      <w:r>
        <w:rPr>
          <w:rFonts w:hint="default" w:ascii="Times New Roman" w:hAnsi="Times New Roman" w:eastAsia="仿宋_GB2312" w:cs="Times New Roman"/>
          <w:color w:val="000000"/>
          <w:kern w:val="0"/>
          <w:sz w:val="32"/>
          <w:szCs w:val="32"/>
          <w:lang w:val="en-US" w:eastAsia="zh-CN"/>
        </w:rPr>
        <w:t>513.81</w:t>
      </w:r>
      <w:r>
        <w:rPr>
          <w:rFonts w:hint="default" w:ascii="Times New Roman" w:hAnsi="Times New Roman" w:eastAsia="仿宋_GB2312" w:cs="Times New Roman"/>
          <w:color w:val="000000"/>
          <w:kern w:val="0"/>
          <w:sz w:val="32"/>
          <w:szCs w:val="32"/>
        </w:rPr>
        <w:t>万元，其中，基本支出</w:t>
      </w:r>
      <w:r>
        <w:rPr>
          <w:rFonts w:hint="default" w:ascii="Times New Roman" w:hAnsi="Times New Roman" w:eastAsia="仿宋_GB2312" w:cs="Times New Roman"/>
          <w:color w:val="000000"/>
          <w:kern w:val="0"/>
          <w:sz w:val="32"/>
          <w:szCs w:val="32"/>
          <w:lang w:val="en-US" w:eastAsia="zh-CN"/>
        </w:rPr>
        <w:t>1228.60</w:t>
      </w:r>
      <w:r>
        <w:rPr>
          <w:rFonts w:hint="default" w:ascii="Times New Roman" w:hAnsi="Times New Roman" w:eastAsia="仿宋_GB2312" w:cs="Times New Roman"/>
          <w:color w:val="000000"/>
          <w:kern w:val="0"/>
          <w:sz w:val="32"/>
          <w:szCs w:val="32"/>
        </w:rPr>
        <w:t>万元，项目支出</w:t>
      </w:r>
      <w:r>
        <w:rPr>
          <w:rFonts w:hint="default" w:ascii="Times New Roman" w:hAnsi="Times New Roman" w:eastAsia="仿宋_GB2312" w:cs="Times New Roman"/>
          <w:color w:val="000000"/>
          <w:kern w:val="0"/>
          <w:sz w:val="32"/>
          <w:szCs w:val="32"/>
          <w:lang w:val="en-US" w:eastAsia="zh-CN"/>
        </w:rPr>
        <w:t>285.21</w:t>
      </w:r>
      <w:r>
        <w:rPr>
          <w:rFonts w:hint="default" w:ascii="Times New Roman" w:hAnsi="Times New Roman" w:eastAsia="仿宋_GB2312" w:cs="Times New Roman"/>
          <w:color w:val="000000"/>
          <w:kern w:val="0"/>
          <w:sz w:val="32"/>
          <w:szCs w:val="32"/>
        </w:rPr>
        <w:t>万元，其他支出</w:t>
      </w:r>
      <w:r>
        <w:rPr>
          <w:rFonts w:hint="default" w:ascii="Times New Roman" w:hAnsi="Times New Roman" w:eastAsia="仿宋_GB2312" w:cs="Times New Roman"/>
          <w:color w:val="000000"/>
          <w:kern w:val="0"/>
          <w:sz w:val="32"/>
          <w:szCs w:val="32"/>
          <w:lang w:val="en-US" w:eastAsia="zh-CN"/>
        </w:rPr>
        <w:t>0</w:t>
      </w:r>
      <w:r>
        <w:rPr>
          <w:rFonts w:hint="default" w:ascii="Times New Roman" w:hAnsi="Times New Roman" w:eastAsia="仿宋_GB2312" w:cs="Times New Roman"/>
          <w:color w:val="000000"/>
          <w:kern w:val="0"/>
          <w:sz w:val="32"/>
          <w:szCs w:val="32"/>
        </w:rPr>
        <w:t>万元。预算执行率为</w:t>
      </w:r>
      <w:r>
        <w:rPr>
          <w:rFonts w:hint="default" w:ascii="Times New Roman" w:hAnsi="Times New Roman" w:eastAsia="仿宋_GB2312" w:cs="Times New Roman"/>
          <w:color w:val="000000"/>
          <w:kern w:val="0"/>
          <w:sz w:val="32"/>
          <w:szCs w:val="32"/>
          <w:lang w:val="en-US" w:eastAsia="zh-CN"/>
        </w:rPr>
        <w:t>100%</w:t>
      </w:r>
      <w:r>
        <w:rPr>
          <w:rFonts w:hint="default" w:ascii="Times New Roman" w:hAnsi="Times New Roman" w:eastAsia="仿宋_GB2312" w:cs="Times New Roman"/>
          <w:color w:val="000000"/>
          <w:kern w:val="0"/>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1.产出数量</w:t>
      </w:r>
      <w:r>
        <w:rPr>
          <w:rFonts w:hint="default" w:ascii="Times New Roman" w:hAnsi="Times New Roman" w:eastAsia="仿宋_GB2312" w:cs="Times New Roman"/>
          <w:color w:val="000000"/>
          <w:kern w:val="0"/>
          <w:sz w:val="32"/>
          <w:szCs w:val="32"/>
          <w:lang w:eastAsia="zh-CN"/>
        </w:rPr>
        <w:t>。满足单位日常办公工作需求，</w:t>
      </w:r>
      <w:r>
        <w:rPr>
          <w:rFonts w:hint="default" w:ascii="Times New Roman" w:hAnsi="Times New Roman" w:eastAsia="仿宋_GB2312" w:cs="Times New Roman"/>
          <w:color w:val="000000"/>
          <w:kern w:val="0"/>
          <w:sz w:val="32"/>
          <w:szCs w:val="32"/>
        </w:rPr>
        <w:t>完成系统</w:t>
      </w:r>
      <w:r>
        <w:rPr>
          <w:rFonts w:hint="eastAsia" w:ascii="Times New Roman" w:hAnsi="Times New Roman" w:eastAsia="仿宋_GB2312" w:cs="Times New Roman"/>
          <w:color w:val="000000"/>
          <w:kern w:val="0"/>
          <w:sz w:val="32"/>
          <w:szCs w:val="32"/>
          <w:lang w:eastAsia="zh-CN"/>
        </w:rPr>
        <w:t>数据</w:t>
      </w:r>
      <w:r>
        <w:rPr>
          <w:rFonts w:hint="default" w:ascii="Times New Roman" w:hAnsi="Times New Roman" w:eastAsia="仿宋_GB2312" w:cs="Times New Roman"/>
          <w:color w:val="000000"/>
          <w:kern w:val="0"/>
          <w:sz w:val="32"/>
          <w:szCs w:val="32"/>
        </w:rPr>
        <w:t>维护。</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2.产出质量</w:t>
      </w:r>
      <w:r>
        <w:rPr>
          <w:rFonts w:hint="default" w:ascii="Times New Roman" w:hAnsi="Times New Roman" w:eastAsia="仿宋_GB2312" w:cs="Times New Roman"/>
          <w:color w:val="000000"/>
          <w:kern w:val="0"/>
          <w:sz w:val="32"/>
          <w:szCs w:val="32"/>
          <w:lang w:eastAsia="zh-CN"/>
        </w:rPr>
        <w:t>。高质量</w:t>
      </w:r>
      <w:r>
        <w:rPr>
          <w:rFonts w:hint="eastAsia" w:ascii="Times New Roman" w:hAnsi="Times New Roman" w:eastAsia="仿宋_GB2312" w:cs="Times New Roman"/>
          <w:color w:val="000000"/>
          <w:kern w:val="0"/>
          <w:sz w:val="32"/>
          <w:szCs w:val="32"/>
          <w:lang w:eastAsia="zh-CN"/>
        </w:rPr>
        <w:t>保障</w:t>
      </w:r>
      <w:r>
        <w:rPr>
          <w:rFonts w:hint="default" w:ascii="Times New Roman" w:hAnsi="Times New Roman" w:eastAsia="仿宋_GB2312" w:cs="Times New Roman"/>
          <w:color w:val="000000"/>
          <w:kern w:val="0"/>
          <w:sz w:val="32"/>
          <w:szCs w:val="32"/>
          <w:lang w:eastAsia="zh-CN"/>
        </w:rPr>
        <w:t>单位运转。高质量提供服务。</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3.产出进度</w:t>
      </w:r>
      <w:r>
        <w:rPr>
          <w:rFonts w:hint="default" w:ascii="Times New Roman" w:hAnsi="Times New Roman" w:eastAsia="仿宋_GB2312" w:cs="Times New Roman"/>
          <w:color w:val="000000"/>
          <w:kern w:val="0"/>
          <w:sz w:val="32"/>
          <w:szCs w:val="32"/>
          <w:lang w:eastAsia="zh-CN"/>
        </w:rPr>
        <w:t>。满足单位全年正常办公需求。保证系统全年的</w:t>
      </w:r>
      <w:r>
        <w:rPr>
          <w:rFonts w:hint="eastAsia" w:ascii="Times New Roman" w:hAnsi="Times New Roman" w:eastAsia="仿宋_GB2312" w:cs="Times New Roman"/>
          <w:color w:val="000000"/>
          <w:kern w:val="0"/>
          <w:sz w:val="32"/>
          <w:szCs w:val="32"/>
          <w:lang w:eastAsia="zh-CN"/>
        </w:rPr>
        <w:t>正常</w:t>
      </w:r>
      <w:r>
        <w:rPr>
          <w:rFonts w:hint="default" w:ascii="Times New Roman" w:hAnsi="Times New Roman" w:eastAsia="仿宋_GB2312" w:cs="Times New Roman"/>
          <w:color w:val="000000"/>
          <w:kern w:val="0"/>
          <w:sz w:val="32"/>
          <w:szCs w:val="32"/>
          <w:lang w:eastAsia="zh-CN"/>
        </w:rPr>
        <w:t>运维工作。提供服务速度快，响应及时。</w:t>
      </w:r>
    </w:p>
    <w:p>
      <w:pPr>
        <w:spacing w:line="600" w:lineRule="exact"/>
        <w:ind w:left="105" w:leftChars="50" w:firstLine="480" w:firstLineChars="150"/>
        <w:rPr>
          <w:rFonts w:ascii="仿宋_GB2312" w:hAnsi="宋体" w:eastAsia="仿宋_GB2312" w:cs="宋体"/>
          <w:color w:val="000000"/>
          <w:kern w:val="0"/>
          <w:sz w:val="32"/>
          <w:szCs w:val="32"/>
        </w:rPr>
      </w:pPr>
      <w:r>
        <w:rPr>
          <w:rFonts w:hint="default" w:ascii="Times New Roman" w:hAnsi="Times New Roman" w:eastAsia="仿宋_GB2312" w:cs="Times New Roman"/>
          <w:color w:val="000000"/>
          <w:kern w:val="0"/>
          <w:sz w:val="32"/>
          <w:szCs w:val="32"/>
        </w:rPr>
        <w:t>4.产出成本</w:t>
      </w:r>
      <w:r>
        <w:rPr>
          <w:rFonts w:hint="default" w:ascii="Times New Roman" w:hAnsi="Times New Roman" w:eastAsia="仿宋_GB2312" w:cs="Times New Roman"/>
          <w:color w:val="000000"/>
          <w:kern w:val="0"/>
          <w:sz w:val="32"/>
          <w:szCs w:val="32"/>
          <w:lang w:eastAsia="zh-CN"/>
        </w:rPr>
        <w:t>。</w:t>
      </w:r>
      <w:r>
        <w:rPr>
          <w:rFonts w:hint="eastAsia" w:eastAsia="仿宋_GB2312" w:cs="Times New Roman"/>
          <w:color w:val="000000"/>
          <w:kern w:val="0"/>
          <w:sz w:val="32"/>
          <w:szCs w:val="32"/>
          <w:lang w:eastAsia="zh-CN"/>
        </w:rPr>
        <w:t>产出</w:t>
      </w:r>
      <w:r>
        <w:rPr>
          <w:rFonts w:hint="default" w:ascii="Times New Roman" w:hAnsi="Times New Roman" w:eastAsia="仿宋_GB2312" w:cs="Times New Roman"/>
          <w:color w:val="000000"/>
          <w:kern w:val="0"/>
          <w:sz w:val="32"/>
          <w:szCs w:val="32"/>
          <w:lang w:eastAsia="zh-CN"/>
        </w:rPr>
        <w:t>成本</w:t>
      </w:r>
      <w:r>
        <w:rPr>
          <w:rFonts w:hint="eastAsia" w:eastAsia="仿宋_GB2312" w:cs="Times New Roman"/>
          <w:color w:val="000000"/>
          <w:kern w:val="0"/>
          <w:sz w:val="32"/>
          <w:szCs w:val="32"/>
          <w:lang w:eastAsia="zh-CN"/>
        </w:rPr>
        <w:t>达标</w:t>
      </w:r>
      <w:r>
        <w:rPr>
          <w:rFonts w:hint="default" w:ascii="Times New Roman" w:hAnsi="Times New Roman" w:eastAsia="仿宋_GB2312" w:cs="Times New Roman"/>
          <w:color w:val="000000"/>
          <w:kern w:val="0"/>
          <w:sz w:val="32"/>
          <w:szCs w:val="32"/>
        </w:rPr>
        <w:t>。</w:t>
      </w:r>
      <w:r>
        <w:rPr>
          <w:rFonts w:hint="eastAsia" w:ascii="仿宋_GB2312" w:hAnsi="宋体" w:eastAsia="仿宋_GB2312" w:cs="宋体"/>
          <w:color w:val="000000"/>
          <w:kern w:val="0"/>
          <w:sz w:val="32"/>
          <w:szCs w:val="32"/>
        </w:rPr>
        <w:t xml:space="preserve">                              </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1.经济效益</w:t>
      </w:r>
      <w:r>
        <w:rPr>
          <w:rFonts w:hint="default"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eastAsia="zh-CN"/>
        </w:rPr>
        <w:t>促进各乡提质增效，为发展壮大农村集体经济打好基础。</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2.社会效益</w:t>
      </w:r>
      <w:r>
        <w:rPr>
          <w:rFonts w:hint="default" w:ascii="Times New Roman" w:hAnsi="Times New Roman" w:eastAsia="仿宋_GB2312" w:cs="Times New Roman"/>
          <w:color w:val="000000"/>
          <w:kern w:val="0"/>
          <w:sz w:val="32"/>
          <w:szCs w:val="32"/>
          <w:lang w:eastAsia="zh-CN"/>
        </w:rPr>
        <w:t>。</w:t>
      </w:r>
      <w:r>
        <w:rPr>
          <w:rFonts w:hint="eastAsia" w:eastAsia="仿宋_GB2312" w:cs="Times New Roman"/>
          <w:color w:val="000000"/>
          <w:kern w:val="0"/>
          <w:sz w:val="32"/>
          <w:szCs w:val="32"/>
          <w:lang w:eastAsia="zh-CN"/>
        </w:rPr>
        <w:t>通过</w:t>
      </w:r>
      <w:r>
        <w:rPr>
          <w:rFonts w:hint="default" w:ascii="Times New Roman" w:hAnsi="Times New Roman" w:eastAsia="仿宋_GB2312" w:cs="Times New Roman"/>
          <w:color w:val="000000"/>
          <w:kern w:val="0"/>
          <w:sz w:val="32"/>
          <w:szCs w:val="32"/>
          <w:lang w:eastAsia="zh-CN"/>
        </w:rPr>
        <w:t>保证各科业务正常开展和单位的正常运转</w:t>
      </w:r>
      <w:r>
        <w:rPr>
          <w:rFonts w:hint="eastAsia" w:eastAsia="仿宋_GB2312" w:cs="Times New Roman"/>
          <w:color w:val="000000"/>
          <w:kern w:val="0"/>
          <w:sz w:val="32"/>
          <w:szCs w:val="32"/>
          <w:lang w:eastAsia="zh-CN"/>
        </w:rPr>
        <w:t>，</w:t>
      </w:r>
      <w:r>
        <w:rPr>
          <w:rFonts w:hint="eastAsia" w:eastAsia="仿宋_GB2312" w:cs="Times New Roman"/>
          <w:sz w:val="32"/>
          <w:szCs w:val="32"/>
          <w:lang w:eastAsia="zh-CN"/>
        </w:rPr>
        <w:t>为</w:t>
      </w:r>
      <w:r>
        <w:rPr>
          <w:rFonts w:hint="default" w:ascii="Times New Roman" w:hAnsi="Times New Roman" w:eastAsia="仿宋_GB2312" w:cs="Times New Roman"/>
          <w:sz w:val="32"/>
          <w:szCs w:val="32"/>
        </w:rPr>
        <w:t>集体三资</w:t>
      </w:r>
      <w:r>
        <w:rPr>
          <w:rFonts w:hint="eastAsia" w:eastAsia="仿宋_GB2312" w:cs="Times New Roman"/>
          <w:sz w:val="32"/>
          <w:szCs w:val="32"/>
          <w:lang w:eastAsia="zh-CN"/>
        </w:rPr>
        <w:t>服务指导</w:t>
      </w:r>
      <w:r>
        <w:rPr>
          <w:rFonts w:hint="default" w:ascii="Times New Roman" w:hAnsi="Times New Roman" w:eastAsia="仿宋_GB2312" w:cs="Times New Roman"/>
          <w:sz w:val="32"/>
          <w:szCs w:val="32"/>
        </w:rPr>
        <w:t>工作顺利开展</w:t>
      </w:r>
      <w:r>
        <w:rPr>
          <w:rFonts w:hint="eastAsia" w:ascii="Times New Roman" w:hAnsi="Times New Roman" w:eastAsia="仿宋_GB2312" w:cs="Times New Roman"/>
          <w:sz w:val="32"/>
          <w:szCs w:val="32"/>
          <w:lang w:eastAsia="zh-CN"/>
        </w:rPr>
        <w:t>提供支持</w:t>
      </w:r>
      <w:r>
        <w:rPr>
          <w:rFonts w:hint="default" w:ascii="Times New Roman" w:hAnsi="Times New Roman" w:eastAsia="仿宋_GB2312" w:cs="Times New Roman"/>
          <w:sz w:val="32"/>
          <w:szCs w:val="32"/>
        </w:rPr>
        <w:t>。</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3.环境效益</w:t>
      </w:r>
      <w:r>
        <w:rPr>
          <w:rFonts w:hint="default" w:ascii="Times New Roman" w:hAnsi="Times New Roman" w:eastAsia="仿宋_GB2312" w:cs="Times New Roman"/>
          <w:color w:val="000000"/>
          <w:kern w:val="0"/>
          <w:sz w:val="32"/>
          <w:szCs w:val="32"/>
          <w:lang w:eastAsia="zh-CN"/>
        </w:rPr>
        <w:t>。改善单位公共卫生环境，</w:t>
      </w:r>
      <w:r>
        <w:rPr>
          <w:rFonts w:hint="eastAsia" w:ascii="Times New Roman" w:hAnsi="Times New Roman" w:eastAsia="仿宋_GB2312" w:cs="Times New Roman"/>
          <w:color w:val="000000"/>
          <w:kern w:val="0"/>
          <w:sz w:val="32"/>
          <w:szCs w:val="32"/>
          <w:lang w:eastAsia="zh-CN"/>
        </w:rPr>
        <w:t>营造良好的办公环境</w:t>
      </w:r>
      <w:r>
        <w:rPr>
          <w:rFonts w:hint="default" w:ascii="Times New Roman" w:hAnsi="Times New Roman" w:eastAsia="仿宋_GB2312" w:cs="Times New Roman"/>
          <w:color w:val="000000"/>
          <w:kern w:val="0"/>
          <w:sz w:val="32"/>
          <w:szCs w:val="32"/>
          <w:lang w:eastAsia="zh-CN"/>
        </w:rPr>
        <w:t>。</w:t>
      </w:r>
    </w:p>
    <w:p>
      <w:pPr>
        <w:spacing w:line="600" w:lineRule="exact"/>
        <w:ind w:left="105" w:leftChars="50" w:firstLine="480" w:firstLineChars="15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4.可持续性影响</w:t>
      </w:r>
      <w:r>
        <w:rPr>
          <w:rFonts w:hint="default" w:ascii="Times New Roman" w:hAnsi="Times New Roman" w:eastAsia="仿宋_GB2312" w:cs="Times New Roman"/>
          <w:color w:val="000000"/>
          <w:kern w:val="0"/>
          <w:sz w:val="32"/>
          <w:szCs w:val="32"/>
          <w:lang w:eastAsia="zh-CN"/>
        </w:rPr>
        <w:t>。有效保障村级记账系统和集体资金监管系统可靠、安全、可持续性运行。</w:t>
      </w:r>
    </w:p>
    <w:p>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default" w:ascii="Times New Roman" w:hAnsi="Times New Roman" w:eastAsia="仿宋_GB2312" w:cs="Times New Roman"/>
          <w:color w:val="000000"/>
          <w:kern w:val="0"/>
          <w:sz w:val="32"/>
          <w:szCs w:val="32"/>
        </w:rPr>
        <w:t>5.服务对象满意度</w:t>
      </w:r>
      <w:r>
        <w:rPr>
          <w:rFonts w:hint="default"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eastAsia="zh-CN"/>
        </w:rPr>
        <w:t>人员</w:t>
      </w:r>
      <w:r>
        <w:rPr>
          <w:rFonts w:hint="default" w:ascii="Times New Roman" w:hAnsi="Times New Roman" w:eastAsia="仿宋_GB2312" w:cs="Times New Roman"/>
          <w:color w:val="000000"/>
          <w:kern w:val="0"/>
          <w:sz w:val="32"/>
          <w:szCs w:val="32"/>
          <w:lang w:eastAsia="zh-CN"/>
        </w:rPr>
        <w:t>整体满意度高</w:t>
      </w:r>
      <w:r>
        <w:rPr>
          <w:rFonts w:hint="eastAsia" w:eastAsia="仿宋_GB2312" w:cs="Times New Roman"/>
          <w:color w:val="000000"/>
          <w:kern w:val="0"/>
          <w:sz w:val="32"/>
          <w:szCs w:val="32"/>
          <w:lang w:eastAsia="zh-CN"/>
        </w:rPr>
        <w:t>。</w:t>
      </w:r>
    </w:p>
    <w:p>
      <w:pPr>
        <w:spacing w:line="600" w:lineRule="exact"/>
        <w:rPr>
          <w:rFonts w:ascii="黑体" w:hAnsi="黑体" w:eastAsia="黑体"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rPr>
          <w:rFonts w:ascii="楷体_GB2312" w:eastAsia="楷体_GB2312"/>
          <w:sz w:val="32"/>
          <w:szCs w:val="32"/>
        </w:rPr>
      </w:pPr>
      <w:r>
        <w:rPr>
          <w:rFonts w:hint="eastAsia" w:ascii="黑体" w:hAnsi="黑体" w:eastAsia="黑体" w:cs="宋体"/>
          <w:color w:val="000000"/>
          <w:kern w:val="0"/>
          <w:sz w:val="32"/>
          <w:szCs w:val="32"/>
          <w:lang w:val="en-US" w:eastAsia="zh-CN"/>
        </w:rPr>
        <w:t xml:space="preserve">     </w:t>
      </w:r>
      <w:r>
        <w:rPr>
          <w:rFonts w:hint="eastAsia" w:ascii="楷体_GB2312" w:eastAsia="楷体_GB2312"/>
          <w:sz w:val="32"/>
          <w:szCs w:val="32"/>
        </w:rPr>
        <w:t>（一）财务管理</w:t>
      </w:r>
    </w:p>
    <w:p>
      <w:pPr>
        <w:spacing w:line="600" w:lineRule="exact"/>
        <w:ind w:left="105" w:leftChars="50" w:firstLine="480" w:firstLineChars="150"/>
        <w:rPr>
          <w:rFonts w:hint="default" w:ascii="Times New Roman" w:hAnsi="Times New Roman" w:eastAsia="仿宋_GB2312" w:cs="Times New Roman"/>
          <w:lang w:eastAsia="zh-CN"/>
        </w:rPr>
      </w:pPr>
      <w:r>
        <w:rPr>
          <w:rFonts w:hint="default" w:ascii="Times New Roman" w:hAnsi="Times New Roman" w:eastAsia="仿宋_GB2312" w:cs="Times New Roman"/>
          <w:color w:val="000000"/>
          <w:kern w:val="0"/>
          <w:sz w:val="32"/>
          <w:szCs w:val="32"/>
        </w:rPr>
        <w:t>1.财务管理制度健全性</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根据《中华人民共和国会计法》《中华人民共和国预算法》《政府会计制度》等相关规定，结合本单位实际，</w:t>
      </w: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eastAsia="zh-CN"/>
        </w:rPr>
        <w:t>对</w:t>
      </w:r>
      <w:r>
        <w:rPr>
          <w:rFonts w:hint="default" w:ascii="Times New Roman" w:hAnsi="Times New Roman" w:eastAsia="仿宋_GB2312" w:cs="Times New Roman"/>
          <w:color w:val="000000"/>
          <w:kern w:val="0"/>
          <w:sz w:val="32"/>
          <w:szCs w:val="32"/>
        </w:rPr>
        <w:t>单位内部控制制度</w:t>
      </w:r>
      <w:r>
        <w:rPr>
          <w:rFonts w:hint="default" w:ascii="Times New Roman" w:hAnsi="Times New Roman" w:eastAsia="仿宋_GB2312" w:cs="Times New Roman"/>
          <w:color w:val="000000"/>
          <w:kern w:val="0"/>
          <w:sz w:val="32"/>
          <w:szCs w:val="32"/>
          <w:lang w:eastAsia="zh-CN"/>
        </w:rPr>
        <w:t>进行整体修订完善。</w:t>
      </w:r>
    </w:p>
    <w:p>
      <w:pPr>
        <w:spacing w:line="600" w:lineRule="exact"/>
        <w:ind w:left="105" w:leftChars="50" w:firstLine="480" w:firstLineChars="150"/>
        <w:rPr>
          <w:rFonts w:hint="default" w:ascii="Times New Roman" w:hAnsi="Times New Roman" w:eastAsia="仿宋_GB2312" w:cs="Times New Roman"/>
          <w:lang w:eastAsia="zh-CN"/>
        </w:rPr>
      </w:pP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资金使用合规性和安全性</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资金使用严格</w:t>
      </w:r>
      <w:r>
        <w:rPr>
          <w:rFonts w:hint="default" w:ascii="Times New Roman" w:hAnsi="Times New Roman" w:eastAsia="仿宋_GB2312" w:cs="Times New Roman"/>
          <w:color w:val="000000"/>
          <w:kern w:val="0"/>
          <w:sz w:val="32"/>
          <w:szCs w:val="32"/>
          <w:lang w:eastAsia="zh-CN"/>
        </w:rPr>
        <w:t>按照本单位内部控制制度执行，</w:t>
      </w:r>
      <w:r>
        <w:rPr>
          <w:rFonts w:hint="default" w:ascii="Times New Roman" w:hAnsi="Times New Roman" w:eastAsia="仿宋_GB2312" w:cs="Times New Roman"/>
          <w:color w:val="000000"/>
          <w:kern w:val="0"/>
          <w:sz w:val="32"/>
          <w:szCs w:val="32"/>
        </w:rPr>
        <w:t>严格履行资金使用审批程序</w:t>
      </w:r>
      <w:r>
        <w:rPr>
          <w:rFonts w:hint="default" w:ascii="Times New Roman" w:hAnsi="Times New Roman" w:eastAsia="仿宋_GB2312" w:cs="Times New Roman"/>
          <w:color w:val="000000"/>
          <w:kern w:val="0"/>
          <w:sz w:val="32"/>
          <w:szCs w:val="32"/>
          <w:lang w:eastAsia="zh-CN"/>
        </w:rPr>
        <w:t>，确保资金使用的合规性和安全性。</w:t>
      </w:r>
    </w:p>
    <w:p>
      <w:pPr>
        <w:spacing w:line="600" w:lineRule="exact"/>
        <w:ind w:left="105" w:leftChars="50" w:firstLine="480" w:firstLineChars="15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lang w:eastAsia="zh-CN"/>
        </w:rPr>
        <w:t>会计基础信息完善性</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加强干部队伍建设，</w:t>
      </w:r>
      <w:r>
        <w:rPr>
          <w:rFonts w:hint="default" w:ascii="Times New Roman" w:hAnsi="Times New Roman" w:eastAsia="仿宋_GB2312" w:cs="Times New Roman"/>
          <w:color w:val="000000"/>
          <w:kern w:val="0"/>
          <w:sz w:val="32"/>
          <w:szCs w:val="32"/>
          <w:lang w:eastAsia="zh-CN"/>
        </w:rPr>
        <w:t>定期</w:t>
      </w:r>
      <w:r>
        <w:rPr>
          <w:rFonts w:hint="default" w:ascii="Times New Roman" w:hAnsi="Times New Roman" w:eastAsia="仿宋_GB2312" w:cs="Times New Roman"/>
          <w:color w:val="000000"/>
          <w:kern w:val="0"/>
          <w:sz w:val="32"/>
          <w:szCs w:val="32"/>
        </w:rPr>
        <w:t>对会计人员</w:t>
      </w:r>
      <w:r>
        <w:rPr>
          <w:rFonts w:hint="default" w:ascii="Times New Roman" w:hAnsi="Times New Roman" w:eastAsia="仿宋_GB2312" w:cs="Times New Roman"/>
          <w:color w:val="000000"/>
          <w:kern w:val="0"/>
          <w:sz w:val="32"/>
          <w:szCs w:val="32"/>
          <w:lang w:eastAsia="zh-CN"/>
        </w:rPr>
        <w:t>开展</w:t>
      </w:r>
      <w:r>
        <w:rPr>
          <w:rFonts w:hint="default" w:ascii="Times New Roman" w:hAnsi="Times New Roman" w:eastAsia="仿宋_GB2312" w:cs="Times New Roman"/>
          <w:color w:val="000000"/>
          <w:kern w:val="0"/>
          <w:sz w:val="32"/>
          <w:szCs w:val="32"/>
        </w:rPr>
        <w:t>职业道德教育和业务培训，提高</w:t>
      </w:r>
      <w:r>
        <w:rPr>
          <w:rFonts w:hint="default" w:ascii="Times New Roman" w:hAnsi="Times New Roman" w:eastAsia="仿宋_GB2312" w:cs="Times New Roman"/>
          <w:color w:val="000000"/>
          <w:kern w:val="0"/>
          <w:sz w:val="32"/>
          <w:szCs w:val="32"/>
          <w:lang w:eastAsia="zh-CN"/>
        </w:rPr>
        <w:t>会计人员</w:t>
      </w:r>
      <w:r>
        <w:rPr>
          <w:rFonts w:hint="default" w:ascii="Times New Roman" w:hAnsi="Times New Roman" w:eastAsia="仿宋_GB2312" w:cs="Times New Roman"/>
          <w:color w:val="000000"/>
          <w:kern w:val="0"/>
          <w:sz w:val="32"/>
          <w:szCs w:val="32"/>
        </w:rPr>
        <w:t>业务素质</w:t>
      </w:r>
      <w:r>
        <w:rPr>
          <w:rFonts w:hint="default" w:ascii="Times New Roman" w:hAnsi="Times New Roman" w:eastAsia="仿宋_GB2312" w:cs="Times New Roman"/>
          <w:color w:val="000000"/>
          <w:kern w:val="0"/>
          <w:sz w:val="32"/>
          <w:szCs w:val="32"/>
          <w:lang w:eastAsia="zh-CN"/>
        </w:rPr>
        <w:t>。</w:t>
      </w:r>
    </w:p>
    <w:p>
      <w:pPr>
        <w:spacing w:line="600" w:lineRule="exact"/>
        <w:ind w:left="105" w:leftChars="50" w:firstLine="480" w:firstLineChars="15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val="en-US" w:eastAsia="zh-CN"/>
        </w:rPr>
        <w:t>（二）</w:t>
      </w:r>
      <w:r>
        <w:rPr>
          <w:rFonts w:hint="eastAsia" w:ascii="楷体_GB2312" w:hAnsi="楷体_GB2312" w:eastAsia="楷体_GB2312" w:cs="楷体_GB2312"/>
          <w:color w:val="000000"/>
          <w:kern w:val="0"/>
          <w:sz w:val="32"/>
          <w:szCs w:val="32"/>
        </w:rPr>
        <w:t>资产管理</w:t>
      </w:r>
    </w:p>
    <w:p>
      <w:pPr>
        <w:spacing w:line="600" w:lineRule="exact"/>
        <w:ind w:left="105" w:leftChars="50" w:firstLine="480" w:firstLineChars="150"/>
        <w:rPr>
          <w:rFonts w:hint="eastAsia" w:ascii="Times New Roman" w:hAnsi="Times New Roman" w:eastAsia="仿宋_GB2312" w:cs="Times New Roman"/>
          <w:color w:val="000000"/>
          <w:kern w:val="0"/>
          <w:sz w:val="32"/>
          <w:szCs w:val="32"/>
          <w:lang w:val="en-US" w:eastAsia="zh-CN" w:bidi="ar-SA"/>
        </w:rPr>
      </w:pPr>
      <w:r>
        <w:rPr>
          <w:rFonts w:hint="eastAsia" w:eastAsia="仿宋_GB2312"/>
          <w:sz w:val="32"/>
          <w:szCs w:val="32"/>
          <w:lang w:val="en-US" w:eastAsia="zh-CN"/>
        </w:rPr>
        <w:t>按照国家、市、区各级国有资产管理有关规定和要求，</w:t>
      </w:r>
      <w:r>
        <w:rPr>
          <w:rFonts w:eastAsia="仿宋_GB2312"/>
          <w:sz w:val="32"/>
          <w:szCs w:val="32"/>
        </w:rPr>
        <w:t>充分利用现有资产，发挥资产效益，通过多项举措加强国有资产管理。一是修订</w:t>
      </w:r>
      <w:r>
        <w:rPr>
          <w:rFonts w:hint="eastAsia" w:eastAsia="仿宋_GB2312"/>
          <w:sz w:val="32"/>
          <w:szCs w:val="32"/>
          <w:lang w:eastAsia="zh-CN"/>
        </w:rPr>
        <w:t>内控制度的同时进一步</w:t>
      </w:r>
      <w:r>
        <w:rPr>
          <w:rFonts w:eastAsia="仿宋_GB2312"/>
          <w:sz w:val="32"/>
          <w:szCs w:val="32"/>
        </w:rPr>
        <w:t>完善资产管理制度。二是严格按照国有资产相关规定，履行资产处置的程序、审批权限和责任。三是加强实物资产管理，定期盘点资产，确保账实相符。</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color w:val="000000"/>
          <w:kern w:val="0"/>
          <w:sz w:val="32"/>
          <w:szCs w:val="32"/>
          <w:lang w:val="en-US" w:eastAsia="zh-CN"/>
        </w:rPr>
        <w:t xml:space="preserve">   （三）绩效管理</w:t>
      </w:r>
    </w:p>
    <w:p>
      <w:pPr>
        <w:spacing w:line="600" w:lineRule="exact"/>
        <w:rPr>
          <w:rFonts w:eastAsia="仿宋_GB2312"/>
          <w:sz w:val="32"/>
          <w:szCs w:val="32"/>
        </w:rPr>
      </w:pPr>
      <w:r>
        <w:rPr>
          <w:rFonts w:hint="eastAsia" w:eastAsia="仿宋_GB2312"/>
          <w:sz w:val="32"/>
          <w:szCs w:val="32"/>
          <w:lang w:val="en-US" w:eastAsia="zh-CN"/>
        </w:rPr>
        <w:t xml:space="preserve">    </w:t>
      </w:r>
      <w:r>
        <w:rPr>
          <w:rFonts w:eastAsia="仿宋_GB2312"/>
          <w:sz w:val="32"/>
          <w:szCs w:val="32"/>
        </w:rPr>
        <w:t>一是明确各项目责任</w:t>
      </w:r>
      <w:r>
        <w:rPr>
          <w:rFonts w:hint="eastAsia" w:eastAsia="仿宋_GB2312"/>
          <w:sz w:val="32"/>
          <w:szCs w:val="32"/>
          <w:lang w:eastAsia="zh-CN"/>
        </w:rPr>
        <w:t>人</w:t>
      </w:r>
      <w:r>
        <w:rPr>
          <w:rFonts w:eastAsia="仿宋_GB2312"/>
          <w:sz w:val="32"/>
          <w:szCs w:val="32"/>
        </w:rPr>
        <w:t>。二是明确项目完成时效。</w:t>
      </w:r>
      <w:r>
        <w:rPr>
          <w:rFonts w:hint="eastAsia" w:eastAsia="仿宋_GB2312"/>
          <w:sz w:val="32"/>
          <w:szCs w:val="32"/>
          <w:lang w:eastAsia="zh-CN"/>
        </w:rPr>
        <w:t>三是完善绩效评价过程。</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（四）结转结余率</w:t>
      </w:r>
    </w:p>
    <w:p>
      <w:pPr>
        <w:spacing w:line="600" w:lineRule="exact"/>
        <w:ind w:left="105" w:leftChars="50" w:firstLine="480" w:firstLineChars="150"/>
        <w:rPr>
          <w:rFonts w:hint="eastAsia"/>
        </w:rPr>
      </w:pPr>
      <w:r>
        <w:rPr>
          <w:rFonts w:eastAsia="仿宋_GB2312"/>
          <w:sz w:val="32"/>
          <w:szCs w:val="32"/>
        </w:rPr>
        <w:t>202</w:t>
      </w:r>
      <w:r>
        <w:rPr>
          <w:rFonts w:hint="eastAsia" w:eastAsia="仿宋_GB2312"/>
          <w:sz w:val="32"/>
          <w:szCs w:val="32"/>
          <w:lang w:val="en-US" w:eastAsia="zh-CN"/>
        </w:rPr>
        <w:t>4</w:t>
      </w:r>
      <w:r>
        <w:rPr>
          <w:rFonts w:eastAsia="仿宋_GB2312"/>
          <w:sz w:val="32"/>
          <w:szCs w:val="32"/>
        </w:rPr>
        <w:t>年结转结余率为0%。</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（五）部门预决算差异率</w:t>
      </w:r>
    </w:p>
    <w:p>
      <w:pPr>
        <w:spacing w:line="600" w:lineRule="exact"/>
        <w:rPr>
          <w:rFonts w:hint="eastAsia" w:eastAsia="仿宋_GB2312"/>
          <w:sz w:val="32"/>
          <w:szCs w:val="32"/>
          <w:lang w:val="en-US" w:eastAsia="zh-CN"/>
        </w:rPr>
      </w:pPr>
      <w:r>
        <w:rPr>
          <w:rFonts w:hint="eastAsia" w:eastAsia="仿宋_GB2312"/>
          <w:sz w:val="32"/>
          <w:szCs w:val="32"/>
          <w:lang w:val="en-US" w:eastAsia="zh-CN"/>
        </w:rPr>
        <w:t xml:space="preserve">    </w:t>
      </w:r>
      <w:r>
        <w:rPr>
          <w:rFonts w:eastAsia="仿宋_GB2312"/>
          <w:sz w:val="32"/>
          <w:szCs w:val="32"/>
          <w:lang w:val="en-US" w:eastAsia="zh-CN"/>
        </w:rPr>
        <w:t>202</w:t>
      </w:r>
      <w:r>
        <w:rPr>
          <w:rFonts w:hint="eastAsia" w:eastAsia="仿宋_GB2312"/>
          <w:sz w:val="32"/>
          <w:szCs w:val="32"/>
          <w:lang w:val="en-US" w:eastAsia="zh-CN"/>
        </w:rPr>
        <w:t>4</w:t>
      </w:r>
      <w:r>
        <w:rPr>
          <w:rFonts w:eastAsia="仿宋_GB2312"/>
          <w:sz w:val="32"/>
          <w:szCs w:val="32"/>
          <w:lang w:val="en-US" w:eastAsia="zh-CN"/>
        </w:rPr>
        <w:t>年部门预决算差异率为</w:t>
      </w:r>
      <w:r>
        <w:rPr>
          <w:rFonts w:hint="eastAsia" w:eastAsia="仿宋_GB2312"/>
          <w:sz w:val="32"/>
          <w:szCs w:val="32"/>
          <w:lang w:val="en-US" w:eastAsia="zh-CN"/>
        </w:rPr>
        <w:t>4.06</w:t>
      </w:r>
      <w:r>
        <w:rPr>
          <w:rFonts w:eastAsia="仿宋_GB2312"/>
          <w:sz w:val="32"/>
          <w:szCs w:val="32"/>
          <w:lang w:val="en-US" w:eastAsia="zh-CN"/>
        </w:rPr>
        <w:t>%</w:t>
      </w:r>
      <w:r>
        <w:rPr>
          <w:rFonts w:hint="eastAsia" w:eastAsia="仿宋_GB2312"/>
          <w:sz w:val="32"/>
          <w:szCs w:val="32"/>
          <w:lang w:val="en-US" w:eastAsia="zh-CN"/>
        </w:rPr>
        <w:t>。产生差异的原因主要是追加</w:t>
      </w:r>
      <w:r>
        <w:rPr>
          <w:rFonts w:hint="eastAsia" w:eastAsia="仿宋_GB2312"/>
          <w:sz w:val="32"/>
          <w:szCs w:val="32"/>
          <w:lang w:eastAsia="zh-CN"/>
        </w:rPr>
        <w:t>产业发展经费</w:t>
      </w:r>
      <w:r>
        <w:rPr>
          <w:rFonts w:eastAsia="仿宋_GB2312"/>
          <w:sz w:val="32"/>
          <w:szCs w:val="32"/>
        </w:rPr>
        <w:t>导致。</w:t>
      </w:r>
    </w:p>
    <w:p>
      <w:pPr>
        <w:spacing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五、总体评价结论</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（一）评价得分情况</w:t>
      </w:r>
    </w:p>
    <w:p>
      <w:pPr>
        <w:spacing w:line="600" w:lineRule="exact"/>
        <w:ind w:left="105" w:leftChars="50" w:firstLine="480" w:firstLineChars="150"/>
        <w:rPr>
          <w:rFonts w:hint="eastAsia" w:ascii="Times New Roman" w:hAnsi="Times New Roman" w:eastAsia="仿宋_GB2312" w:cs="Times New Roman"/>
          <w:kern w:val="2"/>
          <w:sz w:val="32"/>
          <w:szCs w:val="32"/>
          <w:lang w:val="en-US" w:eastAsia="zh-CN" w:bidi="ar-SA"/>
        </w:rPr>
      </w:pPr>
      <w:r>
        <w:rPr>
          <w:rFonts w:eastAsia="仿宋_GB2312"/>
          <w:sz w:val="32"/>
          <w:szCs w:val="32"/>
        </w:rPr>
        <w:t>综合各项目绩效自评情况，202</w:t>
      </w:r>
      <w:r>
        <w:rPr>
          <w:rFonts w:hint="eastAsia" w:eastAsia="仿宋_GB2312"/>
          <w:sz w:val="32"/>
          <w:szCs w:val="32"/>
          <w:lang w:val="en-US" w:eastAsia="zh-CN"/>
        </w:rPr>
        <w:t>4</w:t>
      </w:r>
      <w:r>
        <w:rPr>
          <w:rFonts w:eastAsia="仿宋_GB2312"/>
          <w:sz w:val="32"/>
          <w:szCs w:val="32"/>
        </w:rPr>
        <w:t>年部门整体绩效自评</w:t>
      </w:r>
      <w:r>
        <w:rPr>
          <w:rFonts w:eastAsia="仿宋_GB2312"/>
          <w:sz w:val="32"/>
          <w:szCs w:val="32"/>
          <w:highlight w:val="none"/>
        </w:rPr>
        <w:t>99.</w:t>
      </w:r>
      <w:r>
        <w:rPr>
          <w:rFonts w:hint="eastAsia" w:eastAsia="仿宋_GB2312"/>
          <w:sz w:val="32"/>
          <w:szCs w:val="32"/>
          <w:highlight w:val="none"/>
          <w:lang w:val="en-US" w:eastAsia="zh-CN"/>
        </w:rPr>
        <w:t>96</w:t>
      </w:r>
      <w:r>
        <w:rPr>
          <w:rFonts w:eastAsia="仿宋_GB2312"/>
          <w:sz w:val="32"/>
          <w:szCs w:val="32"/>
        </w:rPr>
        <w:t>分，实现部门整体绩效目标。</w:t>
      </w:r>
    </w:p>
    <w:p>
      <w:pPr>
        <w:spacing w:line="600" w:lineRule="exact"/>
        <w:rPr>
          <w:rFonts w:hint="eastAsia" w:ascii="楷体_GB2312" w:hAnsi="楷体_GB2312" w:eastAsia="楷体_GB2312" w:cs="楷体_GB2312"/>
          <w:sz w:val="32"/>
          <w:szCs w:val="32"/>
        </w:rPr>
      </w:pPr>
      <w:r>
        <w:rPr>
          <w:rFonts w:hint="eastAsia" w:ascii="Times New Roman" w:hAnsi="Times New Roman" w:eastAsia="仿宋_GB2312" w:cs="Times New Roman"/>
          <w:kern w:val="2"/>
          <w:sz w:val="32"/>
          <w:szCs w:val="32"/>
          <w:lang w:val="en-US" w:eastAsia="zh-CN" w:bidi="ar-SA"/>
        </w:rPr>
        <w:t xml:space="preserve">  </w:t>
      </w:r>
      <w:r>
        <w:rPr>
          <w:rFonts w:hint="eastAsia" w:eastAsia="仿宋_GB2312" w:cs="Times New Roman"/>
          <w:kern w:val="2"/>
          <w:sz w:val="32"/>
          <w:szCs w:val="32"/>
          <w:lang w:val="en-US" w:eastAsia="zh-CN" w:bidi="ar-SA"/>
        </w:rPr>
        <w:t xml:space="preserve"> </w:t>
      </w:r>
      <w:r>
        <w:rPr>
          <w:rFonts w:hint="eastAsia" w:ascii="Times New Roman" w:hAnsi="Times New Roman" w:eastAsia="仿宋_GB2312" w:cs="Times New Roman"/>
          <w:kern w:val="2"/>
          <w:sz w:val="32"/>
          <w:szCs w:val="32"/>
          <w:lang w:val="en-US" w:eastAsia="zh-CN" w:bidi="ar-SA"/>
        </w:rPr>
        <w:t xml:space="preserve"> </w:t>
      </w:r>
      <w:r>
        <w:rPr>
          <w:rFonts w:hint="eastAsia" w:ascii="楷体_GB2312" w:hAnsi="楷体_GB2312" w:eastAsia="楷体_GB2312" w:cs="楷体_GB2312"/>
          <w:sz w:val="32"/>
          <w:szCs w:val="32"/>
          <w:lang w:val="en-US" w:eastAsia="zh-CN"/>
        </w:rPr>
        <w:t>（二）存在的问</w:t>
      </w:r>
      <w:r>
        <w:rPr>
          <w:rFonts w:hint="eastAsia" w:ascii="楷体_GB2312" w:hAnsi="楷体_GB2312" w:eastAsia="楷体_GB2312" w:cs="楷体_GB2312"/>
          <w:sz w:val="32"/>
          <w:szCs w:val="32"/>
        </w:rPr>
        <w:t>题及原因分析</w:t>
      </w:r>
    </w:p>
    <w:p>
      <w:pPr>
        <w:pStyle w:val="2"/>
        <w:ind w:left="0" w:leftChars="0" w:firstLine="0" w:firstLineChars="0"/>
        <w:rPr>
          <w:rFonts w:hint="eastAsia" w:eastAsia="楷体_GB2312"/>
          <w:lang w:val="en-US" w:eastAsia="zh-CN"/>
        </w:rPr>
      </w:pP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无。</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六、措施建议</w:t>
      </w:r>
    </w:p>
    <w:p>
      <w:pPr>
        <w:ind w:firstLine="64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将进一步明确项目绩效目标的设置要求，统一细化标准，严格要求各项目分管科室科学分解项目的具体绩效目标，更合理完整的体现项目的预期实施成效。</w:t>
      </w:r>
    </w:p>
    <w:p>
      <w:pPr>
        <w:pStyle w:val="2"/>
        <w:ind w:firstLine="640"/>
        <w:rPr>
          <w:rFonts w:hint="eastAsia" w:ascii="仿宋_GB2312" w:hAnsi="宋体" w:eastAsia="仿宋_GB2312" w:cs="宋体"/>
          <w:color w:val="000000"/>
          <w:kern w:val="0"/>
          <w:sz w:val="32"/>
          <w:szCs w:val="32"/>
          <w:lang w:val="en-US" w:eastAsia="zh-CN" w:bidi="ar-SA"/>
        </w:rPr>
      </w:pPr>
    </w:p>
    <w:p>
      <w:pPr>
        <w:wordWrap w:val="0"/>
        <w:spacing w:line="600" w:lineRule="exact"/>
        <w:ind w:firstLine="640" w:firstLineChars="200"/>
        <w:jc w:val="right"/>
        <w:rPr>
          <w:rFonts w:hint="eastAsia" w:eastAsia="仿宋_GB2312"/>
          <w:color w:val="000000"/>
          <w:kern w:val="0"/>
          <w:sz w:val="32"/>
          <w:szCs w:val="32"/>
        </w:rPr>
      </w:pPr>
      <w:r>
        <w:rPr>
          <w:rFonts w:hint="eastAsia" w:eastAsia="仿宋_GB2312"/>
          <w:color w:val="000000"/>
          <w:kern w:val="0"/>
          <w:sz w:val="32"/>
          <w:szCs w:val="32"/>
        </w:rPr>
        <w:t>北京市朝阳区农村合作经济经营管理站</w:t>
      </w:r>
    </w:p>
    <w:p>
      <w:pPr>
        <w:wordWrap w:val="0"/>
        <w:spacing w:line="600" w:lineRule="exact"/>
        <w:ind w:firstLine="640" w:firstLineChars="200"/>
        <w:jc w:val="right"/>
        <w:rPr>
          <w:rFonts w:eastAsia="仿宋_GB2312"/>
          <w:color w:val="000000"/>
          <w:kern w:val="0"/>
          <w:sz w:val="32"/>
          <w:szCs w:val="32"/>
        </w:rPr>
      </w:pPr>
      <w:r>
        <w:rPr>
          <w:rFonts w:hint="eastAsia" w:eastAsia="仿宋_GB2312"/>
          <w:color w:val="000000"/>
          <w:kern w:val="0"/>
          <w:sz w:val="32"/>
          <w:szCs w:val="32"/>
        </w:rPr>
        <w:t>202</w:t>
      </w:r>
      <w:r>
        <w:rPr>
          <w:rFonts w:hint="eastAsia" w:eastAsia="仿宋_GB2312"/>
          <w:color w:val="000000"/>
          <w:kern w:val="0"/>
          <w:sz w:val="32"/>
          <w:szCs w:val="32"/>
          <w:lang w:val="en-US" w:eastAsia="zh-CN"/>
        </w:rPr>
        <w:t>5</w:t>
      </w:r>
      <w:r>
        <w:rPr>
          <w:rFonts w:hint="eastAsia" w:eastAsia="仿宋_GB2312"/>
          <w:color w:val="000000"/>
          <w:kern w:val="0"/>
          <w:sz w:val="32"/>
          <w:szCs w:val="32"/>
        </w:rPr>
        <w:t>年</w:t>
      </w:r>
      <w:r>
        <w:rPr>
          <w:rFonts w:hint="eastAsia" w:eastAsia="仿宋_GB2312"/>
          <w:color w:val="000000"/>
          <w:kern w:val="0"/>
          <w:sz w:val="32"/>
          <w:szCs w:val="32"/>
          <w:lang w:val="en-US" w:eastAsia="zh-CN"/>
        </w:rPr>
        <w:t>2</w:t>
      </w:r>
      <w:r>
        <w:rPr>
          <w:rFonts w:hint="eastAsia" w:eastAsia="仿宋_GB2312"/>
          <w:color w:val="000000"/>
          <w:kern w:val="0"/>
          <w:sz w:val="32"/>
          <w:szCs w:val="32"/>
        </w:rPr>
        <w:t>月</w:t>
      </w:r>
      <w:r>
        <w:rPr>
          <w:rFonts w:hint="eastAsia" w:eastAsia="仿宋_GB2312"/>
          <w:color w:val="000000"/>
          <w:kern w:val="0"/>
          <w:sz w:val="32"/>
          <w:szCs w:val="32"/>
          <w:lang w:val="en-US" w:eastAsia="zh-CN"/>
        </w:rPr>
        <w:t>14</w:t>
      </w:r>
      <w:r>
        <w:rPr>
          <w:rFonts w:hint="eastAsia" w:eastAsia="仿宋_GB2312"/>
          <w:color w:val="000000"/>
          <w:kern w:val="0"/>
          <w:sz w:val="32"/>
          <w:szCs w:val="32"/>
        </w:rPr>
        <w:t xml:space="preserve">日         </w:t>
      </w:r>
    </w:p>
    <w:p>
      <w:pPr>
        <w:pStyle w:val="2"/>
        <w:ind w:left="0" w:leftChars="0" w:firstLine="0" w:firstLineChars="0"/>
      </w:pPr>
    </w:p>
    <w:p>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0030101010101"/>
    <w:charset w:val="86"/>
    <w:family w:val="roma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0"/>
    <w:family w:val="modern"/>
    <w:pitch w:val="default"/>
    <w:sig w:usb0="00007A87" w:usb1="8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黑体">
    <w:panose1 w:val="0201060003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00007A87" w:usb1="80000000" w:usb2="00000008"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黑体">
    <w:panose1 w:val="02010600030101010101"/>
    <w:charset w:val="86"/>
    <w:family w:val="swiss"/>
    <w:pitch w:val="default"/>
    <w:sig w:usb0="800002BF" w:usb1="38CF7CFA" w:usb2="00000016" w:usb3="00000000" w:csb0="00040001" w:csb1="00000000"/>
  </w:font>
  <w:font w:name="楷体_GB2312">
    <w:panose1 w:val="02010609030101010101"/>
    <w:charset w:val="86"/>
    <w:family w:val="swiss"/>
    <w:pitch w:val="default"/>
    <w:sig w:usb0="00000001" w:usb1="080E0000" w:usb2="00000000" w:usb3="00000000" w:csb0="00040000" w:csb1="00000000"/>
  </w:font>
  <w:font w:name="Calibri Light">
    <w:panose1 w:val="020F0302020204030204"/>
    <w:charset w:val="00"/>
    <w:family w:val="decorative"/>
    <w:pitch w:val="default"/>
    <w:sig w:usb0="A00002EF" w:usb1="4000207B" w:usb2="00000000" w:usb3="00000000" w:csb0="2000019F" w:csb1="00000000"/>
  </w:font>
  <w:font w:name="Arial">
    <w:panose1 w:val="020B0604020202020204"/>
    <w:charset w:val="00"/>
    <w:family w:val="decorative"/>
    <w:pitch w:val="default"/>
    <w:sig w:usb0="00007A87" w:usb1="80000000" w:usb2="00000008" w:usb3="00000000" w:csb0="400001FF" w:csb1="FFFF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黑体">
    <w:panose1 w:val="02010600030101010101"/>
    <w:charset w:val="86"/>
    <w:family w:val="decorative"/>
    <w:pitch w:val="default"/>
    <w:sig w:usb0="800002BF" w:usb1="38CF7CFA" w:usb2="00000016" w:usb3="00000000" w:csb0="00040001" w:csb1="00000000"/>
  </w:font>
  <w:font w:name="楷体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Arial">
    <w:panose1 w:val="020B0604020202020204"/>
    <w:charset w:val="00"/>
    <w:family w:val="roman"/>
    <w:pitch w:val="default"/>
    <w:sig w:usb0="00007A87" w:usb1="80000000" w:usb2="00000008" w:usb3="00000000" w:csb0="400001FF" w:csb1="FFFF0000"/>
  </w:font>
  <w:font w:name="仿宋">
    <w:panose1 w:val="02010609060101010101"/>
    <w:charset w:val="86"/>
    <w:family w:val="decorative"/>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PingFang SC Regular">
    <w:altName w:val="Times New Roman"/>
    <w:panose1 w:val="00000000000000000000"/>
    <w:charset w:val="00"/>
    <w:family w:val="roman"/>
    <w:pitch w:val="default"/>
    <w:sig w:usb0="00000000" w:usb1="00000000" w:usb2="00000000" w:usb3="00000000" w:csb0="00000000" w:csb1="00000000"/>
  </w:font>
  <w:font w:name="PingFang SC Semibold">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decorative"/>
    <w:pitch w:val="default"/>
    <w:sig w:usb0="FFFFFFFF" w:usb1="E9FFFFFF" w:usb2="0000003F" w:usb3="00000000" w:csb0="603F01FF" w:csb1="FFFF0000"/>
  </w:font>
  <w:font w:name="PingFang SC Regular">
    <w:altName w:val="Times New Roman"/>
    <w:panose1 w:val="00000000000000000000"/>
    <w:charset w:val="00"/>
    <w:family w:val="modern"/>
    <w:pitch w:val="default"/>
    <w:sig w:usb0="00000000" w:usb1="00000000" w:usb2="00000000" w:usb3="00000000" w:csb0="00000000" w:csb1="00000000"/>
  </w:font>
  <w:font w:name="PingFang SC Semibold">
    <w:altName w:val="Times New Roman"/>
    <w:panose1 w:val="00000000000000000000"/>
    <w:charset w:val="00"/>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PingFang SC Regular">
    <w:altName w:val="Times New Roman"/>
    <w:panose1 w:val="00000000000000000000"/>
    <w:charset w:val="00"/>
    <w:family w:val="swiss"/>
    <w:pitch w:val="default"/>
    <w:sig w:usb0="00000000" w:usb1="00000000" w:usb2="00000000" w:usb3="00000000" w:csb0="00000000" w:csb1="00000000"/>
  </w:font>
  <w:font w:name="PingFang SC Semibold">
    <w:altName w:val="Times New Roman"/>
    <w:panose1 w:val="00000000000000000000"/>
    <w:charset w:val="00"/>
    <w:family w:val="swiss"/>
    <w:pitch w:val="default"/>
    <w:sig w:usb0="00000000" w:usb1="00000000" w:usb2="00000000" w:usb3="00000000" w:csb0="00000000" w:csb1="00000000"/>
  </w:font>
  <w:font w:name="Arial Unicode MS">
    <w:panose1 w:val="020B0604020202020204"/>
    <w:charset w:val="86"/>
    <w:family w:val="modern"/>
    <w:pitch w:val="default"/>
    <w:sig w:usb0="FFFFFFFF" w:usb1="E9FFFFFF" w:usb2="0000003F" w:usb3="00000000" w:csb0="603F01FF" w:csb1="FFFF0000"/>
  </w:font>
  <w:font w:name="PingFang SC Regular">
    <w:altName w:val="Times New Roman"/>
    <w:panose1 w:val="00000000000000000000"/>
    <w:charset w:val="00"/>
    <w:family w:val="decorative"/>
    <w:pitch w:val="default"/>
    <w:sig w:usb0="00000000" w:usb1="00000000" w:usb2="00000000" w:usb3="00000000" w:csb0="00000000" w:csb1="00000000"/>
  </w:font>
  <w:font w:name="PingFang SC Semibold">
    <w:altName w:val="Times New Roman"/>
    <w:panose1 w:val="00000000000000000000"/>
    <w:charset w:val="00"/>
    <w:family w:val="decorative"/>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28"/>
      </w:rPr>
      <mc:AlternateContent>
        <mc:Choice Requires="wps">
          <w:drawing>
            <wp:anchor distT="0" distB="0" distL="114300" distR="114300" simplePos="0" relativeHeight="251659264" behindDoc="0" locked="0" layoutInCell="1" allowOverlap="1">
              <wp:simplePos x="0" y="0"/>
              <wp:positionH relativeFrom="margin">
                <wp:posOffset>2608580</wp:posOffset>
              </wp:positionH>
              <wp:positionV relativeFrom="paragraph">
                <wp:posOffset>0</wp:posOffset>
              </wp:positionV>
              <wp:extent cx="762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jc w:val="right"/>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PAGE   \* MERGEFORMAT</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lang w:val="zh-CN"/>
                            </w:rPr>
                            <w:t>-</w:t>
                          </w:r>
                          <w:r>
                            <w:rPr>
                              <w:rFonts w:hint="default" w:ascii="Times New Roman" w:hAnsi="Times New Roman" w:cs="Times New Roman"/>
                              <w:sz w:val="20"/>
                              <w:szCs w:val="20"/>
                            </w:rPr>
                            <w:t xml:space="preserve"> 2 -</w:t>
                          </w:r>
                          <w:r>
                            <w:rPr>
                              <w:rFonts w:hint="default" w:ascii="Times New Roman" w:hAnsi="Times New Roman" w:cs="Times New Roman"/>
                              <w:sz w:val="20"/>
                              <w:szCs w:val="20"/>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4pt;margin-top:0pt;height:144pt;width:6pt;mso-position-horizontal-relative:margin;z-index:251659264;mso-width-relative:page;mso-height-relative:page;" filled="f" stroked="f" coordsize="21600,21600" o:gfxdata="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HvWa/VAAAACAEAAA8AAAAAAAAA&#10;AQAgAAAAIgAAAGRycy9kb3ducmV2LnhtbFBLAQIUABQAAAAIAIdO4kC5KYQjFAIAAAcEAAAOAAAA&#10;AAAAAAEAIAAAACQBAABkcnMvZTJvRG9jLnhtbFBLBQYAAAAABgAGAFkBAACqBQAAAAA=&#10;">
              <v:fill on="f" focussize="0,0"/>
              <v:stroke on="f" weight="0.5pt"/>
              <v:imagedata o:title=""/>
              <o:lock v:ext="edit" aspectratio="f"/>
              <v:textbox inset="0mm,0mm,0mm,0mm" style="mso-fit-shape-to-text:t;">
                <w:txbxContent>
                  <w:p>
                    <w:pPr>
                      <w:pStyle w:val="4"/>
                      <w:jc w:val="right"/>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PAGE   \* MERGEFORMAT</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lang w:val="zh-CN"/>
                      </w:rPr>
                      <w:t>-</w:t>
                    </w:r>
                    <w:r>
                      <w:rPr>
                        <w:rFonts w:hint="default" w:ascii="Times New Roman" w:hAnsi="Times New Roman" w:cs="Times New Roman"/>
                        <w:sz w:val="20"/>
                        <w:szCs w:val="20"/>
                      </w:rPr>
                      <w:t xml:space="preserve"> 2 -</w:t>
                    </w:r>
                    <w:r>
                      <w:rPr>
                        <w:rFonts w:hint="default" w:ascii="Times New Roman" w:hAnsi="Times New Roman" w:cs="Times New Roman"/>
                        <w:sz w:val="20"/>
                        <w:szCs w:val="2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23434C"/>
    <w:rsid w:val="00465181"/>
    <w:rsid w:val="0057202C"/>
    <w:rsid w:val="005E3946"/>
    <w:rsid w:val="0060746B"/>
    <w:rsid w:val="00826643"/>
    <w:rsid w:val="00954F6E"/>
    <w:rsid w:val="00B03B70"/>
    <w:rsid w:val="00CF07EE"/>
    <w:rsid w:val="00E617B2"/>
    <w:rsid w:val="00F42C33"/>
    <w:rsid w:val="011C6E88"/>
    <w:rsid w:val="08F92A12"/>
    <w:rsid w:val="10AE3071"/>
    <w:rsid w:val="11FB08F1"/>
    <w:rsid w:val="17183FDB"/>
    <w:rsid w:val="1D3A56B0"/>
    <w:rsid w:val="20B1179C"/>
    <w:rsid w:val="220E3B63"/>
    <w:rsid w:val="24696044"/>
    <w:rsid w:val="291011A8"/>
    <w:rsid w:val="2BE00460"/>
    <w:rsid w:val="2D732582"/>
    <w:rsid w:val="431D4403"/>
    <w:rsid w:val="455D26BB"/>
    <w:rsid w:val="4AFD1301"/>
    <w:rsid w:val="4B143B03"/>
    <w:rsid w:val="4EC92961"/>
    <w:rsid w:val="5AD96946"/>
    <w:rsid w:val="5B1D39DF"/>
    <w:rsid w:val="60AC01FD"/>
    <w:rsid w:val="62AA636E"/>
    <w:rsid w:val="66CA0C55"/>
    <w:rsid w:val="691D2153"/>
    <w:rsid w:val="6D9267D1"/>
    <w:rsid w:val="6E0E5CF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iPriority="0" w:semiHidden="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lock Text"/>
    <w:basedOn w:val="1"/>
    <w:unhideWhenUsed/>
    <w:qFormat/>
    <w:uiPriority w:val="0"/>
    <w:pPr>
      <w:spacing w:after="120"/>
      <w:ind w:left="1440" w:leftChars="700" w:right="1440" w:rightChars="700"/>
    </w:pPr>
  </w:style>
  <w:style w:type="paragraph" w:styleId="3">
    <w:name w:val="Balloon Text"/>
    <w:basedOn w:val="1"/>
    <w:link w:val="9"/>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qFormat/>
    <w:uiPriority w:val="0"/>
    <w:rPr>
      <w:rFonts w:ascii="Times New Roman" w:hAnsi="Times New Roman" w:eastAsia="宋体" w:cs="Times New Roman"/>
      <w:kern w:val="2"/>
      <w:sz w:val="18"/>
      <w:szCs w:val="18"/>
    </w:rPr>
  </w:style>
  <w:style w:type="character" w:customStyle="1" w:styleId="9">
    <w:name w:val="批注框文本 字符"/>
    <w:basedOn w:val="6"/>
    <w:link w:val="3"/>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Words>
  <Characters>448</Characters>
  <Lines>3</Lines>
  <Paragraphs>1</Paragraphs>
  <ScaleCrop>false</ScaleCrop>
  <LinksUpToDate>false</LinksUpToDate>
  <CharactersWithSpaces>525</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Lenovo</cp:lastModifiedBy>
  <cp:lastPrinted>2025-08-28T03:35:48Z</cp:lastPrinted>
  <dcterms:modified xsi:type="dcterms:W3CDTF">2025-08-28T03:35:56Z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