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85723" w:rsidRDefault="00FF155E">
      <w:pPr>
        <w:spacing w:line="560" w:lineRule="exact"/>
        <w:rPr>
          <w:rFonts w:eastAsia="仿宋_GB2312"/>
          <w:b w:val="0"/>
          <w:sz w:val="32"/>
          <w:szCs w:val="32"/>
        </w:rPr>
      </w:pPr>
      <w:bookmarkStart w:id="0" w:name="_GoBack"/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147"/>
        <w:gridCol w:w="690"/>
        <w:gridCol w:w="277"/>
        <w:gridCol w:w="280"/>
        <w:gridCol w:w="416"/>
        <w:gridCol w:w="141"/>
        <w:gridCol w:w="695"/>
        <w:gridCol w:w="699"/>
      </w:tblGrid>
      <w:tr w:rsidR="00E85723">
        <w:trPr>
          <w:trHeight w:hRule="exact" w:val="440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5723" w:rsidRDefault="00FF155E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E85723">
        <w:trPr>
          <w:trHeight w:val="194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E85723" w:rsidRDefault="00FF155E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E85723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非首都功能疏解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 xml:space="preserve"> </w:t>
            </w:r>
          </w:p>
        </w:tc>
      </w:tr>
      <w:tr w:rsidR="00E85723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朝阳区发展改革委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朝阳区发展改革委</w:t>
            </w:r>
          </w:p>
        </w:tc>
      </w:tr>
      <w:tr w:rsidR="00E85723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杨作毅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650905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93</w:t>
            </w:r>
          </w:p>
        </w:tc>
      </w:tr>
      <w:tr w:rsidR="00E85723">
        <w:trPr>
          <w:trHeight w:hRule="exact" w:val="1089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E85723">
        <w:trPr>
          <w:trHeight w:hRule="exact" w:val="108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180000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16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00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180100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99.17%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E85723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180000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16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00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85723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85723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85723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实际完成情况</w:t>
            </w:r>
          </w:p>
        </w:tc>
      </w:tr>
      <w:tr w:rsidR="00E85723" w:rsidTr="00AE6E8A">
        <w:trPr>
          <w:trHeight w:hRule="exact" w:val="3712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年，根据《朝阳区街道地区功能疏解专项资金管理办法》、《朝阳区农村地区功能疏解专项资金管理办法》，经相关程序审议，全年安排非首都功能疏解专项资金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.16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亿元，主要是为推动朝阳区不符合首都定位的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产业疏解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拆除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等相关工作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提供资金保障。</w:t>
            </w:r>
          </w:p>
        </w:tc>
        <w:tc>
          <w:tcPr>
            <w:tcW w:w="33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 w:rsidP="00AE6E8A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全年共为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40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个街乡建筑物拆除提供了启动资金，为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36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个街乡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188.28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万平方米建筑物拆除结算了尾款，并支付了第三方机构相关测绘复核费用，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为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个乡提供了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农村地区私搭乱建拆除资金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，为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个乡提供了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农业园区整治拆除资金，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有利推动了相关点位拆除工作。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同时，为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个乡安排了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“战略留白”临时绿化资金，为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个乡提供了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遗留建筑垃圾治理资金，另外拨付了公园配套用房出租专项整治资金。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项目实际支出一方面加快推动了地区低端产业退出，为后续发展提供了充足的土地资源；另一方面改善了居民生活环境，进一步提高宜居生活质量，且有力的带动其他疏解项目开展。</w:t>
            </w:r>
          </w:p>
        </w:tc>
      </w:tr>
      <w:tr w:rsidR="00E85723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E85723" w:rsidRDefault="00FF15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E85723" w:rsidRDefault="00FF15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85723">
        <w:trPr>
          <w:trHeight w:hRule="exact" w:val="112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产出数量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面向全区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各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街乡拆控违工作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8572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8572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85723">
        <w:trPr>
          <w:trHeight w:hRule="exact" w:val="107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产出质量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按照市区相关文件要求完成工作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8572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8572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85723">
        <w:trPr>
          <w:trHeight w:hRule="exact" w:val="9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产出进度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按年度计划完成市区进度要求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8572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8572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85723">
        <w:trPr>
          <w:trHeight w:hRule="exact" w:val="10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项目总成本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控制在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16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万元以内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有效控制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8572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8572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8572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E85723" w:rsidRDefault="00FF15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8572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85723">
        <w:trPr>
          <w:trHeight w:hRule="exact" w:val="4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85723">
        <w:trPr>
          <w:trHeight w:hRule="exact" w:val="9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E85723" w:rsidRDefault="00FF15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产生的社会效益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疏解非首都功能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达到预期目标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8572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8572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8572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E85723" w:rsidRDefault="00FF15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8572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8572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8572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8572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8572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85723">
        <w:trPr>
          <w:trHeight w:hRule="exact" w:val="117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E85723" w:rsidRDefault="00FF15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实现预期满意度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8572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8572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85723">
        <w:trPr>
          <w:trHeight w:hRule="exact" w:val="291"/>
          <w:jc w:val="center"/>
        </w:trPr>
        <w:tc>
          <w:tcPr>
            <w:tcW w:w="64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FF155E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723" w:rsidRDefault="00E8572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E85723" w:rsidRDefault="00FF155E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ascii="宋体" w:hAnsi="宋体" w:hint="eastAsia"/>
          <w:sz w:val="24"/>
          <w:szCs w:val="32"/>
        </w:rPr>
        <w:t>郑杰</w:t>
      </w:r>
      <w:r w:rsidR="00605ADD">
        <w:rPr>
          <w:rFonts w:ascii="宋体" w:hAnsi="宋体" w:hint="eastAsia"/>
          <w:sz w:val="24"/>
          <w:szCs w:val="32"/>
        </w:rPr>
        <w:t xml:space="preserve">      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 w:hint="eastAsia"/>
          <w:sz w:val="24"/>
          <w:szCs w:val="32"/>
        </w:rPr>
        <w:t>65090593</w:t>
      </w:r>
      <w:r w:rsidR="00605ADD">
        <w:rPr>
          <w:rFonts w:ascii="宋体" w:hAnsi="宋体" w:hint="eastAsia"/>
          <w:sz w:val="24"/>
          <w:szCs w:val="32"/>
        </w:rPr>
        <w:t xml:space="preserve">       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2021.03.29</w:t>
      </w:r>
      <w:bookmarkEnd w:id="0"/>
    </w:p>
    <w:sectPr w:rsidR="00E85723" w:rsidSect="00E85723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155E" w:rsidRDefault="00FF155E" w:rsidP="00AE6E8A">
      <w:r>
        <w:separator/>
      </w:r>
    </w:p>
  </w:endnote>
  <w:endnote w:type="continuationSeparator" w:id="1">
    <w:p w:rsidR="00FF155E" w:rsidRDefault="00FF155E" w:rsidP="00AE6E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155E" w:rsidRDefault="00FF155E" w:rsidP="00AE6E8A">
      <w:r>
        <w:separator/>
      </w:r>
    </w:p>
  </w:footnote>
  <w:footnote w:type="continuationSeparator" w:id="1">
    <w:p w:rsidR="00FF155E" w:rsidRDefault="00FF155E" w:rsidP="00AE6E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72A27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72A27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B43C5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05ADD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AE6E8A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85723"/>
    <w:rsid w:val="00EA2619"/>
    <w:rsid w:val="00EE2A07"/>
    <w:rsid w:val="00EF5211"/>
    <w:rsid w:val="00F74CFE"/>
    <w:rsid w:val="00F849D5"/>
    <w:rsid w:val="00FA72DB"/>
    <w:rsid w:val="00FF155E"/>
    <w:rsid w:val="011D5578"/>
    <w:rsid w:val="032957F5"/>
    <w:rsid w:val="07457D36"/>
    <w:rsid w:val="0AF143CA"/>
    <w:rsid w:val="0D252A50"/>
    <w:rsid w:val="0D4E44D4"/>
    <w:rsid w:val="0FD71D45"/>
    <w:rsid w:val="10E72CEF"/>
    <w:rsid w:val="14182088"/>
    <w:rsid w:val="18E76355"/>
    <w:rsid w:val="19217F78"/>
    <w:rsid w:val="193F288E"/>
    <w:rsid w:val="19C02BE3"/>
    <w:rsid w:val="1EEA493D"/>
    <w:rsid w:val="20990D04"/>
    <w:rsid w:val="21866767"/>
    <w:rsid w:val="27476F64"/>
    <w:rsid w:val="28A82627"/>
    <w:rsid w:val="2D014A61"/>
    <w:rsid w:val="30DB42D0"/>
    <w:rsid w:val="32D379E8"/>
    <w:rsid w:val="32DE5719"/>
    <w:rsid w:val="333422AA"/>
    <w:rsid w:val="34485D65"/>
    <w:rsid w:val="357B59EF"/>
    <w:rsid w:val="3768689D"/>
    <w:rsid w:val="382B6775"/>
    <w:rsid w:val="384B4F60"/>
    <w:rsid w:val="3A7E20D4"/>
    <w:rsid w:val="3AF32D32"/>
    <w:rsid w:val="3F1F6AC5"/>
    <w:rsid w:val="45EA6449"/>
    <w:rsid w:val="460359DE"/>
    <w:rsid w:val="469660F9"/>
    <w:rsid w:val="49892416"/>
    <w:rsid w:val="4A490D40"/>
    <w:rsid w:val="4B4E1C15"/>
    <w:rsid w:val="4CBA109B"/>
    <w:rsid w:val="4D0F0E47"/>
    <w:rsid w:val="4FC13A3C"/>
    <w:rsid w:val="518F2BF3"/>
    <w:rsid w:val="51C237CD"/>
    <w:rsid w:val="52EB1115"/>
    <w:rsid w:val="536369BE"/>
    <w:rsid w:val="557B6719"/>
    <w:rsid w:val="557F09F8"/>
    <w:rsid w:val="58254518"/>
    <w:rsid w:val="5CC23AB6"/>
    <w:rsid w:val="5D617737"/>
    <w:rsid w:val="5E1D3B12"/>
    <w:rsid w:val="603764FC"/>
    <w:rsid w:val="658A7A0A"/>
    <w:rsid w:val="696B68DD"/>
    <w:rsid w:val="6A261F45"/>
    <w:rsid w:val="6D125E72"/>
    <w:rsid w:val="6FB32B39"/>
    <w:rsid w:val="74277F58"/>
    <w:rsid w:val="74E139EB"/>
    <w:rsid w:val="76EF5736"/>
    <w:rsid w:val="78606128"/>
    <w:rsid w:val="7B062D65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723"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E85723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E8572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E857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E857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E8572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E85723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E85723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E85723"/>
    <w:rPr>
      <w:b/>
      <w:bCs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1152</Characters>
  <Application>Microsoft Office Word</Application>
  <DocSecurity>0</DocSecurity>
  <Lines>9</Lines>
  <Paragraphs>2</Paragraphs>
  <ScaleCrop>false</ScaleCrop>
  <Company>China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王艺潞</cp:lastModifiedBy>
  <cp:revision>96</cp:revision>
  <cp:lastPrinted>2021-08-24T09:22:00Z</cp:lastPrinted>
  <dcterms:created xsi:type="dcterms:W3CDTF">2016-07-25T08:47:00Z</dcterms:created>
  <dcterms:modified xsi:type="dcterms:W3CDTF">2021-08-24T09:23:00Z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