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pacing w:val="0"/>
          <w:sz w:val="44"/>
          <w:szCs w:val="44"/>
          <w:lang w:eastAsia="zh-CN"/>
        </w:rPr>
      </w:pPr>
      <w:bookmarkStart w:id="0" w:name="_Hlk152422513"/>
      <w:r>
        <w:rPr>
          <w:rFonts w:hint="eastAsia" w:ascii="方正小标宋简体" w:eastAsia="方正小标宋简体"/>
          <w:spacing w:val="0"/>
          <w:sz w:val="44"/>
          <w:szCs w:val="44"/>
          <w:lang w:val="en-US" w:eastAsia="zh-CN"/>
        </w:rPr>
        <w:t>2023年</w:t>
      </w:r>
      <w:r>
        <w:rPr>
          <w:rFonts w:hint="eastAsia" w:ascii="方正小标宋简体" w:eastAsia="方正小标宋简体"/>
          <w:spacing w:val="0"/>
          <w:sz w:val="44"/>
          <w:szCs w:val="44"/>
          <w:lang w:eastAsia="zh-CN"/>
        </w:rPr>
        <w:t>北京博昇建筑设计工程有限公司</w:t>
      </w:r>
      <w:bookmarkEnd w:id="0"/>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“8·19”一般触电事故</w:t>
      </w:r>
      <w:r>
        <w:rPr>
          <w:rFonts w:hint="eastAsia" w:ascii="方正小标宋简体" w:eastAsia="方正小标宋简体"/>
          <w:sz w:val="44"/>
          <w:szCs w:val="44"/>
        </w:rPr>
        <w:t>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both"/>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区总工会、区司法局、区人力社保局、平房地区办事处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朝阳平房北京博昇建筑设计工程有限公司“8·19”一般触电事故</w:t>
      </w:r>
      <w:r>
        <w:rPr>
          <w:rFonts w:hint="default" w:ascii="Times New Roman" w:hAnsi="Times New Roman" w:eastAsia="仿宋_GB2312" w:cs="Times New Roman"/>
          <w:sz w:val="32"/>
          <w:szCs w:val="32"/>
        </w:rPr>
        <w:t>责任追究和整改防范措施建议的落实情况进行评估。</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朝阳平房北京博昇建筑设计工程有限公司“8·19”一般触电事故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eastAsia="zh-CN"/>
        </w:rPr>
        <w:t>朝阳平房北京博昇建筑设计工程有限公司“8·19”一般触电事故</w:t>
      </w:r>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北京东方钰龙泉餐饮管理有限公司（以下简称钰龙泉公司）、北京博昇建筑设计工程有限公司（以下简称博昇建筑公司）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随后，评估组对钰龙泉公司、博昇建筑公司进行访谈，</w:t>
      </w:r>
      <w:r>
        <w:rPr>
          <w:rFonts w:hint="default" w:ascii="Times New Roman" w:hAnsi="Times New Roman" w:eastAsia="仿宋_GB2312" w:cs="Times New Roman"/>
          <w:sz w:val="32"/>
          <w:szCs w:val="32"/>
        </w:rPr>
        <w:t>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汇报。会后组织人员赴事故现场勘查。经核实，事故地点——朝阳区平房地区钰龙泉温泉酒店主楼三层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项目已完工，现场无作业活动。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Calibri" w:eastAsia="仿宋_GB2312"/>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朝阳平房北京博昇建筑设计工程有限公司“8·19”一般触电事故</w:t>
      </w:r>
      <w:r>
        <w:rPr>
          <w:rFonts w:hint="default" w:ascii="Times New Roman" w:hAnsi="Times New Roman" w:eastAsia="仿宋_GB2312" w:cs="Times New Roman"/>
          <w:sz w:val="32"/>
          <w:szCs w:val="32"/>
        </w:rPr>
        <w:t>整改和防范措施建议落实情况评估报告》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以下简称《评估</w:t>
      </w:r>
      <w:r>
        <w:rPr>
          <w:rFonts w:hint="eastAsia" w:ascii="仿宋_GB2312" w:hAnsi="Calibri" w:eastAsia="仿宋_GB2312"/>
          <w:sz w:val="32"/>
          <w:szCs w:val="32"/>
        </w:rPr>
        <w:t>报</w:t>
      </w:r>
      <w:r>
        <w:rPr>
          <w:rFonts w:hint="default" w:ascii="Times New Roman" w:hAnsi="Times New Roman" w:eastAsia="仿宋_GB2312" w:cs="Times New Roman"/>
          <w:sz w:val="32"/>
          <w:szCs w:val="32"/>
        </w:rPr>
        <w:t>告》）。</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10" w:leftChars="0" w:firstLine="640" w:firstLineChars="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1.刘某波，男，群众，施工作业现场负责人。在无电工特种操作资格的情况下违章移接临时照明设备，造成重大事故隐患后仍冒险组织作业，对事故发生负有直接管理责任，建议由公安机关依法追究其刑事责任。</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公安朝阳分局对刘某波立案侦查，并依法追究其刑事责任，刘某波取保候审</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任某，男，群众，博昇建筑公司总经理，全面负责本单位安全生产工作。未严格履行安全生产管理职责，未能及时发现并消除临时照明线路内线芯裸露带电的生产安全事故隐患。其行为违反了《中华人民共和国安全生产法》第二十一条第（五）项的规定，对事故发生负有管理责任。依据《中华人民共和国安全生产法》第九十五条第（一）项的规定，建议由朝阳区应急管理局给予任某处上一年年收入百分之四十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区应急管理局已根据《事故调查报告》的上述要求，依法对任某处以人民币柒万陆仟零捌拾元整的行政处罚，处罚决定书编号：（京朝）应急罚〔2023〕024-A2号，上述处罚已诉至人民法院，强制执行中。</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博昇建筑公司。未落实生产安全事故隐患排查治理制度，未采取技术、管理措施，及时发现并消除临时照明线路内线芯裸露带电的生产安全事故隐患，对事故发生负有主要管理责任。其行为违反了《中华人民共和国安全生产法》第四十一条第二款的规定，依据《中华人民共和国安全生产法》第一百一十四条第一款第（一）项的规定，由朝阳区应急管理局给予博昇建筑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区应急管理局已根据《事故调查报告》的上述要求，依法对博昇建筑公司处以人民币肆拾伍万元整的行政处罚，处罚决定书编号：（京朝）应急罚〔2023〕024-A1号，上述处罚已诉至人民法院，强制执行中。</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10" w:leftChars="0" w:firstLine="640" w:firstLineChars="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1.博昇建筑公司。要切实落实安全生产主体责任，加强对公司项目的安全生产管理，对公司项目上的管理人员的能力进行严格把关，深刻汲取事故教训，举一反三，防止此类事故再次发生。</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钰龙泉公司。要强化红线意识、责任意识、风险意识，务必要坚持好“风险优先、系统防控、全员参与、持续改进、信息化支撑”五项原则，针对公司项目上施工单位与施工人员的相关资质要进行严格审查，监督相关施工单位履行相关责任与义务。</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3.钰龙泉公司、博昇建筑公司。要从事故中汲取教训，同时要对事故中其他负有安全管理责任的人员进行处理，并将处理意见报区事故调查组。</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1.事故发生后，钰龙泉公司深刻汲取事故教训，引以为戒，迅速组织各部门，在10月01日由执行总监牵头对店内所有设施、设备、安全进行全面自检、自查，对电闸箱、安全通道、厨房、消火栓以及餐厅供电线路等进行检查和排查，深度开展了自纠自省，明确了管理工作方向，持久深入的开展相关工作；开展有关整改措施落实的同时，对工程部经理罚款500元、执行总监罚款500元、当班经理罚款600元、事故当班工作人员罚款1500元，并将处罚情况内部通报。</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2"/>
          <w:sz w:val="32"/>
          <w:szCs w:val="32"/>
          <w:lang w:val="en-US" w:eastAsia="zh-CN" w:bidi="ar-SA"/>
        </w:rPr>
        <w:t>事故发生后，</w:t>
      </w:r>
      <w:r>
        <w:rPr>
          <w:rFonts w:hint="default" w:ascii="Times New Roman" w:hAnsi="Times New Roman" w:eastAsia="仿宋_GB2312" w:cs="Times New Roman"/>
          <w:sz w:val="32"/>
          <w:szCs w:val="32"/>
          <w:lang w:val="en-US" w:eastAsia="zh-CN"/>
        </w:rPr>
        <w:t>博昇建筑公司事故发生后不再参与任何项目实施，相关人员离开北京，不在北京市及朝阳区范围内开展任何生产经营活动。</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内部处理：钰龙泉公司对工程部经理罚款500元、执行总监罚款500元、当班经理罚款600元、当班工作人员罚款1500元，并将处罚情况内部通报</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10" w:leftChars="0" w:firstLine="640" w:firstLineChars="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经核实，事故现场</w:t>
      </w:r>
      <w:r>
        <w:rPr>
          <w:rFonts w:hint="eastAsia" w:ascii="仿宋_GB2312" w:hAnsi="Calibri" w:eastAsia="仿宋_GB2312"/>
          <w:sz w:val="32"/>
          <w:szCs w:val="32"/>
          <w:lang w:val="en-US" w:eastAsia="zh-CN"/>
        </w:rPr>
        <w:t>已完工，无任何作业活动</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钰龙泉公司提供了《安全生产规章制度汇编》《钰龙泉酒店安全生产责任制度》《钰龙泉酒店安全管理制度》《生产安全事故应急预案》以及日常的安全检查记录、培训记录、现场检查照片、有关安全生产费用投入记录等文件；博昇建筑公司自事故发生后，截止至评估工作开始，在北京市范围内没有在建施工项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综上，根据</w:t>
      </w:r>
      <w:r>
        <w:rPr>
          <w:rFonts w:hint="eastAsia" w:ascii="仿宋_GB2312" w:hAnsi="Calibri" w:eastAsia="仿宋_GB2312"/>
          <w:sz w:val="32"/>
          <w:szCs w:val="32"/>
          <w:lang w:eastAsia="zh-CN"/>
        </w:rPr>
        <w:t>钰龙泉公司</w:t>
      </w:r>
      <w:r>
        <w:rPr>
          <w:rFonts w:hint="eastAsia" w:ascii="仿宋_GB2312" w:hAnsi="Calibri" w:eastAsia="仿宋_GB2312"/>
          <w:sz w:val="32"/>
          <w:szCs w:val="32"/>
        </w:rPr>
        <w:t>提供的事故发生后的相关资料，基本可以证明事故单位落实了事故整改和防范措施</w:t>
      </w:r>
      <w:r>
        <w:rPr>
          <w:rFonts w:hint="eastAsia" w:ascii="仿宋_GB2312" w:hAnsi="Calibri" w:eastAsia="仿宋_GB2312"/>
          <w:sz w:val="32"/>
          <w:szCs w:val="32"/>
          <w:lang w:eastAsia="zh-CN"/>
        </w:rPr>
        <w:t>，钰龙泉公司</w:t>
      </w:r>
      <w:r>
        <w:rPr>
          <w:rFonts w:hint="eastAsia" w:ascii="仿宋_GB2312" w:hAnsi="Calibri" w:eastAsia="仿宋_GB2312"/>
          <w:sz w:val="32"/>
          <w:szCs w:val="32"/>
        </w:rPr>
        <w:t>安全管理现状符合事故整改要求，且截至本报告提交时间，事故项目已交付使用，暂未有其他一般生产安全事故发生。</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10" w:leftChars="0" w:firstLine="640" w:firstLineChars="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本项目的事故发生，与有关人员在无电工特种操作资格的情况下违章移接临时照明设备，造成重大事故隐患后仍冒险组织作业有直接关系。</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lang w:val="en-US" w:eastAsia="zh-CN"/>
        </w:rPr>
        <w:t>本次事故发生充分说明了相关人员对特种作业管理不了解、不清楚的问题。</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rPr>
        <w:t>：建议安全管理人员进一步强化特种作业人员管理，明确特种作业的审批要求，提升安全意识，防止类似事故的发生。</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1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朝阳平房北京博昇建筑设计工程有限公司“8·19”一般触电事故</w:t>
      </w:r>
      <w:r>
        <w:rPr>
          <w:rFonts w:hint="default" w:ascii="Times New Roman" w:hAnsi="Times New Roman" w:eastAsia="仿宋_GB2312" w:cs="Times New Roman"/>
          <w:sz w:val="32"/>
          <w:szCs w:val="32"/>
        </w:rPr>
        <w:t>责任追究和防范整改措施落实情况进行评估后认定：公安朝阳分局依法追究</w:t>
      </w:r>
      <w:r>
        <w:rPr>
          <w:rFonts w:hint="default" w:ascii="Times New Roman" w:hAnsi="Times New Roman" w:eastAsia="仿宋_GB2312" w:cs="Times New Roman"/>
          <w:sz w:val="32"/>
          <w:szCs w:val="32"/>
          <w:lang w:val="en-US" w:eastAsia="zh-CN"/>
        </w:rPr>
        <w:t>了刘某波的</w:t>
      </w:r>
      <w:r>
        <w:rPr>
          <w:rFonts w:hint="default" w:ascii="Times New Roman" w:hAnsi="Times New Roman" w:eastAsia="仿宋_GB2312" w:cs="Times New Roman"/>
          <w:sz w:val="32"/>
          <w:szCs w:val="32"/>
        </w:rPr>
        <w:t>刑事责任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区应急管理局已依法落实了对博昇建筑公司总经理任某</w:t>
      </w:r>
      <w:r>
        <w:rPr>
          <w:rFonts w:hint="default" w:ascii="Times New Roman" w:hAnsi="Times New Roman" w:eastAsia="仿宋_GB2312" w:cs="Times New Roman"/>
          <w:sz w:val="32"/>
          <w:szCs w:val="32"/>
          <w:lang w:eastAsia="zh-CN"/>
        </w:rPr>
        <w:t>、博昇建筑公司</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。钰龙泉公司</w:t>
      </w:r>
      <w:r>
        <w:rPr>
          <w:rFonts w:hint="default" w:ascii="Times New Roman" w:hAnsi="Times New Roman" w:eastAsia="仿宋_GB2312" w:cs="Times New Roman"/>
          <w:sz w:val="32"/>
          <w:szCs w:val="32"/>
        </w:rPr>
        <w:t>已基本落实了事故整改</w:t>
      </w:r>
      <w:bookmarkStart w:id="1" w:name="_GoBack"/>
      <w:bookmarkEnd w:id="1"/>
      <w:r>
        <w:rPr>
          <w:rFonts w:hint="default" w:ascii="Times New Roman" w:hAnsi="Times New Roman" w:eastAsia="仿宋_GB2312" w:cs="Times New Roman"/>
          <w:sz w:val="32"/>
          <w:szCs w:val="32"/>
        </w:rPr>
        <w:t>和防范措施</w:t>
      </w:r>
      <w:r>
        <w:rPr>
          <w:rFonts w:hint="default" w:ascii="Times New Roman" w:hAnsi="Times New Roman" w:eastAsia="仿宋_GB2312" w:cs="Times New Roman"/>
          <w:sz w:val="32"/>
          <w:szCs w:val="32"/>
          <w:lang w:eastAsia="zh-CN"/>
        </w:rPr>
        <w:t>，钰龙泉公司</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现状基本符合《事故调查报告》中要求。</w:t>
      </w:r>
    </w:p>
    <w:p>
      <w:pPr>
        <w:pStyle w:val="3"/>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rPr>
      </w:pPr>
    </w:p>
    <w:p>
      <w:pPr>
        <w:pStyle w:val="3"/>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3CA5A-704F-4BF1-B407-A8C043FDAA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C75042-629C-4B65-9C08-2A73FFB6D8D9}"/>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9CE3C7EB-4CD8-4848-AA9C-A1E57A2456CF}"/>
  </w:font>
  <w:font w:name="方正小标宋简体">
    <w:panose1 w:val="03000509000000000000"/>
    <w:charset w:val="86"/>
    <w:family w:val="auto"/>
    <w:pitch w:val="default"/>
    <w:sig w:usb0="00000001" w:usb1="080E0000" w:usb2="00000000" w:usb3="00000000" w:csb0="00040000" w:csb1="00000000"/>
    <w:embedRegular r:id="rId4" w:fontKey="{CE0A0BC5-C35B-41E4-9D86-935E0949F0F4}"/>
  </w:font>
  <w:font w:name="仿宋">
    <w:panose1 w:val="02010609060101010101"/>
    <w:charset w:val="86"/>
    <w:family w:val="modern"/>
    <w:pitch w:val="default"/>
    <w:sig w:usb0="800002BF" w:usb1="38CF7CFA" w:usb2="00000016" w:usb3="00000000" w:csb0="00040001" w:csb1="00000000"/>
    <w:embedRegular r:id="rId5" w:fontKey="{6BBF72B8-F2B0-4932-AFCF-808065001F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764355"/>
    <w:rsid w:val="07B410B9"/>
    <w:rsid w:val="07D50A82"/>
    <w:rsid w:val="08024860"/>
    <w:rsid w:val="080B3CCE"/>
    <w:rsid w:val="083E2DCC"/>
    <w:rsid w:val="09395132"/>
    <w:rsid w:val="093966C8"/>
    <w:rsid w:val="09F5360E"/>
    <w:rsid w:val="0A875662"/>
    <w:rsid w:val="0C580AA0"/>
    <w:rsid w:val="0C932615"/>
    <w:rsid w:val="0CC33E27"/>
    <w:rsid w:val="0D4E25C8"/>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7984446"/>
    <w:rsid w:val="1AA30852"/>
    <w:rsid w:val="1ACBD757"/>
    <w:rsid w:val="1D011855"/>
    <w:rsid w:val="1D2B6712"/>
    <w:rsid w:val="1E853909"/>
    <w:rsid w:val="1FC07808"/>
    <w:rsid w:val="1FD14E87"/>
    <w:rsid w:val="20BE7FB3"/>
    <w:rsid w:val="217B50A8"/>
    <w:rsid w:val="22BA5686"/>
    <w:rsid w:val="231A7848"/>
    <w:rsid w:val="231D7EF5"/>
    <w:rsid w:val="24357E42"/>
    <w:rsid w:val="244C11AC"/>
    <w:rsid w:val="24AE4950"/>
    <w:rsid w:val="27167CA1"/>
    <w:rsid w:val="275C02AB"/>
    <w:rsid w:val="2A520633"/>
    <w:rsid w:val="2B1B1727"/>
    <w:rsid w:val="2DED1171"/>
    <w:rsid w:val="2F4632F5"/>
    <w:rsid w:val="2F6F6CA3"/>
    <w:rsid w:val="2F926FA6"/>
    <w:rsid w:val="3008327B"/>
    <w:rsid w:val="30686BF9"/>
    <w:rsid w:val="30DF783E"/>
    <w:rsid w:val="315F3BAC"/>
    <w:rsid w:val="318E3C61"/>
    <w:rsid w:val="31A737AC"/>
    <w:rsid w:val="32B815D2"/>
    <w:rsid w:val="33BE464F"/>
    <w:rsid w:val="343923AB"/>
    <w:rsid w:val="34981E4A"/>
    <w:rsid w:val="35E8729D"/>
    <w:rsid w:val="375621AB"/>
    <w:rsid w:val="3772388E"/>
    <w:rsid w:val="37B11C6E"/>
    <w:rsid w:val="38153DAB"/>
    <w:rsid w:val="38655C6B"/>
    <w:rsid w:val="38663E78"/>
    <w:rsid w:val="3AF54945"/>
    <w:rsid w:val="3C1910A3"/>
    <w:rsid w:val="3CED557D"/>
    <w:rsid w:val="3CF823AB"/>
    <w:rsid w:val="3DAA7D83"/>
    <w:rsid w:val="3DFB2670"/>
    <w:rsid w:val="3E6F7CF1"/>
    <w:rsid w:val="425C4736"/>
    <w:rsid w:val="428325B0"/>
    <w:rsid w:val="44834057"/>
    <w:rsid w:val="448B68F7"/>
    <w:rsid w:val="4539487A"/>
    <w:rsid w:val="45C956D9"/>
    <w:rsid w:val="47077798"/>
    <w:rsid w:val="47416E57"/>
    <w:rsid w:val="477D5248"/>
    <w:rsid w:val="483506A6"/>
    <w:rsid w:val="4876120E"/>
    <w:rsid w:val="4C674964"/>
    <w:rsid w:val="4CA656E0"/>
    <w:rsid w:val="4EDF405A"/>
    <w:rsid w:val="4EF10877"/>
    <w:rsid w:val="4F0D5D3B"/>
    <w:rsid w:val="5091017C"/>
    <w:rsid w:val="51AF2D32"/>
    <w:rsid w:val="51D41B82"/>
    <w:rsid w:val="526176D1"/>
    <w:rsid w:val="53CA1D77"/>
    <w:rsid w:val="56725555"/>
    <w:rsid w:val="577529AD"/>
    <w:rsid w:val="579F29EE"/>
    <w:rsid w:val="57E1517B"/>
    <w:rsid w:val="587C1944"/>
    <w:rsid w:val="592E180D"/>
    <w:rsid w:val="597102E2"/>
    <w:rsid w:val="5AD50D90"/>
    <w:rsid w:val="5B591312"/>
    <w:rsid w:val="5DD64C26"/>
    <w:rsid w:val="5E7728A4"/>
    <w:rsid w:val="5EE83548"/>
    <w:rsid w:val="61907509"/>
    <w:rsid w:val="6261568E"/>
    <w:rsid w:val="659624A5"/>
    <w:rsid w:val="65DE54CC"/>
    <w:rsid w:val="66C24453"/>
    <w:rsid w:val="66F11A0F"/>
    <w:rsid w:val="67334E8F"/>
    <w:rsid w:val="67CA67ED"/>
    <w:rsid w:val="68FD27D1"/>
    <w:rsid w:val="6903299E"/>
    <w:rsid w:val="6A014B30"/>
    <w:rsid w:val="6C532847"/>
    <w:rsid w:val="6D686754"/>
    <w:rsid w:val="6D762F8A"/>
    <w:rsid w:val="6DCE1342"/>
    <w:rsid w:val="6DDA4EDE"/>
    <w:rsid w:val="6F930565"/>
    <w:rsid w:val="6FDD0513"/>
    <w:rsid w:val="70153A16"/>
    <w:rsid w:val="706978A3"/>
    <w:rsid w:val="71482BF2"/>
    <w:rsid w:val="71E90846"/>
    <w:rsid w:val="73E33DD2"/>
    <w:rsid w:val="740E252B"/>
    <w:rsid w:val="74BA6EDD"/>
    <w:rsid w:val="74EF7D79"/>
    <w:rsid w:val="75F57250"/>
    <w:rsid w:val="76362243"/>
    <w:rsid w:val="777868A2"/>
    <w:rsid w:val="79255E1C"/>
    <w:rsid w:val="798E1737"/>
    <w:rsid w:val="7A3854A2"/>
    <w:rsid w:val="7D0E1EA7"/>
    <w:rsid w:val="7DCD5BEB"/>
    <w:rsid w:val="7DFD787D"/>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3110</Words>
  <Characters>3190</Characters>
  <Lines>27</Lines>
  <Paragraphs>7</Paragraphs>
  <TotalTime>4</TotalTime>
  <ScaleCrop>false</ScaleCrop>
  <LinksUpToDate>false</LinksUpToDate>
  <CharactersWithSpaces>3204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2024-12-23T07:47:05Z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659C81F1E8D448A89DE34378110CAA98_13</vt:lpwstr>
  </property>
</Properties>
</file>