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98" w:firstLineChars="62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2</w:t>
      </w:r>
    </w:p>
    <w:p>
      <w:pPr>
        <w:pStyle w:val="6"/>
        <w:rPr>
          <w:spacing w:val="-28"/>
        </w:rPr>
      </w:pPr>
      <w:r>
        <w:rPr>
          <w:rFonts w:hint="eastAsia"/>
        </w:rPr>
        <w:t>朝阳团区委</w:t>
      </w:r>
      <w:r>
        <w:rPr>
          <w:rFonts w:hint="eastAsia"/>
          <w:spacing w:val="-28"/>
        </w:rPr>
        <w:t>中央财政支持中医药事业</w:t>
      </w:r>
    </w:p>
    <w:p>
      <w:pPr>
        <w:pStyle w:val="6"/>
        <w:rPr>
          <w:spacing w:val="-28"/>
        </w:rPr>
      </w:pPr>
      <w:r>
        <w:rPr>
          <w:rFonts w:hint="eastAsia"/>
          <w:spacing w:val="-28"/>
        </w:rPr>
        <w:t>传承与发展示范试点项目补助资金（直达资金）</w:t>
      </w:r>
    </w:p>
    <w:p>
      <w:pPr>
        <w:pStyle w:val="6"/>
      </w:pPr>
      <w:r>
        <w:rPr>
          <w:rFonts w:hint="eastAsia"/>
          <w:spacing w:val="-28"/>
        </w:rPr>
        <w:t>项目支出绩效评价报告</w:t>
      </w:r>
    </w:p>
    <w:p>
      <w:pPr>
        <w:ind w:firstLine="640"/>
      </w:pPr>
    </w:p>
    <w:p>
      <w:pPr>
        <w:pStyle w:val="12"/>
        <w:ind w:firstLine="640"/>
      </w:pPr>
      <w:r>
        <w:rPr>
          <w:rFonts w:hint="eastAsia"/>
        </w:rPr>
        <w:t>一、基本情况</w:t>
      </w:r>
    </w:p>
    <w:p>
      <w:pPr>
        <w:pStyle w:val="16"/>
        <w:ind w:firstLine="643"/>
      </w:pPr>
      <w:r>
        <w:rPr>
          <w:rFonts w:hint="eastAsia"/>
        </w:rPr>
        <w:t>（一）项目概况</w:t>
      </w:r>
    </w:p>
    <w:p>
      <w:pPr>
        <w:pStyle w:val="16"/>
        <w:ind w:firstLine="643"/>
      </w:pPr>
      <w:r>
        <w:rPr>
          <w:rFonts w:hint="eastAsia"/>
        </w:rPr>
        <w:t>1.项目背景</w:t>
      </w:r>
    </w:p>
    <w:p>
      <w:pPr>
        <w:pStyle w:val="16"/>
        <w:ind w:firstLine="640"/>
        <w:rPr>
          <w:rFonts w:hint="eastAsia" w:cs="Times New Roman"/>
          <w:b w:val="0"/>
          <w:szCs w:val="32"/>
        </w:rPr>
      </w:pPr>
      <w:r>
        <w:rPr>
          <w:rFonts w:hint="eastAsia" w:cs="Times New Roman"/>
          <w:b w:val="0"/>
          <w:szCs w:val="32"/>
        </w:rPr>
        <w:t>党的二十大作出“促进中医药传承创新发展”的重要部署，为指导中医药事业发展，充分发挥中医药文化特色优势，推动新时代中国特色社会主义文化繁荣兴盛提供了根本遵循。2023年朝阳区入选中央财政支持中医药传承创新发展示范试点，且是北京唯一的示范试点。</w:t>
      </w:r>
    </w:p>
    <w:p>
      <w:pPr>
        <w:pStyle w:val="16"/>
        <w:ind w:firstLine="640"/>
        <w:rPr>
          <w:rFonts w:cs="Times New Roman"/>
          <w:b w:val="0"/>
          <w:szCs w:val="32"/>
        </w:rPr>
      </w:pPr>
      <w:r>
        <w:rPr>
          <w:rFonts w:hint="eastAsia" w:cs="Times New Roman"/>
          <w:b w:val="0"/>
          <w:szCs w:val="32"/>
        </w:rPr>
        <w:t>根据《北京市朝阳区实施中医药传承创新发展示范试点项目工作方案》要求，团区委着力发挥群团组织在中医药文化传播中的作用，根据区域特点、结合主责主业，制定了《朝阳区青少年中医药传承创新发展项目实施方案》，通过发动社区青年汇力量，举办系列品牌活动，助推中医药文化传承发展。</w:t>
      </w:r>
    </w:p>
    <w:p>
      <w:pPr>
        <w:pStyle w:val="16"/>
        <w:ind w:firstLine="643"/>
      </w:pPr>
      <w:r>
        <w:rPr>
          <w:rFonts w:hint="eastAsia"/>
        </w:rPr>
        <w:t>2.主要内容</w:t>
      </w:r>
    </w:p>
    <w:p>
      <w:pPr>
        <w:ind w:firstLine="643"/>
        <w:rPr>
          <w:rFonts w:hint="eastAsia"/>
          <w:b/>
          <w:bCs/>
          <w:szCs w:val="32"/>
        </w:rPr>
      </w:pPr>
      <w:r>
        <w:rPr>
          <w:rFonts w:hint="eastAsia"/>
          <w:b/>
          <w:bCs/>
          <w:szCs w:val="32"/>
        </w:rPr>
        <w:t>目标1：</w:t>
      </w:r>
      <w:r>
        <w:rPr>
          <w:b/>
          <w:bCs/>
          <w:szCs w:val="32"/>
        </w:rPr>
        <w:t>开发一套产品，</w:t>
      </w:r>
      <w:r>
        <w:rPr>
          <w:rFonts w:hint="eastAsia"/>
          <w:b/>
          <w:bCs/>
          <w:szCs w:val="32"/>
        </w:rPr>
        <w:t>打造</w:t>
      </w:r>
      <w:r>
        <w:rPr>
          <w:b/>
          <w:bCs/>
          <w:szCs w:val="32"/>
        </w:rPr>
        <w:t>中医药文化传播课程体系</w:t>
      </w:r>
      <w:r>
        <w:rPr>
          <w:rFonts w:hint="eastAsia"/>
          <w:b/>
          <w:bCs/>
          <w:szCs w:val="32"/>
        </w:rPr>
        <w:t>。</w:t>
      </w:r>
    </w:p>
    <w:p>
      <w:pPr>
        <w:pStyle w:val="5"/>
        <w:ind w:firstLine="640"/>
        <w:rPr>
          <w:rFonts w:hint="eastAsia" w:eastAsia="仿宋_GB2312"/>
          <w:b w:val="0"/>
          <w:bCs/>
        </w:rPr>
      </w:pPr>
      <w:r>
        <w:rPr>
          <w:rFonts w:ascii="Times New Roman" w:hAnsi="Times New Roman" w:eastAsia="仿宋_GB2312"/>
          <w:b w:val="0"/>
          <w:bCs/>
        </w:rPr>
        <w:t>以实践、传播、影响、传承为探索方向，将中医药文化知识与</w:t>
      </w:r>
      <w:r>
        <w:rPr>
          <w:rFonts w:hint="eastAsia" w:ascii="Times New Roman" w:hAnsi="Times New Roman" w:eastAsia="仿宋_GB2312"/>
          <w:b w:val="0"/>
          <w:bCs/>
        </w:rPr>
        <w:t>青少年工作方法、</w:t>
      </w:r>
      <w:r>
        <w:rPr>
          <w:rFonts w:ascii="Times New Roman" w:hAnsi="Times New Roman" w:eastAsia="仿宋_GB2312"/>
          <w:b w:val="0"/>
          <w:bCs/>
        </w:rPr>
        <w:t>专业社会工作理论跨界融合，打造一套完整的中医药文化服务产品</w:t>
      </w:r>
      <w:r>
        <w:rPr>
          <w:rFonts w:hint="eastAsia" w:ascii="Times New Roman" w:hAnsi="Times New Roman" w:eastAsia="仿宋_GB2312"/>
          <w:b w:val="0"/>
          <w:bCs/>
        </w:rPr>
        <w:t>。同时</w:t>
      </w:r>
      <w:r>
        <w:rPr>
          <w:rFonts w:ascii="Times New Roman" w:hAnsi="Times New Roman" w:eastAsia="仿宋_GB2312"/>
          <w:b w:val="0"/>
          <w:bCs/>
        </w:rPr>
        <w:t>建设</w:t>
      </w:r>
      <w:r>
        <w:rPr>
          <w:rFonts w:hint="eastAsia" w:ascii="Times New Roman" w:hAnsi="Times New Roman" w:eastAsia="仿宋_GB2312"/>
          <w:b w:val="0"/>
          <w:bCs/>
        </w:rPr>
        <w:t>一个</w:t>
      </w:r>
      <w:r>
        <w:rPr>
          <w:rFonts w:ascii="Times New Roman" w:hAnsi="Times New Roman" w:eastAsia="仿宋_GB2312"/>
          <w:b w:val="0"/>
          <w:bCs/>
        </w:rPr>
        <w:t>功能型阵地，发挥宣传、展示、服务</w:t>
      </w:r>
      <w:r>
        <w:rPr>
          <w:rFonts w:hint="eastAsia" w:ascii="Times New Roman" w:hAnsi="Times New Roman" w:eastAsia="仿宋_GB2312"/>
          <w:b w:val="0"/>
          <w:bCs/>
        </w:rPr>
        <w:t>的</w:t>
      </w:r>
      <w:r>
        <w:rPr>
          <w:rFonts w:ascii="Times New Roman" w:hAnsi="Times New Roman" w:eastAsia="仿宋_GB2312"/>
          <w:b w:val="0"/>
          <w:bCs/>
        </w:rPr>
        <w:t>作用，增强中医药文化的辐射力和互动性</w:t>
      </w:r>
      <w:r>
        <w:rPr>
          <w:rFonts w:hint="eastAsia" w:ascii="Times New Roman" w:hAnsi="Times New Roman" w:eastAsia="仿宋_GB2312"/>
          <w:b w:val="0"/>
          <w:bCs/>
        </w:rPr>
        <w:t>。</w:t>
      </w:r>
    </w:p>
    <w:p>
      <w:pPr>
        <w:ind w:firstLine="643"/>
        <w:rPr>
          <w:rFonts w:hint="eastAsia"/>
          <w:b/>
          <w:bCs/>
          <w:szCs w:val="32"/>
        </w:rPr>
      </w:pPr>
      <w:r>
        <w:rPr>
          <w:rFonts w:hint="eastAsia"/>
          <w:b/>
          <w:bCs/>
          <w:szCs w:val="32"/>
        </w:rPr>
        <w:t>目标2：</w:t>
      </w:r>
      <w:r>
        <w:rPr>
          <w:b/>
          <w:bCs/>
          <w:szCs w:val="32"/>
        </w:rPr>
        <w:t>组建一个社群，搭建中医药资源区域链接平台</w:t>
      </w:r>
      <w:r>
        <w:rPr>
          <w:rFonts w:hint="eastAsia"/>
          <w:b/>
          <w:bCs/>
          <w:szCs w:val="32"/>
        </w:rPr>
        <w:t>。</w:t>
      </w:r>
    </w:p>
    <w:p>
      <w:pPr>
        <w:ind w:firstLine="640"/>
        <w:rPr>
          <w:szCs w:val="32"/>
        </w:rPr>
      </w:pPr>
      <w:r>
        <w:rPr>
          <w:szCs w:val="32"/>
        </w:rPr>
        <w:t>培育中医药</w:t>
      </w:r>
      <w:r>
        <w:rPr>
          <w:rFonts w:hint="eastAsia"/>
          <w:szCs w:val="32"/>
        </w:rPr>
        <w:t>青年人才</w:t>
      </w:r>
      <w:r>
        <w:rPr>
          <w:szCs w:val="32"/>
        </w:rPr>
        <w:t>社群，引入人才智库，引导其</w:t>
      </w:r>
      <w:r>
        <w:rPr>
          <w:rFonts w:hint="eastAsia"/>
          <w:szCs w:val="32"/>
        </w:rPr>
        <w:t>助力区域中医药专业提升及产业发展。同时组建朝阳区中医药文化青年讲师团，成员由区内中医药专业从业人员、社区青年汇社工、驻区高校大学生等组成，形成一支“跨界”合作的志愿力量。</w:t>
      </w:r>
    </w:p>
    <w:p>
      <w:pPr>
        <w:ind w:firstLine="643"/>
        <w:rPr>
          <w:rFonts w:hint="eastAsia"/>
          <w:b/>
          <w:bCs/>
          <w:szCs w:val="32"/>
        </w:rPr>
      </w:pPr>
      <w:r>
        <w:rPr>
          <w:rFonts w:hint="eastAsia"/>
          <w:b/>
          <w:bCs/>
          <w:szCs w:val="32"/>
        </w:rPr>
        <w:t>目标3：培养一批粉丝，扩大中医药文化民众持续影响。</w:t>
      </w:r>
    </w:p>
    <w:p>
      <w:pPr>
        <w:ind w:firstLine="640"/>
        <w:rPr>
          <w:rFonts w:hint="eastAsia"/>
          <w:szCs w:val="32"/>
        </w:rPr>
      </w:pPr>
      <w:r>
        <w:rPr>
          <w:szCs w:val="32"/>
        </w:rPr>
        <w:t>开展</w:t>
      </w:r>
      <w:r>
        <w:rPr>
          <w:rFonts w:hint="eastAsia"/>
          <w:szCs w:val="32"/>
        </w:rPr>
        <w:t>丰富多彩的</w:t>
      </w:r>
      <w:r>
        <w:rPr>
          <w:szCs w:val="32"/>
        </w:rPr>
        <w:t>主题活动，激发中外青年对传统文化的关注和热爱</w:t>
      </w:r>
      <w:r>
        <w:rPr>
          <w:rFonts w:hint="eastAsia"/>
          <w:szCs w:val="32"/>
        </w:rPr>
        <w:t>。对内加强两岸四地联系，追寻文化根脉；对外讲好中国“中医药故事”，向世界展现中国形象。</w:t>
      </w:r>
    </w:p>
    <w:p>
      <w:pPr>
        <w:pStyle w:val="16"/>
        <w:ind w:firstLine="643"/>
      </w:pPr>
      <w:r>
        <w:rPr>
          <w:rFonts w:hint="eastAsia"/>
        </w:rPr>
        <w:t>3.实施情况</w:t>
      </w:r>
    </w:p>
    <w:p>
      <w:pPr>
        <w:pStyle w:val="16"/>
        <w:ind w:firstLine="640"/>
        <w:rPr>
          <w:rFonts w:hint="eastAsia"/>
          <w:b w:val="0"/>
          <w:szCs w:val="32"/>
        </w:rPr>
      </w:pPr>
      <w:r>
        <w:rPr>
          <w:b w:val="0"/>
          <w:szCs w:val="32"/>
        </w:rPr>
        <w:t>重点面向在职青年、社区家庭、中小学生“三类”人群，根据其特点，开发三大</w:t>
      </w:r>
      <w:r>
        <w:rPr>
          <w:rFonts w:hint="eastAsia"/>
          <w:b w:val="0"/>
          <w:szCs w:val="32"/>
        </w:rPr>
        <w:t>品牌课程，打造中医药文化传播课程体系。联合北京中医药大学、同仁堂、华润双鹤等单位打造“青年中医药人才会客厅”，组建青年中医药人才智库团。打造中医文化主题青年汇门店，集宣传、展示、服务功能于一体，构筑新时代下中医药文化输出的窗口，搭建中医药文化实践传播的平台。</w:t>
      </w:r>
    </w:p>
    <w:p>
      <w:pPr>
        <w:pStyle w:val="16"/>
        <w:ind w:firstLine="643"/>
      </w:pPr>
      <w:r>
        <w:rPr>
          <w:rFonts w:hint="eastAsia"/>
        </w:rPr>
        <w:t>4.资金投入和使用情况等</w:t>
      </w:r>
    </w:p>
    <w:p>
      <w:pPr>
        <w:ind w:firstLine="640"/>
      </w:pPr>
      <w:r>
        <w:rPr>
          <w:rFonts w:hint="eastAsia"/>
        </w:rPr>
        <w:t>项目名称：中央财政支持中医药事业传承与发展示范试点项目补助资金（直达资金），2</w:t>
      </w:r>
      <w:r>
        <w:t>023</w:t>
      </w:r>
      <w:r>
        <w:rPr>
          <w:rFonts w:hint="eastAsia"/>
        </w:rPr>
        <w:t>年预算金额</w:t>
      </w:r>
      <w:r>
        <w:t>146</w:t>
      </w:r>
      <w:r>
        <w:rPr>
          <w:rFonts w:hint="eastAsia"/>
        </w:rPr>
        <w:t>万元。</w:t>
      </w:r>
    </w:p>
    <w:p>
      <w:pPr>
        <w:ind w:firstLine="640"/>
      </w:pPr>
      <w:r>
        <w:rPr>
          <w:rFonts w:hint="eastAsia"/>
        </w:rPr>
        <w:t>项目起止时间：2023年</w:t>
      </w:r>
      <w:r>
        <w:t>12</w:t>
      </w:r>
      <w:r>
        <w:rPr>
          <w:rFonts w:hint="eastAsia"/>
        </w:rPr>
        <w:t>月1日-202</w:t>
      </w:r>
      <w:r>
        <w:t>5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月31日</w:t>
      </w:r>
    </w:p>
    <w:p>
      <w:pPr>
        <w:ind w:firstLine="640"/>
        <w:rPr>
          <w:b/>
        </w:rPr>
      </w:pPr>
      <w:r>
        <w:rPr>
          <w:rFonts w:hint="eastAsia"/>
        </w:rPr>
        <w:t>2023年1</w:t>
      </w:r>
      <w:r>
        <w:t>1</w:t>
      </w:r>
      <w:r>
        <w:rPr>
          <w:rFonts w:hint="eastAsia"/>
        </w:rPr>
        <w:t>月预算批复</w:t>
      </w:r>
      <w:r>
        <w:t>146</w:t>
      </w:r>
      <w:r>
        <w:rPr>
          <w:rFonts w:hint="eastAsia"/>
        </w:rPr>
        <w:t>万元，2023年实际支出金额为</w:t>
      </w:r>
      <w:r>
        <w:t>146</w:t>
      </w:r>
      <w:r>
        <w:rPr>
          <w:rFonts w:hint="eastAsia"/>
        </w:rPr>
        <w:t>万元，预算完成率</w:t>
      </w:r>
      <w:r>
        <w:t>100</w:t>
      </w:r>
      <w:r>
        <w:rPr>
          <w:rFonts w:hint="eastAsia"/>
        </w:rPr>
        <w:t>%。</w:t>
      </w:r>
    </w:p>
    <w:p>
      <w:pPr>
        <w:pStyle w:val="16"/>
        <w:ind w:firstLine="643"/>
      </w:pPr>
      <w:r>
        <w:rPr>
          <w:rFonts w:hint="eastAsia"/>
        </w:rPr>
        <w:t>（二）项目绩效目标</w:t>
      </w:r>
    </w:p>
    <w:p>
      <w:pPr>
        <w:pStyle w:val="16"/>
        <w:ind w:firstLine="643"/>
      </w:pPr>
      <w:r>
        <w:rPr>
          <w:rFonts w:hint="eastAsia"/>
        </w:rPr>
        <w:t>1.总体目标</w:t>
      </w:r>
    </w:p>
    <w:p>
      <w:pPr>
        <w:pStyle w:val="16"/>
        <w:ind w:firstLine="640"/>
        <w:rPr>
          <w:rFonts w:hint="eastAsia"/>
          <w:b w:val="0"/>
        </w:rPr>
      </w:pPr>
      <w:r>
        <w:rPr>
          <w:rFonts w:hint="eastAsia"/>
          <w:b w:val="0"/>
        </w:rPr>
        <w:t>目标1：以实践、传播、影响、传承为探索方向，将中医药文化知识与青少年工作方法、专业社会工作理论跨界融合，打造一套完整的中医药文化服务产品，形成遍布全区的越来越“CHAO”的中医药文化氛围，让中医药文化传播“破圈”落地。</w:t>
      </w:r>
    </w:p>
    <w:p>
      <w:pPr>
        <w:pStyle w:val="16"/>
        <w:ind w:firstLine="640"/>
        <w:rPr>
          <w:rFonts w:hint="eastAsia"/>
          <w:b w:val="0"/>
        </w:rPr>
      </w:pPr>
      <w:r>
        <w:rPr>
          <w:rFonts w:hint="eastAsia"/>
          <w:b w:val="0"/>
        </w:rPr>
        <w:t>目标2：建设功能型阵地，打造中医文化主题社区青年汇门店，发挥宣传、展示、服务的作用，增强中医药文化的辐射力和互动性。</w:t>
      </w:r>
    </w:p>
    <w:p>
      <w:pPr>
        <w:pStyle w:val="16"/>
        <w:ind w:firstLine="640"/>
        <w:rPr>
          <w:rFonts w:hint="eastAsia"/>
          <w:b w:val="0"/>
        </w:rPr>
      </w:pPr>
      <w:r>
        <w:rPr>
          <w:rFonts w:hint="eastAsia"/>
          <w:b w:val="0"/>
        </w:rPr>
        <w:t>目标3：组建朝阳区中医药文化青年讲师团，成员由区内中医药专业从业人员、社区青年汇社工、驻区高校大学生等组成，通过统一培训、考核，形成一支“跨界”合作的志愿力量。</w:t>
      </w:r>
    </w:p>
    <w:p>
      <w:pPr>
        <w:pStyle w:val="16"/>
        <w:ind w:firstLine="640"/>
        <w:rPr>
          <w:rFonts w:hint="eastAsia"/>
          <w:b w:val="0"/>
        </w:rPr>
      </w:pPr>
      <w:r>
        <w:rPr>
          <w:rFonts w:hint="eastAsia"/>
          <w:b w:val="0"/>
        </w:rPr>
        <w:t>目标4：培育中医药青年人才社群，引入人才智库，引导其助力区域中医药专业提升及产业发展。</w:t>
      </w:r>
    </w:p>
    <w:p>
      <w:pPr>
        <w:pStyle w:val="16"/>
        <w:ind w:firstLine="640"/>
        <w:rPr>
          <w:b w:val="0"/>
        </w:rPr>
      </w:pPr>
      <w:r>
        <w:rPr>
          <w:rFonts w:hint="eastAsia"/>
          <w:b w:val="0"/>
        </w:rPr>
        <w:t>目标5：定期开展主题活动，激发中外青年对传统文化的关注和热爱，培养一批粉丝，扩大中医药文化民众持续影响。</w:t>
      </w:r>
    </w:p>
    <w:p>
      <w:pPr>
        <w:pStyle w:val="16"/>
        <w:ind w:firstLine="643"/>
      </w:pPr>
      <w:r>
        <w:rPr>
          <w:rFonts w:hint="eastAsia"/>
        </w:rPr>
        <w:t>2.项目绩效具体指标</w:t>
      </w:r>
    </w:p>
    <w:p>
      <w:pPr>
        <w:ind w:firstLine="640"/>
      </w:pPr>
      <w:r>
        <w:rPr>
          <w:rFonts w:hint="eastAsia"/>
        </w:rPr>
        <w:t>（1）数量指标：打造“青年中医药人才会客厅”</w:t>
      </w:r>
    </w:p>
    <w:p>
      <w:pPr>
        <w:ind w:firstLine="640"/>
      </w:pPr>
      <w:r>
        <w:rPr>
          <w:rFonts w:hint="eastAsia"/>
        </w:rPr>
        <w:t>（2）质量指标：青年中医人才智库团成员不少于10人</w:t>
      </w:r>
    </w:p>
    <w:p>
      <w:pPr>
        <w:ind w:firstLine="640"/>
      </w:pPr>
      <w:r>
        <w:rPr>
          <w:rFonts w:hint="eastAsia"/>
        </w:rPr>
        <w:t>（3）经济成本指标：节省成本，完成中医药会客厅相关工作</w:t>
      </w:r>
    </w:p>
    <w:p>
      <w:pPr>
        <w:ind w:firstLine="640"/>
      </w:pPr>
      <w:r>
        <w:rPr>
          <w:rFonts w:hint="eastAsia"/>
        </w:rPr>
        <w:t>（4）经济效益指标：助力中医药相关产业发展</w:t>
      </w:r>
    </w:p>
    <w:p>
      <w:pPr>
        <w:ind w:firstLine="640"/>
      </w:pPr>
      <w:r>
        <w:rPr>
          <w:rFonts w:hint="eastAsia"/>
        </w:rPr>
        <w:t>（5）社会效益指标：弘扬中医药的文化价值和丰富内涵</w:t>
      </w:r>
    </w:p>
    <w:p>
      <w:pPr>
        <w:ind w:firstLine="640"/>
      </w:pPr>
      <w:r>
        <w:rPr>
          <w:rFonts w:hint="eastAsia"/>
        </w:rPr>
        <w:t>（6）服务对象满意度指标：项目针对服务对象的满意度调查，满意度指数不低于80%。</w:t>
      </w:r>
    </w:p>
    <w:p>
      <w:pPr>
        <w:ind w:firstLine="64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二、绩效评价工作开展情况</w:t>
      </w:r>
    </w:p>
    <w:p>
      <w:pPr>
        <w:pStyle w:val="16"/>
        <w:ind w:firstLine="643"/>
      </w:pPr>
      <w:r>
        <w:rPr>
          <w:rFonts w:hint="eastAsia"/>
        </w:rPr>
        <w:t>（一）绩效评价目的、对象和范围</w:t>
      </w:r>
    </w:p>
    <w:p>
      <w:pPr>
        <w:pStyle w:val="16"/>
        <w:ind w:firstLine="643"/>
      </w:pPr>
      <w:r>
        <w:rPr>
          <w:rFonts w:hint="eastAsia"/>
        </w:rPr>
        <w:t>1.评价目的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项目绩效评价工作主要是运用科学、合理的绩效评价指标、评价标准和评价方法对项目财政支出进行绩效评价。一是促进单位强化绩效理念，加强对财政预算资金的管理和监督，强化支出责任，提高财政资金使用效益，保证财政资金使用的规范性、安全性和有效性；二是进一步总结和分析财政资金的支出效果，了解、分析、检验财政资金项目支出是否达到预期目标，考核财政资金项目支出效率和综合效果；三是为指导预算编制、设定绩效目标、优化财政支出结构、提高公共服务水平提供决策依据；四是为部门预算绩效管理工作积累经验，探索更加适用于</w:t>
      </w:r>
      <w:r>
        <w:rPr>
          <w:rFonts w:hint="eastAsia"/>
        </w:rPr>
        <w:t>中央财政支持中医药事业传承与发展示范试点项目补助资金（直达资金）</w:t>
      </w:r>
      <w:r>
        <w:rPr>
          <w:rFonts w:hint="eastAsia"/>
          <w:lang w:eastAsia="zh-CN"/>
        </w:rPr>
        <w:t>项目</w:t>
      </w:r>
      <w:r>
        <w:rPr>
          <w:rFonts w:hint="eastAsia" w:ascii="仿宋_GB2312" w:hAnsi="仿宋"/>
          <w:szCs w:val="32"/>
        </w:rPr>
        <w:t>支出的绩效管理工作方式。</w:t>
      </w:r>
    </w:p>
    <w:p>
      <w:pPr>
        <w:pStyle w:val="16"/>
        <w:ind w:firstLine="643"/>
      </w:pPr>
      <w:r>
        <w:rPr>
          <w:rFonts w:hint="eastAsia"/>
        </w:rPr>
        <w:t>2.评价对象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本次绩效评价的对象为</w:t>
      </w:r>
      <w:r>
        <w:rPr>
          <w:rFonts w:hint="eastAsia"/>
        </w:rPr>
        <w:t>中央财政支持中医药事业传承与发展示范试点项目补助资金（直达资金）</w:t>
      </w:r>
      <w:r>
        <w:rPr>
          <w:rFonts w:hint="eastAsia" w:ascii="仿宋_GB2312" w:hAnsi="仿宋"/>
          <w:szCs w:val="32"/>
        </w:rPr>
        <w:t>。朝阳团区委从纳入</w:t>
      </w:r>
      <w:r>
        <w:rPr>
          <w:rFonts w:hint="eastAsia"/>
          <w:szCs w:val="32"/>
        </w:rPr>
        <w:t>2023</w:t>
      </w:r>
      <w:r>
        <w:rPr>
          <w:rFonts w:hint="eastAsia" w:ascii="仿宋_GB2312" w:hAnsi="仿宋"/>
          <w:szCs w:val="32"/>
        </w:rPr>
        <w:t>年度预算管理的项目中，选择具有突出体现履职职能的</w:t>
      </w:r>
      <w:r>
        <w:rPr>
          <w:rFonts w:hint="eastAsia"/>
        </w:rPr>
        <w:t>中央财政支持中医药事业传承与发展示范试点项目补助资金（直达资金）</w:t>
      </w:r>
      <w:r>
        <w:rPr>
          <w:rFonts w:hint="eastAsia" w:ascii="仿宋_GB2312" w:hAnsi="仿宋"/>
          <w:szCs w:val="32"/>
        </w:rPr>
        <w:t>作为评价项目，该项目执行期限为两年。</w:t>
      </w:r>
    </w:p>
    <w:p>
      <w:pPr>
        <w:pStyle w:val="16"/>
        <w:ind w:firstLine="643"/>
      </w:pPr>
      <w:r>
        <w:rPr>
          <w:rFonts w:hint="eastAsia"/>
        </w:rPr>
        <w:t>3.评价范围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次绩效评价的范围是：绩效目标与工作方案的适应性；财政资金使用情况，财务管理状况；为加强管理所制定或完善的相关制度，采取的措施；绩效目标的实现程度，包括是否达到预定产出和效果等需要评价的其他内容。</w:t>
      </w:r>
    </w:p>
    <w:p>
      <w:pPr>
        <w:pStyle w:val="16"/>
        <w:ind w:firstLine="643"/>
      </w:pPr>
      <w:r>
        <w:rPr>
          <w:rFonts w:hint="eastAsia" w:hAnsi="楷体_GB2312" w:cs="楷体_GB2312"/>
        </w:rPr>
        <w:t>（二）绩效评价原则</w:t>
      </w:r>
      <w:r>
        <w:rPr>
          <w:rFonts w:hint="eastAsia"/>
        </w:rPr>
        <w:t>和评价方法</w:t>
      </w:r>
    </w:p>
    <w:p>
      <w:pPr>
        <w:pStyle w:val="16"/>
        <w:ind w:firstLine="643"/>
      </w:pPr>
      <w:r>
        <w:rPr>
          <w:rFonts w:hint="eastAsia"/>
        </w:rPr>
        <w:t>1.科学规范原则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绩效评价严格执行规定的程序，按照科学可行的要求，采用定量与定性分析相结合的方法。</w:t>
      </w:r>
    </w:p>
    <w:p>
      <w:pPr>
        <w:pStyle w:val="16"/>
        <w:ind w:firstLine="643"/>
      </w:pPr>
      <w:r>
        <w:rPr>
          <w:rFonts w:hint="eastAsia"/>
        </w:rPr>
        <w:t>2.公正公开原则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绩效评价符合真实、客观、公正的要求，依法公开并接受监督。</w:t>
      </w:r>
    </w:p>
    <w:p>
      <w:pPr>
        <w:pStyle w:val="16"/>
        <w:ind w:firstLine="643"/>
      </w:pPr>
      <w:r>
        <w:rPr>
          <w:rFonts w:hint="eastAsia"/>
        </w:rPr>
        <w:t>3.分级分类原则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绩效评价由绩效评价领导小组根据评价对象的特点分类组织实施。</w:t>
      </w:r>
    </w:p>
    <w:p>
      <w:pPr>
        <w:pStyle w:val="16"/>
        <w:ind w:firstLine="643"/>
      </w:pPr>
      <w:r>
        <w:rPr>
          <w:rFonts w:hint="eastAsia"/>
        </w:rPr>
        <w:t>4.绩效相关原则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绩效评价针对具体支出及其产出绩效进行评价，结果清晰反映产出和绩效之间的紧密对应关系。</w:t>
      </w:r>
    </w:p>
    <w:p>
      <w:pPr>
        <w:pStyle w:val="16"/>
        <w:ind w:firstLine="643"/>
      </w:pPr>
      <w:r>
        <w:rPr>
          <w:rFonts w:hint="eastAsia"/>
        </w:rPr>
        <w:t>（三）绩效评价工作过程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根据实际经费支出情况，由</w:t>
      </w:r>
      <w:r>
        <w:rPr>
          <w:rFonts w:hint="eastAsia"/>
        </w:rPr>
        <w:t>中央财政支持中医药事业传承与发展示范试点项目补助资金（直达资金）</w:t>
      </w:r>
      <w:r>
        <w:rPr>
          <w:rFonts w:hint="eastAsia" w:ascii="仿宋_GB2312"/>
          <w:szCs w:val="32"/>
        </w:rPr>
        <w:t>的项目负责人对照</w:t>
      </w:r>
      <w:r>
        <w:rPr>
          <w:rFonts w:hint="eastAsia"/>
          <w:szCs w:val="32"/>
        </w:rPr>
        <w:t>2023</w:t>
      </w:r>
      <w:r>
        <w:rPr>
          <w:rFonts w:hint="eastAsia" w:ascii="仿宋_GB2312"/>
          <w:szCs w:val="32"/>
        </w:rPr>
        <w:t>年初设定的绩效目标</w:t>
      </w:r>
      <w:r>
        <w:rPr>
          <w:rFonts w:ascii="仿宋_GB2312"/>
          <w:szCs w:val="32"/>
        </w:rPr>
        <w:t>，</w:t>
      </w:r>
      <w:r>
        <w:rPr>
          <w:rFonts w:hint="eastAsia" w:ascii="仿宋_GB2312"/>
          <w:szCs w:val="32"/>
        </w:rPr>
        <w:t>填写《项目支出绩效自评表》并撰写《项目</w:t>
      </w:r>
      <w:r>
        <w:rPr>
          <w:rFonts w:ascii="仿宋_GB2312"/>
          <w:szCs w:val="32"/>
        </w:rPr>
        <w:t>支出</w:t>
      </w:r>
      <w:r>
        <w:rPr>
          <w:rFonts w:hint="eastAsia" w:ascii="仿宋_GB2312"/>
          <w:szCs w:val="32"/>
        </w:rPr>
        <w:t>绩效评价报告》。</w:t>
      </w:r>
    </w:p>
    <w:p>
      <w:pPr>
        <w:pStyle w:val="12"/>
        <w:ind w:firstLine="640"/>
      </w:pPr>
      <w:r>
        <w:rPr>
          <w:rFonts w:hint="eastAsia"/>
        </w:rPr>
        <w:t>三、综合评价情况及评价结论</w:t>
      </w:r>
    </w:p>
    <w:p>
      <w:pPr>
        <w:ind w:firstLine="640"/>
        <w:rPr>
          <w:rFonts w:hAnsi="黑体" w:cs="宋体"/>
          <w:color w:val="000000"/>
          <w:kern w:val="0"/>
        </w:rPr>
      </w:pPr>
      <w:r>
        <w:rPr>
          <w:rFonts w:hint="eastAsia"/>
        </w:rPr>
        <w:t>该项目总体绩效目标比较明确，绩效指标设定基本清晰、合理；项目预算编制基本合理；财务管理制度比较健全。</w:t>
      </w:r>
    </w:p>
    <w:p>
      <w:pPr>
        <w:ind w:firstLine="640"/>
      </w:pPr>
      <w:r>
        <w:rPr>
          <w:rFonts w:hint="eastAsia"/>
        </w:rPr>
        <w:t>经评价，该项目综合得分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</w:rPr>
        <w:t>分。其中：项目资金执行率得分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10分，产出指标得分4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分，成本指标得分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分，效益指标得分20分，满意度指标得分10分。</w:t>
      </w:r>
    </w:p>
    <w:p>
      <w:pPr>
        <w:pStyle w:val="12"/>
        <w:ind w:firstLine="640"/>
      </w:pPr>
      <w:r>
        <w:rPr>
          <w:rFonts w:hint="eastAsia"/>
        </w:rPr>
        <w:t>四、绩效评价指标分析</w:t>
      </w:r>
    </w:p>
    <w:p>
      <w:pPr>
        <w:pStyle w:val="16"/>
        <w:ind w:firstLine="643"/>
      </w:pPr>
      <w:r>
        <w:rPr>
          <w:rFonts w:hint="eastAsia"/>
        </w:rPr>
        <w:t>（一）项目决策情况</w:t>
      </w:r>
    </w:p>
    <w:p>
      <w:pPr>
        <w:pStyle w:val="16"/>
        <w:ind w:firstLine="643"/>
      </w:pPr>
      <w:bookmarkStart w:id="0" w:name="_Toc40971717"/>
      <w:bookmarkStart w:id="1" w:name="_Toc462125903"/>
      <w:r>
        <w:rPr>
          <w:rFonts w:hint="eastAsia"/>
        </w:rPr>
        <w:t>1.目标明确性分析</w:t>
      </w:r>
      <w:bookmarkEnd w:id="0"/>
      <w:bookmarkEnd w:id="1"/>
    </w:p>
    <w:p>
      <w:pPr>
        <w:ind w:firstLine="640"/>
        <w:rPr>
          <w:rFonts w:ascii="仿宋_GB2312" w:hAnsi="宋体"/>
          <w:szCs w:val="32"/>
        </w:rPr>
      </w:pPr>
      <w:bookmarkStart w:id="2" w:name="_Toc40971718"/>
      <w:r>
        <w:rPr>
          <w:rFonts w:hint="eastAsia" w:ascii="仿宋_GB2312"/>
          <w:bCs/>
          <w:szCs w:val="32"/>
        </w:rPr>
        <w:t>项目</w:t>
      </w:r>
      <w:r>
        <w:rPr>
          <w:rFonts w:hint="eastAsia" w:ascii="仿宋_GB2312" w:hAnsi="宋体"/>
          <w:bCs/>
          <w:szCs w:val="32"/>
        </w:rPr>
        <w:t>绩效目标基本科学、清晰，能够明确反应目标。</w:t>
      </w:r>
      <w:bookmarkEnd w:id="2"/>
    </w:p>
    <w:p>
      <w:pPr>
        <w:pStyle w:val="16"/>
        <w:ind w:firstLine="643"/>
      </w:pPr>
      <w:bookmarkStart w:id="3" w:name="_Toc462125904"/>
      <w:bookmarkStart w:id="4" w:name="_Toc40971719"/>
      <w:r>
        <w:rPr>
          <w:rFonts w:hint="eastAsia"/>
        </w:rPr>
        <w:t>2.目标合理性分析</w:t>
      </w:r>
      <w:bookmarkEnd w:id="3"/>
      <w:bookmarkEnd w:id="4"/>
    </w:p>
    <w:p>
      <w:pPr>
        <w:ind w:firstLine="640"/>
        <w:rPr>
          <w:rFonts w:ascii="仿宋_GB2312"/>
          <w:bCs/>
          <w:szCs w:val="32"/>
        </w:rPr>
      </w:pPr>
      <w:bookmarkStart w:id="5" w:name="_Toc40971720"/>
      <w:r>
        <w:rPr>
          <w:rFonts w:hint="eastAsia" w:ascii="仿宋_GB2312"/>
          <w:bCs/>
          <w:szCs w:val="32"/>
        </w:rPr>
        <w:t>项目目标制定较为合理。符合国家法律法规，符合北京市黄埔军校同学会的职能要求。</w:t>
      </w:r>
      <w:bookmarkEnd w:id="5"/>
    </w:p>
    <w:p>
      <w:pPr>
        <w:pStyle w:val="16"/>
        <w:ind w:firstLine="643"/>
      </w:pPr>
      <w:bookmarkStart w:id="6" w:name="_Toc40971721"/>
      <w:bookmarkStart w:id="7" w:name="_Toc462125905"/>
      <w:r>
        <w:rPr>
          <w:rFonts w:hint="eastAsia"/>
        </w:rPr>
        <w:t>3.目标细化程度分析</w:t>
      </w:r>
      <w:bookmarkEnd w:id="6"/>
      <w:bookmarkEnd w:id="7"/>
    </w:p>
    <w:p>
      <w:pPr>
        <w:ind w:firstLine="640"/>
        <w:rPr>
          <w:rFonts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8" w:name="_Toc40971722"/>
      <w:r>
        <w:rPr>
          <w:rFonts w:hint="eastAsia" w:ascii="仿宋_GB2312"/>
          <w:bCs/>
          <w:szCs w:val="32"/>
        </w:rPr>
        <w:t>依据项目内容，从项目产出数量、质量、社会效益等方面设定了具体</w:t>
      </w:r>
      <w:r>
        <w:rPr>
          <w:rFonts w:hint="eastAsia"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指标，目标细化程度基本符合项目内容。</w:t>
      </w:r>
      <w:bookmarkEnd w:id="8"/>
    </w:p>
    <w:p>
      <w:pPr>
        <w:pStyle w:val="16"/>
        <w:ind w:firstLine="643"/>
      </w:pPr>
      <w:r>
        <w:rPr>
          <w:rFonts w:hint="eastAsia"/>
        </w:rPr>
        <w:t>（二）项目过程情况</w:t>
      </w:r>
    </w:p>
    <w:p>
      <w:pPr>
        <w:pStyle w:val="16"/>
        <w:ind w:firstLine="643"/>
        <w:rPr>
          <w:rFonts w:ascii="楷体_GB2312" w:hAnsi="楷体_GB2312" w:eastAsia="楷体_GB2312" w:cs="楷体_GB2312"/>
        </w:rPr>
      </w:pPr>
      <w:r>
        <w:rPr>
          <w:rFonts w:hint="eastAsia"/>
        </w:rPr>
        <w:t>1.资金使用及管理情况</w:t>
      </w:r>
    </w:p>
    <w:p>
      <w:pPr>
        <w:ind w:firstLine="640"/>
        <w:rPr>
          <w:rFonts w:ascii="楷体_GB2312" w:hAnsi="楷体_GB2312" w:eastAsia="楷体_GB2312" w:cs="楷体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2023年11月</w:t>
      </w:r>
      <w:r>
        <w:rPr>
          <w:rFonts w:hint="eastAsia"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收到财政拨付款项</w:t>
      </w:r>
      <w:r>
        <w:rPr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146</w:t>
      </w:r>
      <w:r>
        <w:rPr>
          <w:rFonts w:hint="eastAsia" w:ascii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万元，资金已足额到位，项目资金实施统一集中管理，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资金的使用和拨付，基本上按照规定执行，保证了资金的合理有效使用，截至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日，上述款项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146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万元用于项目支出，未出现超计划支出的情况。</w:t>
      </w:r>
    </w:p>
    <w:p>
      <w:pPr>
        <w:pStyle w:val="16"/>
        <w:ind w:firstLine="643"/>
      </w:pPr>
      <w:bookmarkStart w:id="9" w:name="_Toc462125908"/>
      <w:bookmarkStart w:id="10" w:name="_Toc40971725"/>
      <w:r>
        <w:rPr>
          <w:rFonts w:hint="eastAsia"/>
        </w:rPr>
        <w:t>2.项目组织管理情况</w:t>
      </w:r>
      <w:bookmarkEnd w:id="9"/>
      <w:bookmarkEnd w:id="10"/>
    </w:p>
    <w:p>
      <w:pPr>
        <w:ind w:firstLine="640"/>
        <w:rPr>
          <w:rFonts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该项目在组织管理上，基本上符合财政项目管理规定。</w:t>
      </w:r>
    </w:p>
    <w:p>
      <w:pPr>
        <w:ind w:firstLine="640"/>
        <w:rPr>
          <w:rFonts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项目实施情况：</w:t>
      </w:r>
    </w:p>
    <w:p>
      <w:pPr>
        <w:ind w:firstLine="640"/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</w:rPr>
        <w:t>朝阳区中医药传承创新发展项目周边产品设计制作，共计支出</w:t>
      </w:r>
      <w:r>
        <w:t>168000</w:t>
      </w:r>
      <w:r>
        <w:rPr>
          <w:rFonts w:hint="eastAsia"/>
        </w:rPr>
        <w:t>元。</w:t>
      </w:r>
    </w:p>
    <w:p>
      <w:pPr>
        <w:ind w:firstLine="640"/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</w:rPr>
        <w:t>中医药主题青年汇社会服务项目，共计支出</w:t>
      </w:r>
      <w:r>
        <w:t>560000</w:t>
      </w:r>
      <w:r>
        <w:rPr>
          <w:rFonts w:hint="eastAsia"/>
        </w:rPr>
        <w:t>元。</w:t>
      </w:r>
    </w:p>
    <w:p>
      <w:pPr>
        <w:ind w:firstLine="640"/>
      </w:pPr>
      <w:r>
        <w:rPr>
          <w:rFonts w:hint="eastAsia"/>
        </w:rPr>
        <w:t>（3）中医药主题活动设计及执行服务项目，共计支出</w:t>
      </w:r>
      <w:r>
        <w:t>665000</w:t>
      </w:r>
      <w:r>
        <w:rPr>
          <w:rFonts w:hint="eastAsia"/>
        </w:rPr>
        <w:t>元。</w:t>
      </w:r>
    </w:p>
    <w:p>
      <w:pPr>
        <w:ind w:firstLine="640"/>
      </w:pPr>
      <w:r>
        <w:rPr>
          <w:rFonts w:hint="eastAsia"/>
        </w:rPr>
        <w:t>（4）朝阳区岐黄社区青年汇装饰，共计支出</w:t>
      </w:r>
      <w:r>
        <w:t>67000</w:t>
      </w:r>
      <w:r>
        <w:rPr>
          <w:rFonts w:hint="eastAsia"/>
        </w:rPr>
        <w:t>元。</w:t>
      </w:r>
    </w:p>
    <w:p>
      <w:pPr>
        <w:pStyle w:val="16"/>
        <w:ind w:firstLine="643"/>
      </w:pPr>
      <w:r>
        <w:rPr>
          <w:rFonts w:hint="eastAsia"/>
        </w:rPr>
        <w:t>（三）项目产出情况</w:t>
      </w:r>
    </w:p>
    <w:p>
      <w:pPr>
        <w:pStyle w:val="16"/>
        <w:ind w:firstLine="643"/>
        <w:rPr>
          <w:rFonts w:ascii="楷体_GB2312" w:hAnsi="楷体_GB2312" w:eastAsia="楷体_GB2312" w:cs="楷体_GB2312"/>
        </w:rPr>
      </w:pPr>
      <w:r>
        <w:rPr>
          <w:rFonts w:hint="eastAsia"/>
        </w:rPr>
        <w:t>1.项目经济性分析</w:t>
      </w:r>
    </w:p>
    <w:p>
      <w:pPr>
        <w:ind w:firstLine="640"/>
        <w:rPr>
          <w:rFonts w:ascii="楷体_GB2312" w:hAnsi="楷体_GB2312" w:eastAsia="楷体_GB2312" w:cs="楷体_GB2312"/>
          <w:szCs w:val="32"/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该项目实际总投资金额为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146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万元，未超预算，经济性较好。</w:t>
      </w:r>
    </w:p>
    <w:p>
      <w:pPr>
        <w:pStyle w:val="16"/>
        <w:ind w:firstLine="643"/>
      </w:pPr>
      <w:bookmarkStart w:id="11" w:name="_Toc462125912"/>
      <w:r>
        <w:rPr>
          <w:rFonts w:hint="eastAsia"/>
        </w:rPr>
        <w:t>2.项目效率性分析</w:t>
      </w:r>
      <w:bookmarkEnd w:id="11"/>
    </w:p>
    <w:p>
      <w:pPr>
        <w:ind w:firstLine="640"/>
        <w:rPr>
          <w:rFonts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）项目的实施进度</w:t>
      </w:r>
    </w:p>
    <w:p>
      <w:pPr>
        <w:ind w:firstLine="640"/>
        <w:rPr>
          <w:rFonts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该项目整体计划于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月完成，现已按照相关进度完成。</w:t>
      </w:r>
    </w:p>
    <w:p>
      <w:pPr>
        <w:ind w:firstLine="640"/>
        <w:rPr>
          <w:rFonts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）项目完成质量</w:t>
      </w:r>
    </w:p>
    <w:p>
      <w:pPr>
        <w:ind w:firstLine="640"/>
        <w:rPr>
          <w:rFonts w:ascii="楷体_GB2312" w:hAnsi="楷体_GB2312" w:eastAsia="楷体_GB2312" w:cs="楷体_GB2312"/>
          <w:szCs w:val="32"/>
        </w:rPr>
      </w:pPr>
      <w:r>
        <w:rPr>
          <w:rFonts w:hint="eastAsia" w:ascii="仿宋_GB2312" w:hAnsi="仿宋_GB2312" w:cs="仿宋_GB2312"/>
          <w:szCs w:val="32"/>
        </w:rPr>
        <w:t>截止</w:t>
      </w:r>
      <w:r>
        <w:rPr>
          <w:rFonts w:hint="eastAsia" w:cs="Times New Roman"/>
          <w:szCs w:val="32"/>
        </w:rPr>
        <w:t>目前</w:t>
      </w:r>
      <w:r>
        <w:rPr>
          <w:rFonts w:hint="eastAsia" w:ascii="仿宋_GB2312" w:hAnsi="仿宋_GB2312" w:cs="仿宋_GB2312"/>
          <w:szCs w:val="32"/>
        </w:rPr>
        <w:t>，共收到青年中医药人才简历</w:t>
      </w:r>
      <w:r>
        <w:rPr>
          <w:rFonts w:cs="Times New Roman"/>
          <w:szCs w:val="32"/>
        </w:rPr>
        <w:t>45</w:t>
      </w:r>
      <w:r>
        <w:rPr>
          <w:rFonts w:hint="eastAsia" w:ascii="仿宋_GB2312" w:hAnsi="仿宋_GB2312" w:cs="仿宋_GB2312"/>
          <w:szCs w:val="32"/>
        </w:rPr>
        <w:t>份，人才从事领域涉及AI、中医临床、科研、法律、教育教学等，人才主要由卫健委、管庄地区以及北京中医药大学推荐。青年中医药人才会客厅会员储备工作已基本完成。</w:t>
      </w:r>
    </w:p>
    <w:p>
      <w:pPr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为宣传中医药文化，助力中医药文化加速“出海”，岐黄社区青年汇打造中医药文化体验摊位，并亮相第三届缤纷之夜暨澳门回归祖国</w:t>
      </w:r>
      <w:r>
        <w:rPr>
          <w:rFonts w:cs="Times New Roman"/>
          <w:szCs w:val="32"/>
        </w:rPr>
        <w:t>24</w:t>
      </w:r>
      <w:r>
        <w:rPr>
          <w:rFonts w:hint="eastAsia" w:ascii="仿宋_GB2312" w:hAnsi="仿宋_GB2312" w:cs="仿宋_GB2312"/>
          <w:szCs w:val="32"/>
        </w:rPr>
        <w:t>周年活动。三个摊位均由北京中医药大学的学生参与打造，涉及中医药茶饮、健身锤以及手诊。</w:t>
      </w:r>
    </w:p>
    <w:p>
      <w:pPr>
        <w:ind w:firstLine="640"/>
        <w:rPr>
          <w:rFonts w:ascii="仿宋_GB2312" w:hAnsi="仿宋_GB2312" w:cs="仿宋_GB2312"/>
          <w:szCs w:val="32"/>
          <w:lang w:bidi="ar"/>
        </w:rPr>
      </w:pPr>
      <w:r>
        <w:rPr>
          <w:rFonts w:hint="eastAsia" w:ascii="仿宋_GB2312" w:hAnsi="仿宋_GB2312" w:cs="仿宋_GB2312"/>
          <w:szCs w:val="32"/>
          <w:lang w:bidi="ar"/>
        </w:rPr>
        <w:t>为更好传承并发扬我国传统文化，北京市朝阳区青少年社会工作协会以儿童及青少年的需求为导向，兼顾知识性、娱乐性，探寻符合其年龄特点的授课形式，自主研发《眼睛王国的秘密》《神奇的健身操》《识药小郎中》《神奇的五》中医药系列课程投放至全区开展。截至目前，已开展相关课程</w:t>
      </w:r>
      <w:r>
        <w:rPr>
          <w:rFonts w:cs="Times New Roman"/>
          <w:szCs w:val="32"/>
          <w:lang w:bidi="ar"/>
        </w:rPr>
        <w:t>40</w:t>
      </w:r>
      <w:r>
        <w:rPr>
          <w:rFonts w:hint="eastAsia" w:ascii="仿宋_GB2312" w:hAnsi="仿宋_GB2312" w:cs="仿宋_GB2312"/>
          <w:szCs w:val="32"/>
          <w:lang w:bidi="ar"/>
        </w:rPr>
        <w:t>节，服务儿童及青少年共计</w:t>
      </w:r>
      <w:r>
        <w:rPr>
          <w:rFonts w:cs="Times New Roman"/>
          <w:szCs w:val="32"/>
          <w:lang w:bidi="ar"/>
        </w:rPr>
        <w:t>213</w:t>
      </w:r>
      <w:r>
        <w:rPr>
          <w:rFonts w:hint="eastAsia" w:ascii="仿宋_GB2312" w:hAnsi="仿宋_GB2312" w:cs="仿宋_GB2312"/>
          <w:szCs w:val="32"/>
          <w:lang w:bidi="ar"/>
        </w:rPr>
        <w:t>人次。</w:t>
      </w:r>
    </w:p>
    <w:p>
      <w:pPr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bidi="ar"/>
        </w:rPr>
        <w:t>岐黄社区青年汇已完成场地实地勘测、氛围营造方案制定、室内装置设计及定制、相关审核以及入场手续的办理，即将投入现场布置工作。</w:t>
      </w:r>
      <w:r>
        <w:rPr>
          <w:rFonts w:cs="Times New Roman"/>
          <w:szCs w:val="32"/>
          <w:lang w:bidi="ar"/>
        </w:rPr>
        <w:t>logo</w:t>
      </w:r>
      <w:r>
        <w:rPr>
          <w:rFonts w:hint="eastAsia" w:ascii="仿宋_GB2312" w:hAnsi="仿宋_GB2312" w:cs="仿宋_GB2312"/>
          <w:szCs w:val="32"/>
          <w:lang w:bidi="ar"/>
        </w:rPr>
        <w:t>已设计完毕，并完成物料选品工作。后续将着眼于中医药文化的更广泛传播，本着实用、美观开发系列中医药文创周边以及系列高定展品。</w:t>
      </w:r>
    </w:p>
    <w:p>
      <w:pPr>
        <w:pStyle w:val="16"/>
        <w:ind w:firstLine="643"/>
      </w:pPr>
      <w:r>
        <w:rPr>
          <w:rFonts w:hint="eastAsia"/>
        </w:rPr>
        <w:t>（四）项目效益情况</w:t>
      </w:r>
    </w:p>
    <w:p>
      <w:pPr>
        <w:pStyle w:val="12"/>
        <w:ind w:firstLine="640"/>
        <w:rPr>
          <w:rFonts w:eastAsia="仿宋_GB2312"/>
          <w:szCs w:val="32"/>
        </w:rPr>
      </w:pPr>
      <w:r>
        <w:rPr>
          <w:rFonts w:hint="eastAsia" w:eastAsia="仿宋_GB2312"/>
          <w:szCs w:val="32"/>
        </w:rPr>
        <w:t>通过广泛的宣传及丰富的活动，吸引京港澳台两岸四地及海外青年深入了解中医药文化的同时，让更多的青年感受朝阳区中医药文化特色和健康产业的优势，促进形成品牌化、规模化、国际化发展。</w:t>
      </w:r>
    </w:p>
    <w:p>
      <w:pPr>
        <w:pStyle w:val="12"/>
        <w:ind w:firstLine="640"/>
      </w:pPr>
      <w:r>
        <w:rPr>
          <w:rFonts w:hint="eastAsia"/>
        </w:rPr>
        <w:t>五、主要经验及做法、存在的问题及原因分析</w:t>
      </w:r>
    </w:p>
    <w:p>
      <w:pPr>
        <w:pStyle w:val="16"/>
        <w:ind w:firstLine="643"/>
      </w:pPr>
      <w:r>
        <w:rPr>
          <w:rFonts w:hint="eastAsia"/>
        </w:rPr>
        <w:t>（一）主要经验和做法</w:t>
      </w:r>
    </w:p>
    <w:p>
      <w:pPr>
        <w:ind w:firstLine="640"/>
        <w:rPr>
          <w:rFonts w:ascii="仿宋_GB2312" w:hAnsi="仿宋"/>
          <w:szCs w:val="32"/>
        </w:rPr>
      </w:pPr>
      <w:r>
        <w:rPr>
          <w:rFonts w:hint="eastAsia" w:ascii="仿宋_GB2312"/>
          <w:szCs w:val="32"/>
        </w:rPr>
        <w:t>根据实际经费支出情况，由</w:t>
      </w:r>
      <w:r>
        <w:rPr>
          <w:rFonts w:hint="eastAsia"/>
        </w:rPr>
        <w:t>中央财政支持中医药事业传承与发展示范试点项目补助资金（直达资金）</w:t>
      </w:r>
      <w:r>
        <w:rPr>
          <w:rFonts w:hint="eastAsia" w:ascii="仿宋_GB2312"/>
          <w:szCs w:val="32"/>
        </w:rPr>
        <w:t>的项目负责人对照</w:t>
      </w:r>
      <w:r>
        <w:rPr>
          <w:rFonts w:hint="eastAsia"/>
          <w:szCs w:val="32"/>
        </w:rPr>
        <w:t>2023</w:t>
      </w:r>
      <w:r>
        <w:rPr>
          <w:rFonts w:hint="eastAsia" w:ascii="仿宋_GB2312"/>
          <w:szCs w:val="32"/>
        </w:rPr>
        <w:t>年初设定的绩效目标</w:t>
      </w:r>
      <w:r>
        <w:rPr>
          <w:rFonts w:ascii="仿宋_GB2312"/>
          <w:szCs w:val="32"/>
        </w:rPr>
        <w:t>，</w:t>
      </w:r>
      <w:r>
        <w:rPr>
          <w:rFonts w:hint="eastAsia" w:ascii="仿宋_GB2312"/>
          <w:szCs w:val="32"/>
        </w:rPr>
        <w:t>填写《项目支出绩效自</w:t>
      </w:r>
      <w:bookmarkStart w:id="12" w:name="_GoBack"/>
      <w:bookmarkEnd w:id="12"/>
      <w:r>
        <w:rPr>
          <w:rFonts w:hint="eastAsia" w:ascii="仿宋_GB2312"/>
          <w:szCs w:val="32"/>
        </w:rPr>
        <w:t>评表》并撰写《项目</w:t>
      </w:r>
      <w:r>
        <w:rPr>
          <w:rFonts w:ascii="仿宋_GB2312"/>
          <w:szCs w:val="32"/>
        </w:rPr>
        <w:t>支出</w:t>
      </w:r>
      <w:r>
        <w:rPr>
          <w:rFonts w:hint="eastAsia" w:ascii="仿宋_GB2312"/>
          <w:szCs w:val="32"/>
        </w:rPr>
        <w:t>绩效评价报告》。</w:t>
      </w:r>
    </w:p>
    <w:p>
      <w:pPr>
        <w:pStyle w:val="16"/>
        <w:ind w:firstLine="643"/>
        <w:rPr>
          <w:rFonts w:ascii="仿宋_GB2312" w:hAnsi="楷体_GB2312" w:cs="楷体_GB2312"/>
        </w:rPr>
      </w:pPr>
      <w:r>
        <w:rPr>
          <w:rFonts w:hint="eastAsia"/>
        </w:rPr>
        <w:t>（二）存在的问题及原因分析</w:t>
      </w:r>
    </w:p>
    <w:p>
      <w:pPr>
        <w:pStyle w:val="12"/>
        <w:ind w:firstLine="640"/>
        <w:rPr>
          <w:rFonts w:ascii="仿宋_GB2312" w:eastAsia="仿宋_GB2312"/>
          <w:szCs w:val="32"/>
        </w:rPr>
      </w:pPr>
      <w:r>
        <w:rPr>
          <w:rFonts w:hint="eastAsia" w:ascii="仿宋_GB2312" w:eastAsia="仿宋_GB2312"/>
          <w:szCs w:val="32"/>
        </w:rPr>
        <w:t>无。</w:t>
      </w:r>
    </w:p>
    <w:p>
      <w:pPr>
        <w:pStyle w:val="12"/>
        <w:ind w:firstLine="640"/>
      </w:pPr>
      <w:r>
        <w:rPr>
          <w:rFonts w:hint="eastAsia"/>
        </w:rPr>
        <w:t>六、有关建议</w:t>
      </w:r>
    </w:p>
    <w:p>
      <w:pPr>
        <w:ind w:firstLine="640"/>
        <w:rPr>
          <w:rFonts w:ascii="仿宋_GB2312" w:hAnsi="黑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44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bCs/>
          <w:color w:val="000000" w:themeColor="text1"/>
          <w:kern w:val="44"/>
          <w:szCs w:val="32"/>
          <w14:textFill>
            <w14:solidFill>
              <w14:schemeClr w14:val="tx1"/>
            </w14:solidFill>
          </w14:textFill>
        </w:rPr>
        <w:t>.加强预算编制的规范性，做到细化、量化、可衡量，完善整体绩效目标管理体系，保证年度预算支出进度和项目完成程度同步，有效控制结余结转资金规模。</w:t>
      </w:r>
      <w:r>
        <w:rPr>
          <w:rFonts w:hint="eastAsia" w:ascii="仿宋_GB2312" w:hAnsi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进一步细化项目管理控制制度，使之更加完善。</w:t>
      </w:r>
    </w:p>
    <w:p>
      <w:pPr>
        <w:ind w:firstLine="640"/>
        <w:rPr>
          <w:rFonts w:ascii="仿宋_GB2312"/>
          <w:bCs/>
          <w:color w:val="000000" w:themeColor="text1"/>
          <w:kern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黑体"/>
          <w:color w:val="000000" w:themeColor="text1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提高绩效意识。科学有效地设定项目绩效目标，细化量化绩效指标，发挥绩效目标的引领和约束作用。</w:t>
      </w:r>
      <w:r>
        <w:rPr>
          <w:rFonts w:hint="eastAsia" w:ascii="仿宋_GB2312"/>
          <w:bCs/>
          <w:color w:val="000000" w:themeColor="text1"/>
          <w:kern w:val="44"/>
          <w:szCs w:val="32"/>
          <w14:textFill>
            <w14:solidFill>
              <w14:schemeClr w14:val="tx1"/>
            </w14:solidFill>
          </w14:textFill>
        </w:rPr>
        <w:t>规范绩效资料归集管理，通过制度约束，及时、完整归集绩效信息资料。</w:t>
      </w:r>
    </w:p>
    <w:p>
      <w:pPr>
        <w:ind w:firstLine="640"/>
        <w:rPr>
          <w:rFonts w:ascii="仿宋_GB2312" w:hAnsi="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.提升项目管理水平。重视项目前期准备，细化需求分析，明确年度任务与资金分配依据。进一步提升项目管理的规范性，在有能力的前提下，建立事前评审、事中控制和事后评价绩效管理体系。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474" w:bottom="1418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52100039"/>
      <w:docPartObj>
        <w:docPartGallery w:val="AutoText"/>
      </w:docPartObj>
    </w:sdtPr>
    <w:sdtContent>
      <w:p>
        <w:pPr>
          <w:pStyle w:val="3"/>
          <w:ind w:firstLine="360"/>
          <w:jc w:val="center"/>
        </w:pP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PAGE   \* MERGEFORMAT</w:instrText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  <w:lang w:val="zh-CN"/>
          </w:rPr>
          <w:t>9</w:t>
        </w:r>
        <w:r>
          <w:rPr>
            <w:rFonts w:cs="Times New Roman"/>
            <w:sz w:val="24"/>
            <w:szCs w:val="24"/>
          </w:rPr>
          <w:fldChar w:fldCharType="end"/>
        </w:r>
      </w:p>
    </w:sdtContent>
  </w:sdt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1F"/>
    <w:rsid w:val="0003636D"/>
    <w:rsid w:val="000C3241"/>
    <w:rsid w:val="001059A3"/>
    <w:rsid w:val="00125BDE"/>
    <w:rsid w:val="00135806"/>
    <w:rsid w:val="001D42C1"/>
    <w:rsid w:val="002144B8"/>
    <w:rsid w:val="002D5EA1"/>
    <w:rsid w:val="00300942"/>
    <w:rsid w:val="00360F0F"/>
    <w:rsid w:val="00364046"/>
    <w:rsid w:val="003815DB"/>
    <w:rsid w:val="003B5954"/>
    <w:rsid w:val="003C6826"/>
    <w:rsid w:val="004016FA"/>
    <w:rsid w:val="00404C19"/>
    <w:rsid w:val="004A2FEE"/>
    <w:rsid w:val="004B4232"/>
    <w:rsid w:val="00590677"/>
    <w:rsid w:val="005A6C58"/>
    <w:rsid w:val="005E13D0"/>
    <w:rsid w:val="0064224E"/>
    <w:rsid w:val="00663973"/>
    <w:rsid w:val="006C12F5"/>
    <w:rsid w:val="00755298"/>
    <w:rsid w:val="007761D1"/>
    <w:rsid w:val="00790DE7"/>
    <w:rsid w:val="007B261F"/>
    <w:rsid w:val="007F41B0"/>
    <w:rsid w:val="008669F9"/>
    <w:rsid w:val="00892FFA"/>
    <w:rsid w:val="008C4B9A"/>
    <w:rsid w:val="009137D1"/>
    <w:rsid w:val="009F5744"/>
    <w:rsid w:val="00A13505"/>
    <w:rsid w:val="00A672E1"/>
    <w:rsid w:val="00AA3479"/>
    <w:rsid w:val="00AC4C0E"/>
    <w:rsid w:val="00B3025F"/>
    <w:rsid w:val="00B458E0"/>
    <w:rsid w:val="00B97A26"/>
    <w:rsid w:val="00B97C7B"/>
    <w:rsid w:val="00BC09FB"/>
    <w:rsid w:val="00BC6801"/>
    <w:rsid w:val="00C075E1"/>
    <w:rsid w:val="00D46E61"/>
    <w:rsid w:val="00D82052"/>
    <w:rsid w:val="00D94BDD"/>
    <w:rsid w:val="00DC0B97"/>
    <w:rsid w:val="00DC21C2"/>
    <w:rsid w:val="00E00921"/>
    <w:rsid w:val="00E01893"/>
    <w:rsid w:val="00E31224"/>
    <w:rsid w:val="00E47BE8"/>
    <w:rsid w:val="00ED298E"/>
    <w:rsid w:val="00FB5E81"/>
    <w:rsid w:val="00FC4242"/>
    <w:rsid w:val="00FD0ED9"/>
    <w:rsid w:val="3991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suppressAutoHyphens/>
      <w:spacing w:line="360" w:lineRule="auto"/>
      <w:ind w:firstLine="643"/>
      <w:jc w:val="left"/>
    </w:pPr>
    <w:rPr>
      <w:rFonts w:ascii="楷体" w:hAnsi="楷体" w:eastAsia="楷体" w:cs="Times New Roman"/>
      <w:b/>
      <w:szCs w:val="32"/>
    </w:rPr>
  </w:style>
  <w:style w:type="paragraph" w:styleId="6">
    <w:name w:val="Title"/>
    <w:basedOn w:val="1"/>
    <w:next w:val="1"/>
    <w:link w:val="11"/>
    <w:qFormat/>
    <w:uiPriority w:val="10"/>
    <w:pPr>
      <w:ind w:firstLine="0" w:firstLineChars="0"/>
      <w:jc w:val="center"/>
      <w:outlineLvl w:val="0"/>
    </w:pPr>
    <w:rPr>
      <w:rFonts w:eastAsia="方正小标宋简体" w:cstheme="majorBidi"/>
      <w:bCs/>
      <w:sz w:val="44"/>
      <w:szCs w:val="32"/>
    </w:r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标题 字符"/>
    <w:basedOn w:val="8"/>
    <w:link w:val="6"/>
    <w:uiPriority w:val="10"/>
    <w:rPr>
      <w:rFonts w:ascii="Times New Roman" w:hAnsi="Times New Roman" w:eastAsia="方正小标宋简体" w:cstheme="majorBidi"/>
      <w:bCs/>
      <w:sz w:val="44"/>
      <w:szCs w:val="32"/>
    </w:rPr>
  </w:style>
  <w:style w:type="paragraph" w:customStyle="1" w:styleId="12">
    <w:name w:val="一级标题"/>
    <w:basedOn w:val="1"/>
    <w:next w:val="1"/>
    <w:link w:val="13"/>
    <w:qFormat/>
    <w:uiPriority w:val="0"/>
    <w:pPr>
      <w:outlineLvl w:val="1"/>
    </w:pPr>
    <w:rPr>
      <w:rFonts w:eastAsia="黑体"/>
    </w:rPr>
  </w:style>
  <w:style w:type="character" w:customStyle="1" w:styleId="13">
    <w:name w:val="一级标题 字符"/>
    <w:basedOn w:val="8"/>
    <w:link w:val="12"/>
    <w:uiPriority w:val="0"/>
    <w:rPr>
      <w:rFonts w:ascii="Times New Roman" w:hAnsi="Times New Roman" w:eastAsia="黑体"/>
      <w:sz w:val="32"/>
    </w:rPr>
  </w:style>
  <w:style w:type="paragraph" w:customStyle="1" w:styleId="14">
    <w:name w:val="二级标题"/>
    <w:basedOn w:val="1"/>
    <w:next w:val="1"/>
    <w:link w:val="15"/>
    <w:qFormat/>
    <w:uiPriority w:val="0"/>
    <w:pPr>
      <w:outlineLvl w:val="2"/>
    </w:pPr>
    <w:rPr>
      <w:rFonts w:eastAsia="楷体_GB2312"/>
      <w:b/>
    </w:rPr>
  </w:style>
  <w:style w:type="character" w:customStyle="1" w:styleId="15">
    <w:name w:val="二级标题 字符"/>
    <w:basedOn w:val="8"/>
    <w:link w:val="14"/>
    <w:uiPriority w:val="0"/>
    <w:rPr>
      <w:rFonts w:ascii="Times New Roman" w:hAnsi="Times New Roman" w:eastAsia="楷体_GB2312"/>
      <w:b/>
      <w:sz w:val="32"/>
    </w:rPr>
  </w:style>
  <w:style w:type="paragraph" w:customStyle="1" w:styleId="16">
    <w:name w:val="三级标题"/>
    <w:basedOn w:val="1"/>
    <w:next w:val="1"/>
    <w:link w:val="17"/>
    <w:qFormat/>
    <w:uiPriority w:val="0"/>
    <w:pPr>
      <w:outlineLvl w:val="3"/>
    </w:pPr>
    <w:rPr>
      <w:b/>
    </w:rPr>
  </w:style>
  <w:style w:type="character" w:customStyle="1" w:styleId="17">
    <w:name w:val="三级标题 字符"/>
    <w:basedOn w:val="8"/>
    <w:link w:val="16"/>
    <w:uiPriority w:val="0"/>
    <w:rPr>
      <w:rFonts w:ascii="Times New Roman" w:hAnsi="Times New Roman" w:eastAsia="仿宋_GB2312"/>
      <w:b/>
      <w:sz w:val="32"/>
    </w:rPr>
  </w:style>
  <w:style w:type="paragraph" w:customStyle="1" w:styleId="18">
    <w:name w:val="Revision"/>
    <w:hidden/>
    <w:semiHidden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19">
    <w:name w:val="List Paragraph"/>
    <w:basedOn w:val="1"/>
    <w:qFormat/>
    <w:uiPriority w:val="34"/>
    <w:pPr>
      <w:ind w:firstLine="420"/>
    </w:pPr>
  </w:style>
  <w:style w:type="character" w:customStyle="1" w:styleId="20">
    <w:name w:val="批注框文本 字符"/>
    <w:basedOn w:val="8"/>
    <w:link w:val="2"/>
    <w:semiHidden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ocuments\&#33258;&#23450;&#20041;%20Office%20&#27169;&#26495;\&#20844;&#25991;&#27169;&#26495;23.8.2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07C5F-F337-4AD2-A96E-1C509FC999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公文模板23.8.29</Template>
  <Pages>9</Pages>
  <Words>614</Words>
  <Characters>3503</Characters>
  <Lines>29</Lines>
  <Paragraphs>8</Paragraphs>
  <TotalTime>3</TotalTime>
  <ScaleCrop>false</ScaleCrop>
  <LinksUpToDate>false</LinksUpToDate>
  <CharactersWithSpaces>4109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2024-03-19T07:40:00Z</dcterms:created>
  <dc:creator>DELL</dc:creator>
  <cp:lastModifiedBy>北京市朝阳区青少年指导服务中心</cp:lastModifiedBy>
  <dcterms:modified xsi:type="dcterms:W3CDTF">2024-04-09T02:32:44Z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805DCB4B6D4C4B508EB5308940C8966F</vt:lpwstr>
  </property>
</Properties>
</file>