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F18B9">
      <w:pPr>
        <w:ind w:firstLine="640" w:firstLineChars="200"/>
        <w:rPr>
          <w:rFonts w:ascii="Times New Roman" w:hAnsi="Times New Roman" w:eastAsia="仿宋" w:cs="Times New Roman"/>
          <w:sz w:val="32"/>
        </w:rPr>
      </w:pPr>
      <w:bookmarkStart w:id="174" w:name="_GoBack"/>
      <w:bookmarkEnd w:id="174"/>
    </w:p>
    <w:p w14:paraId="74E437F0">
      <w:pPr>
        <w:ind w:firstLine="640" w:firstLineChars="200"/>
        <w:rPr>
          <w:rFonts w:ascii="Times New Roman" w:hAnsi="Times New Roman" w:eastAsia="仿宋" w:cs="Times New Roman"/>
          <w:sz w:val="32"/>
        </w:rPr>
      </w:pPr>
    </w:p>
    <w:p w14:paraId="7242DE02">
      <w:pPr>
        <w:ind w:firstLine="640" w:firstLineChars="200"/>
        <w:rPr>
          <w:rFonts w:ascii="Times New Roman" w:hAnsi="Times New Roman" w:eastAsia="仿宋" w:cs="Times New Roman"/>
          <w:sz w:val="32"/>
        </w:rPr>
      </w:pPr>
    </w:p>
    <w:p w14:paraId="0A4BDB41">
      <w:pPr>
        <w:ind w:firstLine="640" w:firstLineChars="200"/>
        <w:rPr>
          <w:rFonts w:ascii="Times New Roman" w:hAnsi="Times New Roman" w:eastAsia="仿宋" w:cs="Times New Roman"/>
          <w:sz w:val="32"/>
        </w:rPr>
      </w:pPr>
    </w:p>
    <w:p w14:paraId="1B270F14">
      <w:pPr>
        <w:ind w:firstLine="640" w:firstLineChars="200"/>
        <w:rPr>
          <w:rFonts w:ascii="Times New Roman" w:hAnsi="Times New Roman" w:eastAsia="仿宋" w:cs="Times New Roman"/>
          <w:sz w:val="32"/>
        </w:rPr>
      </w:pPr>
    </w:p>
    <w:p w14:paraId="447A2A2A">
      <w:pPr>
        <w:jc w:val="center"/>
        <w:rPr>
          <w:rFonts w:hint="eastAsia" w:ascii="华文中宋" w:hAnsi="华文中宋" w:eastAsia="华文中宋" w:cs="Times New Roman"/>
          <w:b/>
          <w:bCs/>
          <w:sz w:val="56"/>
          <w:szCs w:val="56"/>
        </w:rPr>
      </w:pPr>
      <w:bookmarkStart w:id="0" w:name="_Toc13825203"/>
      <w:bookmarkStart w:id="1" w:name="_Toc20202779"/>
      <w:bookmarkStart w:id="2" w:name="_Toc11073060"/>
      <w:bookmarkStart w:id="3" w:name="_Toc20202920"/>
      <w:r>
        <w:rPr>
          <w:rFonts w:hint="eastAsia" w:ascii="华文中宋" w:hAnsi="华文中宋" w:eastAsia="华文中宋" w:cs="Times New Roman"/>
          <w:b/>
          <w:bCs/>
          <w:sz w:val="56"/>
          <w:szCs w:val="56"/>
        </w:rPr>
        <w:t>北京市朝阳区湿地保护发展规划</w:t>
      </w:r>
      <w:bookmarkEnd w:id="0"/>
      <w:bookmarkEnd w:id="1"/>
      <w:bookmarkEnd w:id="2"/>
      <w:bookmarkEnd w:id="3"/>
    </w:p>
    <w:p w14:paraId="1DB05411">
      <w:pPr>
        <w:jc w:val="center"/>
        <w:rPr>
          <w:rFonts w:ascii="Times New Roman" w:hAnsi="Times New Roman" w:eastAsia="华文中宋" w:cs="Times New Roman"/>
          <w:b/>
          <w:bCs/>
          <w:sz w:val="56"/>
          <w:szCs w:val="56"/>
        </w:rPr>
      </w:pPr>
      <w:bookmarkStart w:id="4" w:name="_Toc20202921"/>
      <w:bookmarkStart w:id="5" w:name="_Toc20202780"/>
      <w:bookmarkStart w:id="6" w:name="_Toc11073061"/>
      <w:bookmarkStart w:id="7" w:name="_Toc13825204"/>
      <w:r>
        <w:rPr>
          <w:rFonts w:ascii="Times New Roman" w:hAnsi="Times New Roman" w:eastAsia="华文中宋" w:cs="Times New Roman"/>
          <w:b/>
          <w:bCs/>
          <w:sz w:val="56"/>
          <w:szCs w:val="56"/>
        </w:rPr>
        <w:t>（202</w:t>
      </w:r>
      <w:r>
        <w:rPr>
          <w:rFonts w:hint="eastAsia" w:ascii="Times New Roman" w:hAnsi="Times New Roman" w:eastAsia="华文中宋" w:cs="Times New Roman"/>
          <w:b/>
          <w:bCs/>
          <w:sz w:val="56"/>
          <w:szCs w:val="56"/>
        </w:rPr>
        <w:t>6年—</w:t>
      </w:r>
      <w:r>
        <w:rPr>
          <w:rFonts w:ascii="Times New Roman" w:hAnsi="Times New Roman" w:eastAsia="华文中宋" w:cs="Times New Roman"/>
          <w:b/>
          <w:bCs/>
          <w:sz w:val="56"/>
          <w:szCs w:val="56"/>
        </w:rPr>
        <w:t>2035年）</w:t>
      </w:r>
      <w:bookmarkEnd w:id="4"/>
      <w:bookmarkEnd w:id="5"/>
      <w:bookmarkEnd w:id="6"/>
      <w:bookmarkEnd w:id="7"/>
    </w:p>
    <w:p w14:paraId="1095DC9B">
      <w:pPr>
        <w:rPr>
          <w:rFonts w:ascii="Times New Roman" w:hAnsi="Times New Roman" w:eastAsia="仿宋" w:cs="Times New Roman"/>
          <w:sz w:val="32"/>
        </w:rPr>
      </w:pPr>
    </w:p>
    <w:p w14:paraId="603CE446">
      <w:pPr>
        <w:ind w:firstLine="640" w:firstLineChars="200"/>
        <w:rPr>
          <w:rFonts w:ascii="Times New Roman" w:hAnsi="Times New Roman" w:eastAsia="仿宋" w:cs="Times New Roman"/>
          <w:sz w:val="32"/>
        </w:rPr>
      </w:pPr>
    </w:p>
    <w:p w14:paraId="1B0E3397">
      <w:pPr>
        <w:ind w:firstLine="640" w:firstLineChars="200"/>
        <w:rPr>
          <w:rFonts w:ascii="Times New Roman" w:hAnsi="Times New Roman" w:eastAsia="仿宋" w:cs="Times New Roman"/>
          <w:sz w:val="32"/>
        </w:rPr>
      </w:pPr>
    </w:p>
    <w:p w14:paraId="0ADDD963">
      <w:pPr>
        <w:ind w:firstLine="640" w:firstLineChars="200"/>
        <w:rPr>
          <w:rFonts w:ascii="Times New Roman" w:hAnsi="Times New Roman" w:eastAsia="仿宋" w:cs="Times New Roman"/>
          <w:sz w:val="32"/>
        </w:rPr>
      </w:pPr>
    </w:p>
    <w:p w14:paraId="7BE960E9">
      <w:pPr>
        <w:ind w:firstLine="640" w:firstLineChars="200"/>
        <w:rPr>
          <w:rFonts w:ascii="Times New Roman" w:hAnsi="Times New Roman" w:eastAsia="仿宋" w:cs="Times New Roman"/>
          <w:sz w:val="32"/>
        </w:rPr>
      </w:pPr>
    </w:p>
    <w:p w14:paraId="4337C274">
      <w:pPr>
        <w:ind w:firstLine="640" w:firstLineChars="200"/>
        <w:rPr>
          <w:rFonts w:ascii="Times New Roman" w:hAnsi="Times New Roman" w:eastAsia="仿宋" w:cs="Times New Roman"/>
          <w:sz w:val="32"/>
        </w:rPr>
      </w:pPr>
    </w:p>
    <w:p w14:paraId="4D2BC710">
      <w:pPr>
        <w:jc w:val="center"/>
        <w:rPr>
          <w:rFonts w:ascii="Times New Roman" w:hAnsi="Times New Roman" w:eastAsia="华文中宋" w:cs="Times New Roman"/>
          <w:b/>
          <w:bCs/>
          <w:sz w:val="32"/>
        </w:rPr>
      </w:pPr>
      <w:bookmarkStart w:id="8" w:name="_Toc20202781"/>
      <w:bookmarkStart w:id="9" w:name="_Toc11073062"/>
      <w:bookmarkStart w:id="10" w:name="_Toc20203071"/>
      <w:bookmarkStart w:id="11" w:name="_Toc10831"/>
      <w:bookmarkStart w:id="12" w:name="_Toc20202922"/>
      <w:bookmarkStart w:id="13" w:name="_Toc13825205"/>
      <w:r>
        <w:rPr>
          <w:rFonts w:ascii="Times New Roman" w:hAnsi="Times New Roman" w:eastAsia="华文中宋" w:cs="Times New Roman"/>
          <w:b/>
          <w:bCs/>
          <w:sz w:val="32"/>
        </w:rPr>
        <w:t>北京市</w:t>
      </w:r>
      <w:r>
        <w:rPr>
          <w:rFonts w:hint="eastAsia" w:ascii="Times New Roman" w:hAnsi="Times New Roman" w:eastAsia="华文中宋" w:cs="Times New Roman"/>
          <w:b/>
          <w:bCs/>
          <w:sz w:val="32"/>
        </w:rPr>
        <w:t>朝阳</w:t>
      </w:r>
      <w:r>
        <w:rPr>
          <w:rFonts w:ascii="Times New Roman" w:hAnsi="Times New Roman" w:eastAsia="华文中宋" w:cs="Times New Roman"/>
          <w:b/>
          <w:bCs/>
          <w:sz w:val="32"/>
        </w:rPr>
        <w:t>区园林绿化局</w:t>
      </w:r>
      <w:bookmarkEnd w:id="8"/>
      <w:bookmarkEnd w:id="9"/>
      <w:bookmarkEnd w:id="10"/>
      <w:bookmarkEnd w:id="11"/>
      <w:bookmarkEnd w:id="12"/>
      <w:bookmarkEnd w:id="13"/>
    </w:p>
    <w:p w14:paraId="2380925F">
      <w:pPr>
        <w:jc w:val="center"/>
        <w:rPr>
          <w:rFonts w:ascii="Times New Roman" w:hAnsi="Times New Roman" w:eastAsia="华文中宋" w:cs="Times New Roman"/>
          <w:b/>
          <w:bCs/>
        </w:rPr>
      </w:pPr>
      <w:r>
        <w:rPr>
          <w:rFonts w:ascii="Times New Roman" w:hAnsi="Times New Roman" w:eastAsia="华文中宋" w:cs="Times New Roman"/>
          <w:b/>
          <w:bCs/>
          <w:sz w:val="32"/>
        </w:rPr>
        <w:t>202</w:t>
      </w:r>
      <w:r>
        <w:rPr>
          <w:rFonts w:hint="eastAsia" w:ascii="Times New Roman" w:hAnsi="Times New Roman" w:eastAsia="华文中宋" w:cs="Times New Roman"/>
          <w:b/>
          <w:bCs/>
          <w:sz w:val="32"/>
        </w:rPr>
        <w:t>6</w:t>
      </w:r>
      <w:r>
        <w:rPr>
          <w:rFonts w:ascii="Times New Roman" w:hAnsi="Times New Roman" w:eastAsia="华文中宋" w:cs="Times New Roman"/>
          <w:b/>
          <w:bCs/>
          <w:sz w:val="32"/>
        </w:rPr>
        <w:t>年</w:t>
      </w:r>
      <w:r>
        <w:rPr>
          <w:rFonts w:hint="eastAsia" w:ascii="Times New Roman" w:hAnsi="Times New Roman" w:eastAsia="华文中宋" w:cs="Times New Roman"/>
          <w:b/>
          <w:bCs/>
          <w:sz w:val="32"/>
        </w:rPr>
        <w:t>9</w:t>
      </w:r>
      <w:r>
        <w:rPr>
          <w:rFonts w:ascii="Times New Roman" w:hAnsi="Times New Roman" w:eastAsia="华文中宋" w:cs="Times New Roman"/>
          <w:b/>
          <w:bCs/>
          <w:sz w:val="32"/>
        </w:rPr>
        <w:t>月</w:t>
      </w:r>
    </w:p>
    <w:p w14:paraId="318ADC0F">
      <w:pPr>
        <w:jc w:val="center"/>
        <w:rPr>
          <w:rFonts w:ascii="Times New Roman" w:hAnsi="Times New Roman" w:eastAsia="华文中宋" w:cs="Times New Roman"/>
          <w:b/>
          <w:bCs/>
        </w:rPr>
      </w:pPr>
    </w:p>
    <w:p w14:paraId="3728E9DE">
      <w:pPr>
        <w:rPr>
          <w:rFonts w:hint="eastAsia"/>
        </w:rPr>
        <w:sectPr>
          <w:footerReference r:id="rId5" w:type="default"/>
          <w:pgSz w:w="11906" w:h="16838"/>
          <w:pgMar w:top="1440" w:right="1800" w:bottom="1440" w:left="1800" w:header="851" w:footer="992" w:gutter="0"/>
          <w:cols w:space="425" w:num="1"/>
          <w:docGrid w:type="lines" w:linePitch="312" w:charSpace="0"/>
        </w:sectPr>
      </w:pPr>
    </w:p>
    <w:p w14:paraId="32F4ADBF">
      <w:pPr>
        <w:jc w:val="center"/>
        <w:rPr>
          <w:rFonts w:hint="eastAsia" w:ascii="黑体" w:hAnsi="黑体" w:eastAsia="黑体"/>
          <w:sz w:val="36"/>
          <w:szCs w:val="36"/>
        </w:rPr>
      </w:pPr>
      <w:r>
        <w:rPr>
          <w:rFonts w:hint="eastAsia" w:ascii="黑体" w:hAnsi="黑体" w:eastAsia="黑体"/>
          <w:sz w:val="36"/>
          <w:szCs w:val="36"/>
        </w:rPr>
        <w:t>前言</w:t>
      </w:r>
    </w:p>
    <w:p w14:paraId="6FBA47BC">
      <w:pPr>
        <w:ind w:firstLine="566" w:firstLineChars="177"/>
        <w:rPr>
          <w:rFonts w:ascii="Times New Roman" w:hAnsi="Times New Roman" w:eastAsia="仿宋" w:cs="Times New Roman"/>
          <w:sz w:val="32"/>
          <w:szCs w:val="32"/>
        </w:rPr>
      </w:pPr>
    </w:p>
    <w:p w14:paraId="0B8D42C4">
      <w:pPr>
        <w:ind w:firstLine="640" w:firstLineChars="200"/>
        <w:rPr>
          <w:rFonts w:ascii="Times New Roman" w:hAnsi="Times New Roman" w:eastAsia="仿宋" w:cs="Times New Roman"/>
          <w:sz w:val="32"/>
          <w:szCs w:val="32"/>
        </w:rPr>
      </w:pPr>
      <w:bookmarkStart w:id="14" w:name="_Hlk176958977"/>
      <w:r>
        <w:rPr>
          <w:rFonts w:hint="eastAsia" w:ascii="Times New Roman" w:hAnsi="Times New Roman" w:eastAsia="仿宋" w:cs="Times New Roman"/>
          <w:sz w:val="32"/>
          <w:szCs w:val="32"/>
        </w:rPr>
        <w:t>2022年6月，《中华人民共和国湿地保护法》正式施行，作为我国首部专门针对湿地保护的法律，其颁布实施标志着湿地保护事业迈入法治化、规范化的全新阶段。该法明确要求县级以上地方人民政府林业草原主管部门会同有关部门，依据本级国土空间规划和上一级湿地保护规划，编制本行政区域内的湿地保护规划，经同级人民政府批准后组织实施，为湿地资源系统管护提供了坚实的法律保障。</w:t>
      </w:r>
    </w:p>
    <w:p w14:paraId="6A925A0A">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近年来，朝阳区深入贯彻落实党中央关于湿地保护与生态建设的决策部署，牢固树立绿水青山就是金山银山的理念，坚持山水林田湖草沙一体化保护与系统治理，统筹推进全域、全要素、全过程生态环境保护，持续加大湿地修复与保护力度，取得显著成效。经过长期不懈努力，全区生态环境质量稳步提升，生物多样性日益丰富，生态系统功能不断增强，生态保护成果持续巩固，有力助推了区域高质量发展与自然和谐共生。</w:t>
      </w:r>
    </w:p>
    <w:p w14:paraId="45260A16">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w:t>
      </w:r>
      <w:r>
        <w:rPr>
          <w:rFonts w:ascii="Times New Roman" w:hAnsi="Times New Roman" w:eastAsia="仿宋" w:cs="Times New Roman"/>
          <w:sz w:val="32"/>
          <w:szCs w:val="32"/>
        </w:rPr>
        <w:t>02</w:t>
      </w:r>
      <w:r>
        <w:rPr>
          <w:rFonts w:hint="eastAsia" w:ascii="Times New Roman" w:hAnsi="Times New Roman" w:eastAsia="仿宋" w:cs="Times New Roman"/>
          <w:sz w:val="32"/>
          <w:szCs w:val="32"/>
        </w:rPr>
        <w:t>6年7月，《北京市朝阳区湿地保护发展规划（</w:t>
      </w:r>
      <w:r>
        <w:rPr>
          <w:rFonts w:ascii="Times New Roman" w:hAnsi="Times New Roman" w:eastAsia="仿宋" w:cs="Times New Roman"/>
          <w:sz w:val="32"/>
          <w:szCs w:val="32"/>
        </w:rPr>
        <w:t>202</w:t>
      </w:r>
      <w:r>
        <w:rPr>
          <w:rFonts w:hint="eastAsia" w:ascii="Times New Roman" w:hAnsi="Times New Roman" w:eastAsia="仿宋" w:cs="Times New Roman"/>
          <w:sz w:val="32"/>
          <w:szCs w:val="32"/>
        </w:rPr>
        <w:t>6年</w:t>
      </w:r>
      <w:r>
        <w:rPr>
          <w:rFonts w:ascii="Times New Roman" w:hAnsi="Times New Roman" w:eastAsia="仿宋" w:cs="Times New Roman"/>
          <w:sz w:val="32"/>
          <w:szCs w:val="32"/>
        </w:rPr>
        <w:t>—2035</w:t>
      </w:r>
      <w:r>
        <w:rPr>
          <w:rFonts w:hint="eastAsia" w:ascii="Times New Roman" w:hAnsi="Times New Roman" w:eastAsia="仿宋" w:cs="Times New Roman"/>
          <w:sz w:val="32"/>
          <w:szCs w:val="32"/>
        </w:rPr>
        <w:t>年</w:t>
      </w:r>
      <w:r>
        <w:rPr>
          <w:rFonts w:ascii="Times New Roman" w:hAnsi="Times New Roman" w:eastAsia="仿宋" w:cs="Times New Roman"/>
          <w:sz w:val="32"/>
          <w:szCs w:val="32"/>
        </w:rPr>
        <w:t>）》编制工作正式启动。</w:t>
      </w:r>
      <w:r>
        <w:rPr>
          <w:rFonts w:hint="eastAsia" w:ascii="Times New Roman" w:hAnsi="Times New Roman" w:eastAsia="仿宋" w:cs="Times New Roman"/>
          <w:sz w:val="32"/>
          <w:szCs w:val="32"/>
        </w:rPr>
        <w:t>规划编制组成员赴朝阳区进行实地调研，全面收集和整理相关资料和基础数据，</w:t>
      </w:r>
      <w:bookmarkEnd w:id="14"/>
      <w:r>
        <w:rPr>
          <w:rFonts w:hint="eastAsia" w:ascii="Times New Roman" w:hAnsi="Times New Roman" w:eastAsia="仿宋" w:cs="Times New Roman"/>
          <w:sz w:val="32"/>
          <w:szCs w:val="32"/>
        </w:rPr>
        <w:t>进一步</w:t>
      </w:r>
      <w:bookmarkStart w:id="15" w:name="_Hlk176959381"/>
      <w:r>
        <w:rPr>
          <w:rFonts w:hint="eastAsia" w:ascii="Times New Roman" w:hAnsi="Times New Roman" w:eastAsia="仿宋" w:cs="Times New Roman"/>
          <w:sz w:val="32"/>
          <w:szCs w:val="32"/>
        </w:rPr>
        <w:t>依据朝阳区的城市功能定位以及资源现状，紧密衔接国土空间规划，提出了朝阳区湿地保护发展的规划目标，构建了“一纵、四横、三区、多点”的湿地总体布局，明确了规划内容和重点项目。</w:t>
      </w:r>
      <w:bookmarkEnd w:id="15"/>
    </w:p>
    <w:p w14:paraId="5F5DD22B">
      <w:pPr>
        <w:ind w:firstLine="566" w:firstLineChars="177"/>
        <w:rPr>
          <w:rFonts w:ascii="Times New Roman" w:hAnsi="Times New Roman" w:eastAsia="仿宋" w:cs="Times New Roman"/>
          <w:sz w:val="32"/>
          <w:szCs w:val="32"/>
        </w:rPr>
      </w:pPr>
      <w:r>
        <w:rPr>
          <w:rFonts w:hint="eastAsia" w:ascii="Times New Roman" w:hAnsi="Times New Roman" w:eastAsia="仿宋" w:cs="Times New Roman"/>
          <w:sz w:val="32"/>
          <w:szCs w:val="32"/>
        </w:rPr>
        <w:t>本规划对于科学指导朝阳区湿地保护管理工作，全面提升湿地生态质量，改善地区生态环境，打造朝阳区湿地生态名片，增强公众湿地保护意识，具有十分重要的意义。</w:t>
      </w:r>
    </w:p>
    <w:p w14:paraId="2D54B635">
      <w:pPr>
        <w:rPr>
          <w:rFonts w:hint="eastAsia"/>
        </w:rPr>
      </w:pPr>
    </w:p>
    <w:p w14:paraId="25DEC907">
      <w:pPr>
        <w:rPr>
          <w:rFonts w:hint="eastAsia"/>
        </w:rPr>
      </w:pPr>
    </w:p>
    <w:p w14:paraId="6ED2C6BD">
      <w:pPr>
        <w:rPr>
          <w:rFonts w:hint="eastAsia"/>
        </w:rPr>
        <w:sectPr>
          <w:pgSz w:w="11906" w:h="16838"/>
          <w:pgMar w:top="1440" w:right="1800" w:bottom="1440" w:left="1800" w:header="851" w:footer="992" w:gutter="0"/>
          <w:cols w:space="425" w:num="1"/>
          <w:docGrid w:type="lines" w:linePitch="312" w:charSpace="0"/>
        </w:sectPr>
      </w:pPr>
    </w:p>
    <w:sdt>
      <w:sdtPr>
        <w:rPr>
          <w:rFonts w:asciiTheme="minorHAnsi" w:hAnsiTheme="minorHAnsi" w:eastAsiaTheme="minorEastAsia" w:cstheme="minorBidi"/>
          <w:color w:val="auto"/>
          <w:kern w:val="2"/>
          <w:sz w:val="21"/>
          <w:szCs w:val="22"/>
          <w:lang w:val="zh-CN"/>
        </w:rPr>
        <w:id w:val="292572396"/>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497BE4CA">
          <w:pPr>
            <w:pStyle w:val="51"/>
            <w:jc w:val="center"/>
            <w:rPr>
              <w:rFonts w:hint="eastAsia" w:ascii="黑体" w:hAnsi="黑体" w:eastAsia="黑体"/>
              <w:b/>
              <w:bCs/>
              <w:color w:val="auto"/>
            </w:rPr>
          </w:pPr>
          <w:r>
            <w:rPr>
              <w:rFonts w:ascii="黑体" w:hAnsi="黑体" w:eastAsia="黑体"/>
              <w:b/>
              <w:bCs/>
              <w:color w:val="auto"/>
              <w:lang w:val="zh-CN"/>
            </w:rPr>
            <w:t>目录</w:t>
          </w:r>
        </w:p>
        <w:p w14:paraId="66C227D1">
          <w:pPr>
            <w:pStyle w:val="19"/>
            <w:tabs>
              <w:tab w:val="right" w:leader="dot" w:pos="8296"/>
            </w:tabs>
            <w:rPr>
              <w:rFonts w:hint="eastAsia"/>
              <w:sz w:val="22"/>
              <w:szCs w:val="24"/>
              <w14:ligatures w14:val="standardContextual"/>
            </w:rPr>
          </w:pPr>
          <w:r>
            <w:rPr>
              <w:rFonts w:hint="eastAsia"/>
            </w:rPr>
            <w:fldChar w:fldCharType="begin"/>
          </w:r>
          <w:r>
            <w:rPr>
              <w:rFonts w:hint="eastAsia"/>
            </w:rPr>
            <w:instrText xml:space="preserve"> </w:instrText>
          </w:r>
          <w:r>
            <w:instrText xml:space="preserve">TOC \o "1-2" \h \z \u</w:instrText>
          </w:r>
          <w:r>
            <w:rPr>
              <w:rFonts w:hint="eastAsia"/>
            </w:rPr>
            <w:instrText xml:space="preserve"> </w:instrText>
          </w:r>
          <w:r>
            <w:rPr>
              <w:rFonts w:hint="eastAsia"/>
            </w:rPr>
            <w:fldChar w:fldCharType="separate"/>
          </w:r>
          <w:r>
            <w:fldChar w:fldCharType="begin"/>
          </w:r>
          <w:r>
            <w:instrText xml:space="preserve"> HYPERLINK \l "_Toc240204659" </w:instrText>
          </w:r>
          <w:r>
            <w:fldChar w:fldCharType="separate"/>
          </w:r>
          <w:r>
            <w:rPr>
              <w:rStyle w:val="29"/>
              <w:rFonts w:ascii="Times New Roman" w:hAnsi="Times New Roman" w:eastAsia="仿宋" w:cs="Times New Roman"/>
              <w:b/>
              <w:bCs/>
              <w:kern w:val="44"/>
            </w:rPr>
            <w:t>第一章 规划背景</w:t>
          </w:r>
          <w:r>
            <w:rPr>
              <w:rFonts w:hint="eastAsia"/>
            </w:rPr>
            <w:tab/>
          </w:r>
          <w:r>
            <w:rPr>
              <w:rFonts w:hint="eastAsia"/>
            </w:rPr>
            <w:fldChar w:fldCharType="begin"/>
          </w:r>
          <w:r>
            <w:rPr>
              <w:rFonts w:hint="eastAsia"/>
            </w:rPr>
            <w:instrText xml:space="preserve"> </w:instrText>
          </w:r>
          <w:r>
            <w:instrText xml:space="preserve">PAGEREF _Toc240204659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417E5C62">
          <w:pPr>
            <w:pStyle w:val="23"/>
            <w:tabs>
              <w:tab w:val="right" w:leader="dot" w:pos="8296"/>
            </w:tabs>
            <w:rPr>
              <w:rFonts w:hint="eastAsia"/>
              <w:sz w:val="22"/>
              <w:szCs w:val="24"/>
              <w14:ligatures w14:val="standardContextual"/>
            </w:rPr>
          </w:pPr>
          <w:r>
            <w:fldChar w:fldCharType="begin"/>
          </w:r>
          <w:r>
            <w:instrText xml:space="preserve"> HYPERLINK \l "_Toc240204660" </w:instrText>
          </w:r>
          <w:r>
            <w:fldChar w:fldCharType="separate"/>
          </w:r>
          <w:r>
            <w:rPr>
              <w:rStyle w:val="29"/>
              <w:rFonts w:ascii="Times New Roman" w:hAnsi="Times New Roman" w:eastAsia="仿宋" w:cs="Times New Roman"/>
              <w:b/>
              <w:bCs/>
            </w:rPr>
            <w:t>一、基本概况</w:t>
          </w:r>
          <w:r>
            <w:rPr>
              <w:rFonts w:hint="eastAsia"/>
            </w:rPr>
            <w:tab/>
          </w:r>
          <w:r>
            <w:rPr>
              <w:rFonts w:hint="eastAsia"/>
            </w:rPr>
            <w:fldChar w:fldCharType="begin"/>
          </w:r>
          <w:r>
            <w:rPr>
              <w:rFonts w:hint="eastAsia"/>
            </w:rPr>
            <w:instrText xml:space="preserve"> </w:instrText>
          </w:r>
          <w:r>
            <w:instrText xml:space="preserve">PAGEREF _Toc240204660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27AB052D">
          <w:pPr>
            <w:pStyle w:val="23"/>
            <w:tabs>
              <w:tab w:val="right" w:leader="dot" w:pos="8296"/>
            </w:tabs>
            <w:rPr>
              <w:rFonts w:hint="eastAsia"/>
              <w:sz w:val="22"/>
              <w:szCs w:val="24"/>
              <w14:ligatures w14:val="standardContextual"/>
            </w:rPr>
          </w:pPr>
          <w:r>
            <w:fldChar w:fldCharType="begin"/>
          </w:r>
          <w:r>
            <w:instrText xml:space="preserve"> HYPERLINK \l "_Toc240204661" </w:instrText>
          </w:r>
          <w:r>
            <w:fldChar w:fldCharType="separate"/>
          </w:r>
          <w:r>
            <w:rPr>
              <w:rStyle w:val="29"/>
              <w:rFonts w:ascii="Times New Roman" w:hAnsi="Times New Roman" w:eastAsia="仿宋" w:cs="Times New Roman"/>
              <w:b/>
              <w:bCs/>
            </w:rPr>
            <w:t>二、背景分析</w:t>
          </w:r>
          <w:r>
            <w:rPr>
              <w:rFonts w:hint="eastAsia"/>
            </w:rPr>
            <w:tab/>
          </w:r>
          <w:r>
            <w:rPr>
              <w:rFonts w:hint="eastAsia"/>
            </w:rPr>
            <w:fldChar w:fldCharType="begin"/>
          </w:r>
          <w:r>
            <w:rPr>
              <w:rFonts w:hint="eastAsia"/>
            </w:rPr>
            <w:instrText xml:space="preserve"> </w:instrText>
          </w:r>
          <w:r>
            <w:instrText xml:space="preserve">PAGEREF _Toc240204661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14:paraId="66F26690">
          <w:pPr>
            <w:pStyle w:val="19"/>
            <w:tabs>
              <w:tab w:val="right" w:leader="dot" w:pos="8296"/>
            </w:tabs>
            <w:rPr>
              <w:rFonts w:hint="eastAsia"/>
              <w:sz w:val="22"/>
              <w:szCs w:val="24"/>
              <w14:ligatures w14:val="standardContextual"/>
            </w:rPr>
          </w:pPr>
          <w:r>
            <w:fldChar w:fldCharType="begin"/>
          </w:r>
          <w:r>
            <w:instrText xml:space="preserve"> HYPERLINK \l "_Toc240204662" </w:instrText>
          </w:r>
          <w:r>
            <w:fldChar w:fldCharType="separate"/>
          </w:r>
          <w:r>
            <w:rPr>
              <w:rStyle w:val="29"/>
              <w:rFonts w:ascii="Times New Roman" w:hAnsi="Times New Roman" w:eastAsia="仿宋" w:cs="Times New Roman"/>
              <w:b/>
              <w:bCs/>
              <w:kern w:val="44"/>
            </w:rPr>
            <w:t>第二章 指导思想和目标</w:t>
          </w:r>
          <w:r>
            <w:rPr>
              <w:rFonts w:hint="eastAsia"/>
            </w:rPr>
            <w:tab/>
          </w:r>
          <w:r>
            <w:rPr>
              <w:rFonts w:hint="eastAsia"/>
            </w:rPr>
            <w:fldChar w:fldCharType="begin"/>
          </w:r>
          <w:r>
            <w:rPr>
              <w:rFonts w:hint="eastAsia"/>
            </w:rPr>
            <w:instrText xml:space="preserve"> </w:instrText>
          </w:r>
          <w:r>
            <w:instrText xml:space="preserve">PAGEREF _Toc240204662 \h</w:instrText>
          </w:r>
          <w:r>
            <w:rPr>
              <w:rFonts w:hint="eastAsia"/>
            </w:rPr>
            <w:instrText xml:space="preserve"> </w:instrText>
          </w:r>
          <w:r>
            <w:rPr>
              <w:rFonts w:hint="eastAsia"/>
            </w:rPr>
            <w:fldChar w:fldCharType="separate"/>
          </w:r>
          <w:r>
            <w:rPr>
              <w:rFonts w:hint="eastAsia"/>
            </w:rPr>
            <w:t>10</w:t>
          </w:r>
          <w:r>
            <w:rPr>
              <w:rFonts w:hint="eastAsia"/>
            </w:rPr>
            <w:fldChar w:fldCharType="end"/>
          </w:r>
          <w:r>
            <w:rPr>
              <w:rFonts w:hint="eastAsia"/>
            </w:rPr>
            <w:fldChar w:fldCharType="end"/>
          </w:r>
        </w:p>
        <w:p w14:paraId="7C558CA2">
          <w:pPr>
            <w:pStyle w:val="23"/>
            <w:tabs>
              <w:tab w:val="right" w:leader="dot" w:pos="8296"/>
            </w:tabs>
            <w:rPr>
              <w:rFonts w:hint="eastAsia"/>
              <w:sz w:val="22"/>
              <w:szCs w:val="24"/>
              <w14:ligatures w14:val="standardContextual"/>
            </w:rPr>
          </w:pPr>
          <w:r>
            <w:fldChar w:fldCharType="begin"/>
          </w:r>
          <w:r>
            <w:instrText xml:space="preserve"> HYPERLINK \l "_Toc240204663" </w:instrText>
          </w:r>
          <w:r>
            <w:fldChar w:fldCharType="separate"/>
          </w:r>
          <w:r>
            <w:rPr>
              <w:rStyle w:val="29"/>
              <w:rFonts w:ascii="Times New Roman" w:hAnsi="Times New Roman" w:eastAsia="仿宋" w:cs="Times New Roman"/>
              <w:b/>
              <w:bCs/>
            </w:rPr>
            <w:t>一、指导思想</w:t>
          </w:r>
          <w:r>
            <w:rPr>
              <w:rFonts w:hint="eastAsia"/>
            </w:rPr>
            <w:tab/>
          </w:r>
          <w:r>
            <w:rPr>
              <w:rFonts w:hint="eastAsia"/>
            </w:rPr>
            <w:fldChar w:fldCharType="begin"/>
          </w:r>
          <w:r>
            <w:rPr>
              <w:rFonts w:hint="eastAsia"/>
            </w:rPr>
            <w:instrText xml:space="preserve"> </w:instrText>
          </w:r>
          <w:r>
            <w:instrText xml:space="preserve">PAGEREF _Toc240204663 \h</w:instrText>
          </w:r>
          <w:r>
            <w:rPr>
              <w:rFonts w:hint="eastAsia"/>
            </w:rPr>
            <w:instrText xml:space="preserve"> </w:instrText>
          </w:r>
          <w:r>
            <w:rPr>
              <w:rFonts w:hint="eastAsia"/>
            </w:rPr>
            <w:fldChar w:fldCharType="separate"/>
          </w:r>
          <w:r>
            <w:rPr>
              <w:rFonts w:hint="eastAsia"/>
            </w:rPr>
            <w:t>10</w:t>
          </w:r>
          <w:r>
            <w:rPr>
              <w:rFonts w:hint="eastAsia"/>
            </w:rPr>
            <w:fldChar w:fldCharType="end"/>
          </w:r>
          <w:r>
            <w:rPr>
              <w:rFonts w:hint="eastAsia"/>
            </w:rPr>
            <w:fldChar w:fldCharType="end"/>
          </w:r>
        </w:p>
        <w:p w14:paraId="79011963">
          <w:pPr>
            <w:pStyle w:val="23"/>
            <w:tabs>
              <w:tab w:val="right" w:leader="dot" w:pos="8296"/>
            </w:tabs>
            <w:rPr>
              <w:rFonts w:hint="eastAsia"/>
              <w:sz w:val="22"/>
              <w:szCs w:val="24"/>
              <w14:ligatures w14:val="standardContextual"/>
            </w:rPr>
          </w:pPr>
          <w:r>
            <w:fldChar w:fldCharType="begin"/>
          </w:r>
          <w:r>
            <w:instrText xml:space="preserve"> HYPERLINK \l "_Toc240204664" </w:instrText>
          </w:r>
          <w:r>
            <w:fldChar w:fldCharType="separate"/>
          </w:r>
          <w:r>
            <w:rPr>
              <w:rStyle w:val="29"/>
              <w:rFonts w:ascii="Times New Roman" w:hAnsi="Times New Roman" w:eastAsia="仿宋" w:cs="Times New Roman"/>
              <w:b/>
              <w:bCs/>
            </w:rPr>
            <w:t>二、规划原则</w:t>
          </w:r>
          <w:r>
            <w:rPr>
              <w:rFonts w:hint="eastAsia"/>
            </w:rPr>
            <w:tab/>
          </w:r>
          <w:r>
            <w:rPr>
              <w:rFonts w:hint="eastAsia"/>
            </w:rPr>
            <w:fldChar w:fldCharType="begin"/>
          </w:r>
          <w:r>
            <w:rPr>
              <w:rFonts w:hint="eastAsia"/>
            </w:rPr>
            <w:instrText xml:space="preserve"> </w:instrText>
          </w:r>
          <w:r>
            <w:instrText xml:space="preserve">PAGEREF _Toc240204664 \h</w:instrText>
          </w:r>
          <w:r>
            <w:rPr>
              <w:rFonts w:hint="eastAsia"/>
            </w:rPr>
            <w:instrText xml:space="preserve"> </w:instrText>
          </w:r>
          <w:r>
            <w:rPr>
              <w:rFonts w:hint="eastAsia"/>
            </w:rPr>
            <w:fldChar w:fldCharType="separate"/>
          </w:r>
          <w:r>
            <w:rPr>
              <w:rFonts w:hint="eastAsia"/>
            </w:rPr>
            <w:t>10</w:t>
          </w:r>
          <w:r>
            <w:rPr>
              <w:rFonts w:hint="eastAsia"/>
            </w:rPr>
            <w:fldChar w:fldCharType="end"/>
          </w:r>
          <w:r>
            <w:rPr>
              <w:rFonts w:hint="eastAsia"/>
            </w:rPr>
            <w:fldChar w:fldCharType="end"/>
          </w:r>
        </w:p>
        <w:p w14:paraId="3A37D297">
          <w:pPr>
            <w:pStyle w:val="23"/>
            <w:tabs>
              <w:tab w:val="right" w:leader="dot" w:pos="8296"/>
            </w:tabs>
            <w:rPr>
              <w:rFonts w:hint="eastAsia"/>
              <w:sz w:val="22"/>
              <w:szCs w:val="24"/>
              <w14:ligatures w14:val="standardContextual"/>
            </w:rPr>
          </w:pPr>
          <w:r>
            <w:fldChar w:fldCharType="begin"/>
          </w:r>
          <w:r>
            <w:instrText xml:space="preserve"> HYPERLINK \l "_Toc240204665" </w:instrText>
          </w:r>
          <w:r>
            <w:fldChar w:fldCharType="separate"/>
          </w:r>
          <w:r>
            <w:rPr>
              <w:rStyle w:val="29"/>
              <w:rFonts w:ascii="Times New Roman" w:hAnsi="Times New Roman" w:eastAsia="仿宋" w:cs="Times New Roman"/>
              <w:b/>
              <w:bCs/>
            </w:rPr>
            <w:t>三、规划依据</w:t>
          </w:r>
          <w:r>
            <w:rPr>
              <w:rFonts w:hint="eastAsia"/>
            </w:rPr>
            <w:tab/>
          </w:r>
          <w:r>
            <w:rPr>
              <w:rFonts w:hint="eastAsia"/>
            </w:rPr>
            <w:fldChar w:fldCharType="begin"/>
          </w:r>
          <w:r>
            <w:rPr>
              <w:rFonts w:hint="eastAsia"/>
            </w:rPr>
            <w:instrText xml:space="preserve"> </w:instrText>
          </w:r>
          <w:r>
            <w:instrText xml:space="preserve">PAGEREF _Toc240204665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0A96CCCA">
          <w:pPr>
            <w:pStyle w:val="23"/>
            <w:tabs>
              <w:tab w:val="right" w:leader="dot" w:pos="8296"/>
            </w:tabs>
            <w:rPr>
              <w:rFonts w:hint="eastAsia"/>
              <w:sz w:val="22"/>
              <w:szCs w:val="24"/>
              <w14:ligatures w14:val="standardContextual"/>
            </w:rPr>
          </w:pPr>
          <w:r>
            <w:fldChar w:fldCharType="begin"/>
          </w:r>
          <w:r>
            <w:instrText xml:space="preserve"> HYPERLINK \l "_Toc240204666" </w:instrText>
          </w:r>
          <w:r>
            <w:fldChar w:fldCharType="separate"/>
          </w:r>
          <w:r>
            <w:rPr>
              <w:rStyle w:val="29"/>
              <w:rFonts w:ascii="Times New Roman" w:hAnsi="Times New Roman" w:eastAsia="仿宋" w:cs="Times New Roman"/>
              <w:b/>
              <w:bCs/>
            </w:rPr>
            <w:t>四、规划期限与目标</w:t>
          </w:r>
          <w:r>
            <w:rPr>
              <w:rFonts w:hint="eastAsia"/>
            </w:rPr>
            <w:tab/>
          </w:r>
          <w:r>
            <w:rPr>
              <w:rFonts w:hint="eastAsia"/>
            </w:rPr>
            <w:fldChar w:fldCharType="begin"/>
          </w:r>
          <w:r>
            <w:rPr>
              <w:rFonts w:hint="eastAsia"/>
            </w:rPr>
            <w:instrText xml:space="preserve"> </w:instrText>
          </w:r>
          <w:r>
            <w:instrText xml:space="preserve">PAGEREF _Toc240204666 \h</w:instrText>
          </w:r>
          <w:r>
            <w:rPr>
              <w:rFonts w:hint="eastAsia"/>
            </w:rPr>
            <w:instrText xml:space="preserve"> </w:instrText>
          </w:r>
          <w:r>
            <w:rPr>
              <w:rFonts w:hint="eastAsia"/>
            </w:rPr>
            <w:fldChar w:fldCharType="separate"/>
          </w:r>
          <w:r>
            <w:rPr>
              <w:rFonts w:hint="eastAsia"/>
            </w:rPr>
            <w:t>16</w:t>
          </w:r>
          <w:r>
            <w:rPr>
              <w:rFonts w:hint="eastAsia"/>
            </w:rPr>
            <w:fldChar w:fldCharType="end"/>
          </w:r>
          <w:r>
            <w:rPr>
              <w:rFonts w:hint="eastAsia"/>
            </w:rPr>
            <w:fldChar w:fldCharType="end"/>
          </w:r>
        </w:p>
        <w:p w14:paraId="563B245E">
          <w:pPr>
            <w:pStyle w:val="19"/>
            <w:tabs>
              <w:tab w:val="right" w:leader="dot" w:pos="8296"/>
            </w:tabs>
            <w:rPr>
              <w:rFonts w:hint="eastAsia"/>
              <w:sz w:val="22"/>
              <w:szCs w:val="24"/>
              <w14:ligatures w14:val="standardContextual"/>
            </w:rPr>
          </w:pPr>
          <w:r>
            <w:fldChar w:fldCharType="begin"/>
          </w:r>
          <w:r>
            <w:instrText xml:space="preserve"> HYPERLINK \l "_Toc240204667" </w:instrText>
          </w:r>
          <w:r>
            <w:fldChar w:fldCharType="separate"/>
          </w:r>
          <w:r>
            <w:rPr>
              <w:rStyle w:val="29"/>
              <w:rFonts w:ascii="Times New Roman" w:hAnsi="Times New Roman" w:eastAsia="仿宋" w:cs="Times New Roman"/>
              <w:b/>
              <w:bCs/>
              <w:kern w:val="44"/>
            </w:rPr>
            <w:t>第三章 湿地资源状况与评价</w:t>
          </w:r>
          <w:r>
            <w:rPr>
              <w:rFonts w:hint="eastAsia"/>
            </w:rPr>
            <w:tab/>
          </w:r>
          <w:r>
            <w:rPr>
              <w:rFonts w:hint="eastAsia"/>
            </w:rPr>
            <w:fldChar w:fldCharType="begin"/>
          </w:r>
          <w:r>
            <w:rPr>
              <w:rFonts w:hint="eastAsia"/>
            </w:rPr>
            <w:instrText xml:space="preserve"> </w:instrText>
          </w:r>
          <w:r>
            <w:instrText xml:space="preserve">PAGEREF _Toc240204667 \h</w:instrText>
          </w:r>
          <w:r>
            <w:rPr>
              <w:rFonts w:hint="eastAsia"/>
            </w:rPr>
            <w:instrText xml:space="preserve"> </w:instrText>
          </w:r>
          <w:r>
            <w:rPr>
              <w:rFonts w:hint="eastAsia"/>
            </w:rPr>
            <w:fldChar w:fldCharType="separate"/>
          </w:r>
          <w:r>
            <w:rPr>
              <w:rFonts w:hint="eastAsia"/>
            </w:rPr>
            <w:t>18</w:t>
          </w:r>
          <w:r>
            <w:rPr>
              <w:rFonts w:hint="eastAsia"/>
            </w:rPr>
            <w:fldChar w:fldCharType="end"/>
          </w:r>
          <w:r>
            <w:rPr>
              <w:rFonts w:hint="eastAsia"/>
            </w:rPr>
            <w:fldChar w:fldCharType="end"/>
          </w:r>
        </w:p>
        <w:p w14:paraId="35EF12D3">
          <w:pPr>
            <w:pStyle w:val="23"/>
            <w:tabs>
              <w:tab w:val="right" w:leader="dot" w:pos="8296"/>
            </w:tabs>
            <w:rPr>
              <w:rFonts w:hint="eastAsia"/>
              <w:sz w:val="22"/>
              <w:szCs w:val="24"/>
              <w14:ligatures w14:val="standardContextual"/>
            </w:rPr>
          </w:pPr>
          <w:r>
            <w:fldChar w:fldCharType="begin"/>
          </w:r>
          <w:r>
            <w:instrText xml:space="preserve"> HYPERLINK \l "_Toc240204668" </w:instrText>
          </w:r>
          <w:r>
            <w:fldChar w:fldCharType="separate"/>
          </w:r>
          <w:r>
            <w:rPr>
              <w:rStyle w:val="29"/>
              <w:rFonts w:ascii="Times New Roman" w:hAnsi="Times New Roman" w:eastAsia="仿宋" w:cs="Times New Roman"/>
              <w:b/>
              <w:bCs/>
            </w:rPr>
            <w:t>一、湿地资源概况</w:t>
          </w:r>
          <w:r>
            <w:rPr>
              <w:rFonts w:hint="eastAsia"/>
            </w:rPr>
            <w:tab/>
          </w:r>
          <w:r>
            <w:rPr>
              <w:rFonts w:hint="eastAsia"/>
            </w:rPr>
            <w:fldChar w:fldCharType="begin"/>
          </w:r>
          <w:r>
            <w:rPr>
              <w:rFonts w:hint="eastAsia"/>
            </w:rPr>
            <w:instrText xml:space="preserve"> </w:instrText>
          </w:r>
          <w:r>
            <w:instrText xml:space="preserve">PAGEREF _Toc240204668 \h</w:instrText>
          </w:r>
          <w:r>
            <w:rPr>
              <w:rFonts w:hint="eastAsia"/>
            </w:rPr>
            <w:instrText xml:space="preserve"> </w:instrText>
          </w:r>
          <w:r>
            <w:rPr>
              <w:rFonts w:hint="eastAsia"/>
            </w:rPr>
            <w:fldChar w:fldCharType="separate"/>
          </w:r>
          <w:r>
            <w:rPr>
              <w:rFonts w:hint="eastAsia"/>
            </w:rPr>
            <w:t>18</w:t>
          </w:r>
          <w:r>
            <w:rPr>
              <w:rFonts w:hint="eastAsia"/>
            </w:rPr>
            <w:fldChar w:fldCharType="end"/>
          </w:r>
          <w:r>
            <w:rPr>
              <w:rFonts w:hint="eastAsia"/>
            </w:rPr>
            <w:fldChar w:fldCharType="end"/>
          </w:r>
        </w:p>
        <w:p w14:paraId="2FB1F8FA">
          <w:pPr>
            <w:pStyle w:val="23"/>
            <w:tabs>
              <w:tab w:val="right" w:leader="dot" w:pos="8296"/>
            </w:tabs>
            <w:rPr>
              <w:rFonts w:hint="eastAsia"/>
              <w:sz w:val="22"/>
              <w:szCs w:val="24"/>
              <w14:ligatures w14:val="standardContextual"/>
            </w:rPr>
          </w:pPr>
          <w:r>
            <w:fldChar w:fldCharType="begin"/>
          </w:r>
          <w:r>
            <w:instrText xml:space="preserve"> HYPERLINK \l "_Toc240204669" </w:instrText>
          </w:r>
          <w:r>
            <w:fldChar w:fldCharType="separate"/>
          </w:r>
          <w:r>
            <w:rPr>
              <w:rStyle w:val="29"/>
              <w:rFonts w:ascii="Times New Roman" w:hAnsi="Times New Roman" w:eastAsia="仿宋" w:cs="Times New Roman"/>
              <w:b/>
              <w:bCs/>
            </w:rPr>
            <w:t>二、湿地问题分析</w:t>
          </w:r>
          <w:r>
            <w:rPr>
              <w:rFonts w:hint="eastAsia"/>
            </w:rPr>
            <w:tab/>
          </w:r>
          <w:r>
            <w:rPr>
              <w:rFonts w:hint="eastAsia"/>
            </w:rPr>
            <w:fldChar w:fldCharType="begin"/>
          </w:r>
          <w:r>
            <w:rPr>
              <w:rFonts w:hint="eastAsia"/>
            </w:rPr>
            <w:instrText xml:space="preserve"> </w:instrText>
          </w:r>
          <w:r>
            <w:instrText xml:space="preserve">PAGEREF _Toc240204669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14:paraId="59A95DDE">
          <w:pPr>
            <w:pStyle w:val="19"/>
            <w:tabs>
              <w:tab w:val="right" w:leader="dot" w:pos="8296"/>
            </w:tabs>
            <w:rPr>
              <w:rFonts w:hint="eastAsia"/>
              <w:sz w:val="22"/>
              <w:szCs w:val="24"/>
              <w14:ligatures w14:val="standardContextual"/>
            </w:rPr>
          </w:pPr>
          <w:r>
            <w:fldChar w:fldCharType="begin"/>
          </w:r>
          <w:r>
            <w:instrText xml:space="preserve"> HYPERLINK \l "_Toc240204670" </w:instrText>
          </w:r>
          <w:r>
            <w:fldChar w:fldCharType="separate"/>
          </w:r>
          <w:r>
            <w:rPr>
              <w:rStyle w:val="29"/>
              <w:rFonts w:ascii="Times New Roman" w:hAnsi="Times New Roman" w:eastAsia="仿宋" w:cs="Times New Roman"/>
              <w:b/>
              <w:bCs/>
              <w:kern w:val="44"/>
            </w:rPr>
            <w:t>第四章 总体布局</w:t>
          </w:r>
          <w:r>
            <w:rPr>
              <w:rFonts w:hint="eastAsia"/>
            </w:rPr>
            <w:tab/>
          </w:r>
          <w:r>
            <w:rPr>
              <w:rFonts w:hint="eastAsia"/>
            </w:rPr>
            <w:fldChar w:fldCharType="begin"/>
          </w:r>
          <w:r>
            <w:rPr>
              <w:rFonts w:hint="eastAsia"/>
            </w:rPr>
            <w:instrText xml:space="preserve"> </w:instrText>
          </w:r>
          <w:r>
            <w:instrText xml:space="preserve">PAGEREF _Toc240204670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14:paraId="5182FFB0">
          <w:pPr>
            <w:pStyle w:val="23"/>
            <w:tabs>
              <w:tab w:val="right" w:leader="dot" w:pos="8296"/>
            </w:tabs>
            <w:rPr>
              <w:rFonts w:hint="eastAsia"/>
              <w:sz w:val="22"/>
              <w:szCs w:val="24"/>
              <w14:ligatures w14:val="standardContextual"/>
            </w:rPr>
          </w:pPr>
          <w:r>
            <w:fldChar w:fldCharType="begin"/>
          </w:r>
          <w:r>
            <w:instrText xml:space="preserve"> HYPERLINK \l "_Toc240204671" </w:instrText>
          </w:r>
          <w:r>
            <w:fldChar w:fldCharType="separate"/>
          </w:r>
          <w:r>
            <w:rPr>
              <w:rStyle w:val="29"/>
              <w:rFonts w:ascii="Times New Roman" w:hAnsi="Times New Roman" w:eastAsia="仿宋" w:cs="Times New Roman"/>
              <w:b/>
              <w:bCs/>
            </w:rPr>
            <w:t>一、空间布局</w:t>
          </w:r>
          <w:r>
            <w:rPr>
              <w:rFonts w:hint="eastAsia"/>
            </w:rPr>
            <w:tab/>
          </w:r>
          <w:r>
            <w:rPr>
              <w:rFonts w:hint="eastAsia"/>
            </w:rPr>
            <w:fldChar w:fldCharType="begin"/>
          </w:r>
          <w:r>
            <w:rPr>
              <w:rFonts w:hint="eastAsia"/>
            </w:rPr>
            <w:instrText xml:space="preserve"> </w:instrText>
          </w:r>
          <w:r>
            <w:instrText xml:space="preserve">PAGEREF _Toc240204671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14:paraId="2997EE50">
          <w:pPr>
            <w:pStyle w:val="23"/>
            <w:tabs>
              <w:tab w:val="right" w:leader="dot" w:pos="8296"/>
            </w:tabs>
            <w:rPr>
              <w:rFonts w:hint="eastAsia"/>
              <w:sz w:val="22"/>
              <w:szCs w:val="24"/>
              <w14:ligatures w14:val="standardContextual"/>
            </w:rPr>
          </w:pPr>
          <w:r>
            <w:fldChar w:fldCharType="begin"/>
          </w:r>
          <w:r>
            <w:instrText xml:space="preserve"> HYPERLINK \l "_Toc240204672" </w:instrText>
          </w:r>
          <w:r>
            <w:fldChar w:fldCharType="separate"/>
          </w:r>
          <w:r>
            <w:rPr>
              <w:rStyle w:val="29"/>
              <w:rFonts w:ascii="Times New Roman" w:hAnsi="Times New Roman" w:eastAsia="仿宋" w:cs="Times New Roman"/>
              <w:b/>
              <w:bCs/>
            </w:rPr>
            <w:t>二、布局内容</w:t>
          </w:r>
          <w:r>
            <w:rPr>
              <w:rFonts w:hint="eastAsia"/>
            </w:rPr>
            <w:tab/>
          </w:r>
          <w:r>
            <w:rPr>
              <w:rFonts w:hint="eastAsia"/>
            </w:rPr>
            <w:fldChar w:fldCharType="begin"/>
          </w:r>
          <w:r>
            <w:rPr>
              <w:rFonts w:hint="eastAsia"/>
            </w:rPr>
            <w:instrText xml:space="preserve"> </w:instrText>
          </w:r>
          <w:r>
            <w:instrText xml:space="preserve">PAGEREF _Toc240204672 \h</w:instrText>
          </w:r>
          <w:r>
            <w:rPr>
              <w:rFonts w:hint="eastAsia"/>
            </w:rPr>
            <w:instrText xml:space="preserve"> </w:instrText>
          </w:r>
          <w:r>
            <w:rPr>
              <w:rFonts w:hint="eastAsia"/>
            </w:rPr>
            <w:fldChar w:fldCharType="separate"/>
          </w:r>
          <w:r>
            <w:rPr>
              <w:rFonts w:hint="eastAsia"/>
            </w:rPr>
            <w:t>28</w:t>
          </w:r>
          <w:r>
            <w:rPr>
              <w:rFonts w:hint="eastAsia"/>
            </w:rPr>
            <w:fldChar w:fldCharType="end"/>
          </w:r>
          <w:r>
            <w:rPr>
              <w:rFonts w:hint="eastAsia"/>
            </w:rPr>
            <w:fldChar w:fldCharType="end"/>
          </w:r>
        </w:p>
        <w:p w14:paraId="449E31B4">
          <w:pPr>
            <w:pStyle w:val="19"/>
            <w:tabs>
              <w:tab w:val="right" w:leader="dot" w:pos="8296"/>
            </w:tabs>
            <w:rPr>
              <w:rFonts w:hint="eastAsia"/>
              <w:sz w:val="22"/>
              <w:szCs w:val="24"/>
              <w14:ligatures w14:val="standardContextual"/>
            </w:rPr>
          </w:pPr>
          <w:r>
            <w:fldChar w:fldCharType="begin"/>
          </w:r>
          <w:r>
            <w:instrText xml:space="preserve"> HYPERLINK \l "_Toc240204673" </w:instrText>
          </w:r>
          <w:r>
            <w:fldChar w:fldCharType="separate"/>
          </w:r>
          <w:r>
            <w:rPr>
              <w:rStyle w:val="29"/>
              <w:rFonts w:ascii="Times New Roman" w:hAnsi="Times New Roman" w:eastAsia="仿宋" w:cs="Times New Roman"/>
              <w:b/>
              <w:bCs/>
              <w:kern w:val="44"/>
            </w:rPr>
            <w:t>第五章 规划内容</w:t>
          </w:r>
          <w:r>
            <w:rPr>
              <w:rFonts w:hint="eastAsia"/>
            </w:rPr>
            <w:tab/>
          </w:r>
          <w:r>
            <w:rPr>
              <w:rFonts w:hint="eastAsia"/>
            </w:rPr>
            <w:fldChar w:fldCharType="begin"/>
          </w:r>
          <w:r>
            <w:rPr>
              <w:rFonts w:hint="eastAsia"/>
            </w:rPr>
            <w:instrText xml:space="preserve"> </w:instrText>
          </w:r>
          <w:r>
            <w:instrText xml:space="preserve">PAGEREF _Toc240204673 \h</w:instrText>
          </w:r>
          <w:r>
            <w:rPr>
              <w:rFonts w:hint="eastAsia"/>
            </w:rPr>
            <w:instrText xml:space="preserve"> </w:instrText>
          </w:r>
          <w:r>
            <w:rPr>
              <w:rFonts w:hint="eastAsia"/>
            </w:rPr>
            <w:fldChar w:fldCharType="separate"/>
          </w:r>
          <w:r>
            <w:rPr>
              <w:rFonts w:hint="eastAsia"/>
            </w:rPr>
            <w:t>39</w:t>
          </w:r>
          <w:r>
            <w:rPr>
              <w:rFonts w:hint="eastAsia"/>
            </w:rPr>
            <w:fldChar w:fldCharType="end"/>
          </w:r>
          <w:r>
            <w:rPr>
              <w:rFonts w:hint="eastAsia"/>
            </w:rPr>
            <w:fldChar w:fldCharType="end"/>
          </w:r>
        </w:p>
        <w:p w14:paraId="03E59A8A">
          <w:pPr>
            <w:pStyle w:val="23"/>
            <w:tabs>
              <w:tab w:val="right" w:leader="dot" w:pos="8296"/>
            </w:tabs>
            <w:rPr>
              <w:rFonts w:hint="eastAsia"/>
              <w:sz w:val="22"/>
              <w:szCs w:val="24"/>
              <w14:ligatures w14:val="standardContextual"/>
            </w:rPr>
          </w:pPr>
          <w:r>
            <w:fldChar w:fldCharType="begin"/>
          </w:r>
          <w:r>
            <w:instrText xml:space="preserve"> HYPERLINK \l "_Toc240204674" </w:instrText>
          </w:r>
          <w:r>
            <w:fldChar w:fldCharType="separate"/>
          </w:r>
          <w:r>
            <w:rPr>
              <w:rStyle w:val="29"/>
              <w:rFonts w:ascii="Times New Roman" w:hAnsi="Times New Roman" w:eastAsia="仿宋" w:cs="Times New Roman"/>
              <w:b/>
              <w:bCs/>
            </w:rPr>
            <w:t>一、湿地保护</w:t>
          </w:r>
          <w:r>
            <w:rPr>
              <w:rFonts w:hint="eastAsia"/>
            </w:rPr>
            <w:tab/>
          </w:r>
          <w:r>
            <w:rPr>
              <w:rFonts w:hint="eastAsia"/>
            </w:rPr>
            <w:fldChar w:fldCharType="begin"/>
          </w:r>
          <w:r>
            <w:rPr>
              <w:rFonts w:hint="eastAsia"/>
            </w:rPr>
            <w:instrText xml:space="preserve"> </w:instrText>
          </w:r>
          <w:r>
            <w:instrText xml:space="preserve">PAGEREF _Toc240204674 \h</w:instrText>
          </w:r>
          <w:r>
            <w:rPr>
              <w:rFonts w:hint="eastAsia"/>
            </w:rPr>
            <w:instrText xml:space="preserve"> </w:instrText>
          </w:r>
          <w:r>
            <w:rPr>
              <w:rFonts w:hint="eastAsia"/>
            </w:rPr>
            <w:fldChar w:fldCharType="separate"/>
          </w:r>
          <w:r>
            <w:rPr>
              <w:rFonts w:hint="eastAsia"/>
            </w:rPr>
            <w:t>39</w:t>
          </w:r>
          <w:r>
            <w:rPr>
              <w:rFonts w:hint="eastAsia"/>
            </w:rPr>
            <w:fldChar w:fldCharType="end"/>
          </w:r>
          <w:r>
            <w:rPr>
              <w:rFonts w:hint="eastAsia"/>
            </w:rPr>
            <w:fldChar w:fldCharType="end"/>
          </w:r>
        </w:p>
        <w:p w14:paraId="1A6652F0">
          <w:pPr>
            <w:pStyle w:val="23"/>
            <w:tabs>
              <w:tab w:val="right" w:leader="dot" w:pos="8296"/>
            </w:tabs>
            <w:rPr>
              <w:rFonts w:hint="eastAsia"/>
              <w:sz w:val="22"/>
              <w:szCs w:val="24"/>
              <w14:ligatures w14:val="standardContextual"/>
            </w:rPr>
          </w:pPr>
          <w:r>
            <w:fldChar w:fldCharType="begin"/>
          </w:r>
          <w:r>
            <w:instrText xml:space="preserve"> HYPERLINK \l "_Toc240204675" </w:instrText>
          </w:r>
          <w:r>
            <w:fldChar w:fldCharType="separate"/>
          </w:r>
          <w:r>
            <w:rPr>
              <w:rStyle w:val="29"/>
              <w:rFonts w:ascii="Times New Roman" w:hAnsi="Times New Roman" w:eastAsia="仿宋" w:cs="Times New Roman"/>
              <w:b/>
              <w:bCs/>
            </w:rPr>
            <w:t>二、湿地修复</w:t>
          </w:r>
          <w:r>
            <w:rPr>
              <w:rFonts w:hint="eastAsia"/>
            </w:rPr>
            <w:tab/>
          </w:r>
          <w:r>
            <w:rPr>
              <w:rFonts w:hint="eastAsia"/>
            </w:rPr>
            <w:fldChar w:fldCharType="begin"/>
          </w:r>
          <w:r>
            <w:rPr>
              <w:rFonts w:hint="eastAsia"/>
            </w:rPr>
            <w:instrText xml:space="preserve"> </w:instrText>
          </w:r>
          <w:r>
            <w:instrText xml:space="preserve">PAGEREF _Toc240204675 \h</w:instrText>
          </w:r>
          <w:r>
            <w:rPr>
              <w:rFonts w:hint="eastAsia"/>
            </w:rPr>
            <w:instrText xml:space="preserve"> </w:instrText>
          </w:r>
          <w:r>
            <w:rPr>
              <w:rFonts w:hint="eastAsia"/>
            </w:rPr>
            <w:fldChar w:fldCharType="separate"/>
          </w:r>
          <w:r>
            <w:rPr>
              <w:rFonts w:hint="eastAsia"/>
            </w:rPr>
            <w:t>42</w:t>
          </w:r>
          <w:r>
            <w:rPr>
              <w:rFonts w:hint="eastAsia"/>
            </w:rPr>
            <w:fldChar w:fldCharType="end"/>
          </w:r>
          <w:r>
            <w:rPr>
              <w:rFonts w:hint="eastAsia"/>
            </w:rPr>
            <w:fldChar w:fldCharType="end"/>
          </w:r>
        </w:p>
        <w:p w14:paraId="62887A82">
          <w:pPr>
            <w:pStyle w:val="23"/>
            <w:tabs>
              <w:tab w:val="right" w:leader="dot" w:pos="8296"/>
            </w:tabs>
            <w:rPr>
              <w:rFonts w:hint="eastAsia"/>
              <w:sz w:val="22"/>
              <w:szCs w:val="24"/>
              <w14:ligatures w14:val="standardContextual"/>
            </w:rPr>
          </w:pPr>
          <w:r>
            <w:fldChar w:fldCharType="begin"/>
          </w:r>
          <w:r>
            <w:instrText xml:space="preserve"> HYPERLINK \l "_Toc240204676" </w:instrText>
          </w:r>
          <w:r>
            <w:fldChar w:fldCharType="separate"/>
          </w:r>
          <w:r>
            <w:rPr>
              <w:rStyle w:val="29"/>
              <w:rFonts w:ascii="Times New Roman" w:hAnsi="Times New Roman" w:eastAsia="仿宋" w:cs="Times New Roman"/>
              <w:b/>
              <w:bCs/>
            </w:rPr>
            <w:t>三、小微湿地修复与建设</w:t>
          </w:r>
          <w:r>
            <w:rPr>
              <w:rFonts w:hint="eastAsia"/>
            </w:rPr>
            <w:tab/>
          </w:r>
          <w:r>
            <w:rPr>
              <w:rFonts w:hint="eastAsia"/>
            </w:rPr>
            <w:fldChar w:fldCharType="begin"/>
          </w:r>
          <w:r>
            <w:rPr>
              <w:rFonts w:hint="eastAsia"/>
            </w:rPr>
            <w:instrText xml:space="preserve"> </w:instrText>
          </w:r>
          <w:r>
            <w:instrText xml:space="preserve">PAGEREF _Toc240204676 \h</w:instrText>
          </w:r>
          <w:r>
            <w:rPr>
              <w:rFonts w:hint="eastAsia"/>
            </w:rPr>
            <w:instrText xml:space="preserve"> </w:instrText>
          </w:r>
          <w:r>
            <w:rPr>
              <w:rFonts w:hint="eastAsia"/>
            </w:rPr>
            <w:fldChar w:fldCharType="separate"/>
          </w:r>
          <w:r>
            <w:rPr>
              <w:rFonts w:hint="eastAsia"/>
            </w:rPr>
            <w:t>46</w:t>
          </w:r>
          <w:r>
            <w:rPr>
              <w:rFonts w:hint="eastAsia"/>
            </w:rPr>
            <w:fldChar w:fldCharType="end"/>
          </w:r>
          <w:r>
            <w:rPr>
              <w:rFonts w:hint="eastAsia"/>
            </w:rPr>
            <w:fldChar w:fldCharType="end"/>
          </w:r>
        </w:p>
        <w:p w14:paraId="28D0A558">
          <w:pPr>
            <w:pStyle w:val="23"/>
            <w:tabs>
              <w:tab w:val="right" w:leader="dot" w:pos="8296"/>
            </w:tabs>
            <w:rPr>
              <w:rFonts w:hint="eastAsia"/>
              <w:sz w:val="22"/>
              <w:szCs w:val="24"/>
              <w14:ligatures w14:val="standardContextual"/>
            </w:rPr>
          </w:pPr>
          <w:r>
            <w:fldChar w:fldCharType="begin"/>
          </w:r>
          <w:r>
            <w:instrText xml:space="preserve"> HYPERLINK \l "_Toc240204677" </w:instrText>
          </w:r>
          <w:r>
            <w:fldChar w:fldCharType="separate"/>
          </w:r>
          <w:r>
            <w:rPr>
              <w:rStyle w:val="29"/>
              <w:rFonts w:ascii="Times New Roman" w:hAnsi="Times New Roman" w:eastAsia="仿宋" w:cs="Times New Roman"/>
              <w:b/>
              <w:bCs/>
            </w:rPr>
            <w:t>四、湿地可持续利用</w:t>
          </w:r>
          <w:r>
            <w:rPr>
              <w:rFonts w:hint="eastAsia"/>
            </w:rPr>
            <w:tab/>
          </w:r>
          <w:r>
            <w:rPr>
              <w:rFonts w:hint="eastAsia"/>
            </w:rPr>
            <w:fldChar w:fldCharType="begin"/>
          </w:r>
          <w:r>
            <w:rPr>
              <w:rFonts w:hint="eastAsia"/>
            </w:rPr>
            <w:instrText xml:space="preserve"> </w:instrText>
          </w:r>
          <w:r>
            <w:instrText xml:space="preserve">PAGEREF _Toc240204677 \h</w:instrText>
          </w:r>
          <w:r>
            <w:rPr>
              <w:rFonts w:hint="eastAsia"/>
            </w:rPr>
            <w:instrText xml:space="preserve"> </w:instrText>
          </w:r>
          <w:r>
            <w:rPr>
              <w:rFonts w:hint="eastAsia"/>
            </w:rPr>
            <w:fldChar w:fldCharType="separate"/>
          </w:r>
          <w:r>
            <w:rPr>
              <w:rFonts w:hint="eastAsia"/>
            </w:rPr>
            <w:t>47</w:t>
          </w:r>
          <w:r>
            <w:rPr>
              <w:rFonts w:hint="eastAsia"/>
            </w:rPr>
            <w:fldChar w:fldCharType="end"/>
          </w:r>
          <w:r>
            <w:rPr>
              <w:rFonts w:hint="eastAsia"/>
            </w:rPr>
            <w:fldChar w:fldCharType="end"/>
          </w:r>
        </w:p>
        <w:p w14:paraId="6763EBD2">
          <w:pPr>
            <w:pStyle w:val="23"/>
            <w:tabs>
              <w:tab w:val="right" w:leader="dot" w:pos="8296"/>
            </w:tabs>
            <w:rPr>
              <w:rFonts w:hint="eastAsia"/>
              <w:sz w:val="22"/>
              <w:szCs w:val="24"/>
              <w14:ligatures w14:val="standardContextual"/>
            </w:rPr>
          </w:pPr>
          <w:r>
            <w:fldChar w:fldCharType="begin"/>
          </w:r>
          <w:r>
            <w:instrText xml:space="preserve"> HYPERLINK \l "_Toc240204678" </w:instrText>
          </w:r>
          <w:r>
            <w:fldChar w:fldCharType="separate"/>
          </w:r>
          <w:r>
            <w:rPr>
              <w:rStyle w:val="29"/>
              <w:rFonts w:ascii="Times New Roman" w:hAnsi="Times New Roman" w:eastAsia="仿宋" w:cs="Times New Roman"/>
              <w:b/>
              <w:bCs/>
            </w:rPr>
            <w:t>五、管理能力建设</w:t>
          </w:r>
          <w:r>
            <w:rPr>
              <w:rFonts w:hint="eastAsia"/>
            </w:rPr>
            <w:tab/>
          </w:r>
          <w:r>
            <w:rPr>
              <w:rFonts w:hint="eastAsia"/>
            </w:rPr>
            <w:fldChar w:fldCharType="begin"/>
          </w:r>
          <w:r>
            <w:rPr>
              <w:rFonts w:hint="eastAsia"/>
            </w:rPr>
            <w:instrText xml:space="preserve"> </w:instrText>
          </w:r>
          <w:r>
            <w:instrText xml:space="preserve">PAGEREF _Toc240204678 \h</w:instrText>
          </w:r>
          <w:r>
            <w:rPr>
              <w:rFonts w:hint="eastAsia"/>
            </w:rPr>
            <w:instrText xml:space="preserve"> </w:instrText>
          </w:r>
          <w:r>
            <w:rPr>
              <w:rFonts w:hint="eastAsia"/>
            </w:rPr>
            <w:fldChar w:fldCharType="separate"/>
          </w:r>
          <w:r>
            <w:rPr>
              <w:rFonts w:hint="eastAsia"/>
            </w:rPr>
            <w:t>48</w:t>
          </w:r>
          <w:r>
            <w:rPr>
              <w:rFonts w:hint="eastAsia"/>
            </w:rPr>
            <w:fldChar w:fldCharType="end"/>
          </w:r>
          <w:r>
            <w:rPr>
              <w:rFonts w:hint="eastAsia"/>
            </w:rPr>
            <w:fldChar w:fldCharType="end"/>
          </w:r>
        </w:p>
        <w:p w14:paraId="7F5AC2BC">
          <w:pPr>
            <w:pStyle w:val="19"/>
            <w:tabs>
              <w:tab w:val="right" w:leader="dot" w:pos="8296"/>
            </w:tabs>
            <w:rPr>
              <w:rFonts w:hint="eastAsia"/>
              <w:sz w:val="22"/>
              <w:szCs w:val="24"/>
              <w14:ligatures w14:val="standardContextual"/>
            </w:rPr>
          </w:pPr>
          <w:r>
            <w:fldChar w:fldCharType="begin"/>
          </w:r>
          <w:r>
            <w:instrText xml:space="preserve"> HYPERLINK \l "_Toc240204679" </w:instrText>
          </w:r>
          <w:r>
            <w:fldChar w:fldCharType="separate"/>
          </w:r>
          <w:r>
            <w:rPr>
              <w:rStyle w:val="29"/>
              <w:rFonts w:ascii="Times New Roman" w:hAnsi="Times New Roman" w:eastAsia="仿宋" w:cs="Times New Roman"/>
              <w:b/>
              <w:bCs/>
              <w:kern w:val="44"/>
            </w:rPr>
            <w:t>第六章 重点项目</w:t>
          </w:r>
          <w:r>
            <w:rPr>
              <w:rFonts w:hint="eastAsia"/>
            </w:rPr>
            <w:tab/>
          </w:r>
          <w:r>
            <w:rPr>
              <w:rFonts w:hint="eastAsia"/>
            </w:rPr>
            <w:fldChar w:fldCharType="begin"/>
          </w:r>
          <w:r>
            <w:rPr>
              <w:rFonts w:hint="eastAsia"/>
            </w:rPr>
            <w:instrText xml:space="preserve"> </w:instrText>
          </w:r>
          <w:r>
            <w:instrText xml:space="preserve">PAGEREF _Toc240204679 \h</w:instrText>
          </w:r>
          <w:r>
            <w:rPr>
              <w:rFonts w:hint="eastAsia"/>
            </w:rPr>
            <w:instrText xml:space="preserve"> </w:instrText>
          </w:r>
          <w:r>
            <w:rPr>
              <w:rFonts w:hint="eastAsia"/>
            </w:rPr>
            <w:fldChar w:fldCharType="separate"/>
          </w:r>
          <w:r>
            <w:rPr>
              <w:rFonts w:hint="eastAsia"/>
            </w:rPr>
            <w:t>50</w:t>
          </w:r>
          <w:r>
            <w:rPr>
              <w:rFonts w:hint="eastAsia"/>
            </w:rPr>
            <w:fldChar w:fldCharType="end"/>
          </w:r>
          <w:r>
            <w:rPr>
              <w:rFonts w:hint="eastAsia"/>
            </w:rPr>
            <w:fldChar w:fldCharType="end"/>
          </w:r>
        </w:p>
        <w:p w14:paraId="57ED9244">
          <w:pPr>
            <w:pStyle w:val="23"/>
            <w:tabs>
              <w:tab w:val="right" w:leader="dot" w:pos="8296"/>
            </w:tabs>
            <w:rPr>
              <w:rFonts w:hint="eastAsia"/>
              <w:sz w:val="22"/>
              <w:szCs w:val="24"/>
              <w14:ligatures w14:val="standardContextual"/>
            </w:rPr>
          </w:pPr>
          <w:r>
            <w:fldChar w:fldCharType="begin"/>
          </w:r>
          <w:r>
            <w:instrText xml:space="preserve"> HYPERLINK \l "_Toc240204680" </w:instrText>
          </w:r>
          <w:r>
            <w:fldChar w:fldCharType="separate"/>
          </w:r>
          <w:r>
            <w:rPr>
              <w:rStyle w:val="29"/>
              <w:rFonts w:ascii="Times New Roman" w:hAnsi="Times New Roman" w:eastAsia="仿宋" w:cs="Times New Roman"/>
              <w:b/>
              <w:bCs/>
            </w:rPr>
            <w:t>一、湿地恢复项目</w:t>
          </w:r>
          <w:r>
            <w:rPr>
              <w:rFonts w:hint="eastAsia"/>
            </w:rPr>
            <w:tab/>
          </w:r>
          <w:r>
            <w:rPr>
              <w:rFonts w:hint="eastAsia"/>
            </w:rPr>
            <w:fldChar w:fldCharType="begin"/>
          </w:r>
          <w:r>
            <w:rPr>
              <w:rFonts w:hint="eastAsia"/>
            </w:rPr>
            <w:instrText xml:space="preserve"> </w:instrText>
          </w:r>
          <w:r>
            <w:instrText xml:space="preserve">PAGEREF _Toc240204680 \h</w:instrText>
          </w:r>
          <w:r>
            <w:rPr>
              <w:rFonts w:hint="eastAsia"/>
            </w:rPr>
            <w:instrText xml:space="preserve"> </w:instrText>
          </w:r>
          <w:r>
            <w:rPr>
              <w:rFonts w:hint="eastAsia"/>
            </w:rPr>
            <w:fldChar w:fldCharType="separate"/>
          </w:r>
          <w:r>
            <w:rPr>
              <w:rFonts w:hint="eastAsia"/>
            </w:rPr>
            <w:t>51</w:t>
          </w:r>
          <w:r>
            <w:rPr>
              <w:rFonts w:hint="eastAsia"/>
            </w:rPr>
            <w:fldChar w:fldCharType="end"/>
          </w:r>
          <w:r>
            <w:rPr>
              <w:rFonts w:hint="eastAsia"/>
            </w:rPr>
            <w:fldChar w:fldCharType="end"/>
          </w:r>
        </w:p>
        <w:p w14:paraId="5011312A">
          <w:pPr>
            <w:pStyle w:val="23"/>
            <w:tabs>
              <w:tab w:val="right" w:leader="dot" w:pos="8296"/>
            </w:tabs>
            <w:rPr>
              <w:rFonts w:hint="eastAsia"/>
              <w:sz w:val="22"/>
              <w:szCs w:val="24"/>
              <w14:ligatures w14:val="standardContextual"/>
            </w:rPr>
          </w:pPr>
          <w:r>
            <w:fldChar w:fldCharType="begin"/>
          </w:r>
          <w:r>
            <w:instrText xml:space="preserve"> HYPERLINK \l "_Toc240204681" </w:instrText>
          </w:r>
          <w:r>
            <w:fldChar w:fldCharType="separate"/>
          </w:r>
          <w:r>
            <w:rPr>
              <w:rStyle w:val="29"/>
              <w:rFonts w:ascii="Times New Roman" w:hAnsi="Times New Roman" w:eastAsia="仿宋" w:cs="Times New Roman"/>
              <w:b/>
              <w:bCs/>
            </w:rPr>
            <w:t>二、小微湿地修复项目</w:t>
          </w:r>
          <w:r>
            <w:rPr>
              <w:rFonts w:hint="eastAsia"/>
            </w:rPr>
            <w:tab/>
          </w:r>
          <w:r>
            <w:rPr>
              <w:rFonts w:hint="eastAsia"/>
            </w:rPr>
            <w:fldChar w:fldCharType="begin"/>
          </w:r>
          <w:r>
            <w:rPr>
              <w:rFonts w:hint="eastAsia"/>
            </w:rPr>
            <w:instrText xml:space="preserve"> </w:instrText>
          </w:r>
          <w:r>
            <w:instrText xml:space="preserve">PAGEREF _Toc240204681 \h</w:instrText>
          </w:r>
          <w:r>
            <w:rPr>
              <w:rFonts w:hint="eastAsia"/>
            </w:rPr>
            <w:instrText xml:space="preserve"> </w:instrText>
          </w:r>
          <w:r>
            <w:rPr>
              <w:rFonts w:hint="eastAsia"/>
            </w:rPr>
            <w:fldChar w:fldCharType="separate"/>
          </w:r>
          <w:r>
            <w:rPr>
              <w:rFonts w:hint="eastAsia"/>
            </w:rPr>
            <w:t>58</w:t>
          </w:r>
          <w:r>
            <w:rPr>
              <w:rFonts w:hint="eastAsia"/>
            </w:rPr>
            <w:fldChar w:fldCharType="end"/>
          </w:r>
          <w:r>
            <w:rPr>
              <w:rFonts w:hint="eastAsia"/>
            </w:rPr>
            <w:fldChar w:fldCharType="end"/>
          </w:r>
        </w:p>
        <w:p w14:paraId="3E97F8C4">
          <w:pPr>
            <w:pStyle w:val="23"/>
            <w:tabs>
              <w:tab w:val="right" w:leader="dot" w:pos="8296"/>
            </w:tabs>
            <w:rPr>
              <w:rFonts w:hint="eastAsia"/>
              <w:sz w:val="22"/>
              <w:szCs w:val="24"/>
              <w14:ligatures w14:val="standardContextual"/>
            </w:rPr>
          </w:pPr>
          <w:r>
            <w:fldChar w:fldCharType="begin"/>
          </w:r>
          <w:r>
            <w:instrText xml:space="preserve"> HYPERLINK \l "_Toc240204682" </w:instrText>
          </w:r>
          <w:r>
            <w:fldChar w:fldCharType="separate"/>
          </w:r>
          <w:r>
            <w:rPr>
              <w:rStyle w:val="29"/>
              <w:rFonts w:ascii="Times New Roman" w:hAnsi="Times New Roman" w:eastAsia="仿宋" w:cs="Times New Roman"/>
              <w:b/>
              <w:bCs/>
            </w:rPr>
            <w:t>三、湿地监测与科普宣教能力提升项目</w:t>
          </w:r>
          <w:r>
            <w:rPr>
              <w:rFonts w:hint="eastAsia"/>
            </w:rPr>
            <w:tab/>
          </w:r>
          <w:r>
            <w:rPr>
              <w:rFonts w:hint="eastAsia"/>
            </w:rPr>
            <w:fldChar w:fldCharType="begin"/>
          </w:r>
          <w:r>
            <w:rPr>
              <w:rFonts w:hint="eastAsia"/>
            </w:rPr>
            <w:instrText xml:space="preserve"> </w:instrText>
          </w:r>
          <w:r>
            <w:instrText xml:space="preserve">PAGEREF _Toc240204682 \h</w:instrText>
          </w:r>
          <w:r>
            <w:rPr>
              <w:rFonts w:hint="eastAsia"/>
            </w:rPr>
            <w:instrText xml:space="preserve"> </w:instrText>
          </w:r>
          <w:r>
            <w:rPr>
              <w:rFonts w:hint="eastAsia"/>
            </w:rPr>
            <w:fldChar w:fldCharType="separate"/>
          </w:r>
          <w:r>
            <w:rPr>
              <w:rFonts w:hint="eastAsia"/>
            </w:rPr>
            <w:t>61</w:t>
          </w:r>
          <w:r>
            <w:rPr>
              <w:rFonts w:hint="eastAsia"/>
            </w:rPr>
            <w:fldChar w:fldCharType="end"/>
          </w:r>
          <w:r>
            <w:rPr>
              <w:rFonts w:hint="eastAsia"/>
            </w:rPr>
            <w:fldChar w:fldCharType="end"/>
          </w:r>
        </w:p>
        <w:p w14:paraId="672F4F3E">
          <w:pPr>
            <w:pStyle w:val="19"/>
            <w:tabs>
              <w:tab w:val="right" w:leader="dot" w:pos="8296"/>
            </w:tabs>
            <w:rPr>
              <w:rFonts w:hint="eastAsia"/>
              <w:sz w:val="22"/>
              <w:szCs w:val="24"/>
              <w14:ligatures w14:val="standardContextual"/>
            </w:rPr>
          </w:pPr>
          <w:r>
            <w:fldChar w:fldCharType="begin"/>
          </w:r>
          <w:r>
            <w:instrText xml:space="preserve"> HYPERLINK \l "_Toc240204683" </w:instrText>
          </w:r>
          <w:r>
            <w:fldChar w:fldCharType="separate"/>
          </w:r>
          <w:r>
            <w:rPr>
              <w:rStyle w:val="29"/>
              <w:rFonts w:ascii="Times New Roman" w:hAnsi="Times New Roman" w:eastAsia="仿宋" w:cs="Times New Roman"/>
              <w:b/>
              <w:bCs/>
              <w:kern w:val="44"/>
            </w:rPr>
            <w:t>第七章 投资估算</w:t>
          </w:r>
          <w:r>
            <w:rPr>
              <w:rFonts w:hint="eastAsia"/>
            </w:rPr>
            <w:tab/>
          </w:r>
          <w:r>
            <w:rPr>
              <w:rFonts w:hint="eastAsia"/>
            </w:rPr>
            <w:fldChar w:fldCharType="begin"/>
          </w:r>
          <w:r>
            <w:rPr>
              <w:rFonts w:hint="eastAsia"/>
            </w:rPr>
            <w:instrText xml:space="preserve"> </w:instrText>
          </w:r>
          <w:r>
            <w:instrText xml:space="preserve">PAGEREF _Toc240204683 \h</w:instrText>
          </w:r>
          <w:r>
            <w:rPr>
              <w:rFonts w:hint="eastAsia"/>
            </w:rPr>
            <w:instrText xml:space="preserve"> </w:instrText>
          </w:r>
          <w:r>
            <w:rPr>
              <w:rFonts w:hint="eastAsia"/>
            </w:rPr>
            <w:fldChar w:fldCharType="separate"/>
          </w:r>
          <w:r>
            <w:rPr>
              <w:rFonts w:hint="eastAsia"/>
            </w:rPr>
            <w:t>63</w:t>
          </w:r>
          <w:r>
            <w:rPr>
              <w:rFonts w:hint="eastAsia"/>
            </w:rPr>
            <w:fldChar w:fldCharType="end"/>
          </w:r>
          <w:r>
            <w:rPr>
              <w:rFonts w:hint="eastAsia"/>
            </w:rPr>
            <w:fldChar w:fldCharType="end"/>
          </w:r>
        </w:p>
        <w:p w14:paraId="1CFFE7C6">
          <w:pPr>
            <w:pStyle w:val="23"/>
            <w:tabs>
              <w:tab w:val="right" w:leader="dot" w:pos="8296"/>
            </w:tabs>
            <w:rPr>
              <w:rFonts w:hint="eastAsia"/>
              <w:sz w:val="22"/>
              <w:szCs w:val="24"/>
              <w14:ligatures w14:val="standardContextual"/>
            </w:rPr>
          </w:pPr>
          <w:r>
            <w:fldChar w:fldCharType="begin"/>
          </w:r>
          <w:r>
            <w:instrText xml:space="preserve"> HYPERLINK \l "_Toc240204684" </w:instrText>
          </w:r>
          <w:r>
            <w:fldChar w:fldCharType="separate"/>
          </w:r>
          <w:r>
            <w:rPr>
              <w:rStyle w:val="29"/>
              <w:rFonts w:ascii="Times New Roman" w:hAnsi="Times New Roman" w:eastAsia="仿宋" w:cs="Times New Roman"/>
              <w:b/>
              <w:bCs/>
            </w:rPr>
            <w:t>一、估算标准和依据</w:t>
          </w:r>
          <w:r>
            <w:rPr>
              <w:rFonts w:hint="eastAsia"/>
            </w:rPr>
            <w:tab/>
          </w:r>
          <w:r>
            <w:rPr>
              <w:rFonts w:hint="eastAsia"/>
            </w:rPr>
            <w:fldChar w:fldCharType="begin"/>
          </w:r>
          <w:r>
            <w:rPr>
              <w:rFonts w:hint="eastAsia"/>
            </w:rPr>
            <w:instrText xml:space="preserve"> </w:instrText>
          </w:r>
          <w:r>
            <w:instrText xml:space="preserve">PAGEREF _Toc240204684 \h</w:instrText>
          </w:r>
          <w:r>
            <w:rPr>
              <w:rFonts w:hint="eastAsia"/>
            </w:rPr>
            <w:instrText xml:space="preserve"> </w:instrText>
          </w:r>
          <w:r>
            <w:rPr>
              <w:rFonts w:hint="eastAsia"/>
            </w:rPr>
            <w:fldChar w:fldCharType="separate"/>
          </w:r>
          <w:r>
            <w:rPr>
              <w:rFonts w:hint="eastAsia"/>
            </w:rPr>
            <w:t>63</w:t>
          </w:r>
          <w:r>
            <w:rPr>
              <w:rFonts w:hint="eastAsia"/>
            </w:rPr>
            <w:fldChar w:fldCharType="end"/>
          </w:r>
          <w:r>
            <w:rPr>
              <w:rFonts w:hint="eastAsia"/>
            </w:rPr>
            <w:fldChar w:fldCharType="end"/>
          </w:r>
        </w:p>
        <w:p w14:paraId="206B6023">
          <w:pPr>
            <w:pStyle w:val="23"/>
            <w:tabs>
              <w:tab w:val="right" w:leader="dot" w:pos="8296"/>
            </w:tabs>
            <w:rPr>
              <w:rFonts w:hint="eastAsia"/>
              <w:sz w:val="22"/>
              <w:szCs w:val="24"/>
              <w14:ligatures w14:val="standardContextual"/>
            </w:rPr>
          </w:pPr>
          <w:r>
            <w:fldChar w:fldCharType="begin"/>
          </w:r>
          <w:r>
            <w:instrText xml:space="preserve"> HYPERLINK \l "_Toc240204685" </w:instrText>
          </w:r>
          <w:r>
            <w:fldChar w:fldCharType="separate"/>
          </w:r>
          <w:r>
            <w:rPr>
              <w:rStyle w:val="29"/>
              <w:rFonts w:ascii="Times New Roman" w:hAnsi="Times New Roman" w:eastAsia="仿宋" w:cs="Times New Roman"/>
              <w:b/>
              <w:bCs/>
            </w:rPr>
            <w:t>二、资金渠道</w:t>
          </w:r>
          <w:r>
            <w:rPr>
              <w:rFonts w:hint="eastAsia"/>
            </w:rPr>
            <w:tab/>
          </w:r>
          <w:r>
            <w:rPr>
              <w:rFonts w:hint="eastAsia"/>
            </w:rPr>
            <w:fldChar w:fldCharType="begin"/>
          </w:r>
          <w:r>
            <w:rPr>
              <w:rFonts w:hint="eastAsia"/>
            </w:rPr>
            <w:instrText xml:space="preserve"> </w:instrText>
          </w:r>
          <w:r>
            <w:instrText xml:space="preserve">PAGEREF _Toc240204685 \h</w:instrText>
          </w:r>
          <w:r>
            <w:rPr>
              <w:rFonts w:hint="eastAsia"/>
            </w:rPr>
            <w:instrText xml:space="preserve"> </w:instrText>
          </w:r>
          <w:r>
            <w:rPr>
              <w:rFonts w:hint="eastAsia"/>
            </w:rPr>
            <w:fldChar w:fldCharType="separate"/>
          </w:r>
          <w:r>
            <w:rPr>
              <w:rFonts w:hint="eastAsia"/>
            </w:rPr>
            <w:t>63</w:t>
          </w:r>
          <w:r>
            <w:rPr>
              <w:rFonts w:hint="eastAsia"/>
            </w:rPr>
            <w:fldChar w:fldCharType="end"/>
          </w:r>
          <w:r>
            <w:rPr>
              <w:rFonts w:hint="eastAsia"/>
            </w:rPr>
            <w:fldChar w:fldCharType="end"/>
          </w:r>
        </w:p>
        <w:p w14:paraId="5253E3F3">
          <w:pPr>
            <w:pStyle w:val="19"/>
            <w:tabs>
              <w:tab w:val="right" w:leader="dot" w:pos="8296"/>
            </w:tabs>
            <w:rPr>
              <w:rFonts w:hint="eastAsia"/>
              <w:sz w:val="22"/>
              <w:szCs w:val="24"/>
              <w14:ligatures w14:val="standardContextual"/>
            </w:rPr>
          </w:pPr>
          <w:r>
            <w:fldChar w:fldCharType="begin"/>
          </w:r>
          <w:r>
            <w:instrText xml:space="preserve"> HYPERLINK \l "_Toc240204686" </w:instrText>
          </w:r>
          <w:r>
            <w:fldChar w:fldCharType="separate"/>
          </w:r>
          <w:r>
            <w:rPr>
              <w:rStyle w:val="29"/>
              <w:rFonts w:ascii="Times New Roman" w:hAnsi="Times New Roman" w:eastAsia="仿宋" w:cs="Times New Roman"/>
              <w:b/>
              <w:bCs/>
              <w:kern w:val="44"/>
            </w:rPr>
            <w:t>第八章 效益分析</w:t>
          </w:r>
          <w:r>
            <w:rPr>
              <w:rFonts w:hint="eastAsia"/>
            </w:rPr>
            <w:tab/>
          </w:r>
          <w:r>
            <w:rPr>
              <w:rFonts w:hint="eastAsia"/>
            </w:rPr>
            <w:fldChar w:fldCharType="begin"/>
          </w:r>
          <w:r>
            <w:rPr>
              <w:rFonts w:hint="eastAsia"/>
            </w:rPr>
            <w:instrText xml:space="preserve"> </w:instrText>
          </w:r>
          <w:r>
            <w:instrText xml:space="preserve">PAGEREF _Toc240204686 \h</w:instrText>
          </w:r>
          <w:r>
            <w:rPr>
              <w:rFonts w:hint="eastAsia"/>
            </w:rPr>
            <w:instrText xml:space="preserve"> </w:instrText>
          </w:r>
          <w:r>
            <w:rPr>
              <w:rFonts w:hint="eastAsia"/>
            </w:rPr>
            <w:fldChar w:fldCharType="separate"/>
          </w:r>
          <w:r>
            <w:rPr>
              <w:rFonts w:hint="eastAsia"/>
            </w:rPr>
            <w:t>65</w:t>
          </w:r>
          <w:r>
            <w:rPr>
              <w:rFonts w:hint="eastAsia"/>
            </w:rPr>
            <w:fldChar w:fldCharType="end"/>
          </w:r>
          <w:r>
            <w:rPr>
              <w:rFonts w:hint="eastAsia"/>
            </w:rPr>
            <w:fldChar w:fldCharType="end"/>
          </w:r>
        </w:p>
        <w:p w14:paraId="775CB4D2">
          <w:pPr>
            <w:pStyle w:val="23"/>
            <w:tabs>
              <w:tab w:val="right" w:leader="dot" w:pos="8296"/>
            </w:tabs>
            <w:rPr>
              <w:rFonts w:hint="eastAsia"/>
              <w:sz w:val="22"/>
              <w:szCs w:val="24"/>
              <w14:ligatures w14:val="standardContextual"/>
            </w:rPr>
          </w:pPr>
          <w:r>
            <w:fldChar w:fldCharType="begin"/>
          </w:r>
          <w:r>
            <w:instrText xml:space="preserve"> HYPERLINK \l "_Toc240204687" </w:instrText>
          </w:r>
          <w:r>
            <w:fldChar w:fldCharType="separate"/>
          </w:r>
          <w:r>
            <w:rPr>
              <w:rStyle w:val="29"/>
              <w:rFonts w:ascii="Times New Roman" w:hAnsi="Times New Roman" w:eastAsia="仿宋" w:cs="Times New Roman"/>
              <w:b/>
              <w:bCs/>
            </w:rPr>
            <w:t>一、生态效益</w:t>
          </w:r>
          <w:r>
            <w:rPr>
              <w:rFonts w:hint="eastAsia"/>
            </w:rPr>
            <w:tab/>
          </w:r>
          <w:r>
            <w:rPr>
              <w:rFonts w:hint="eastAsia"/>
            </w:rPr>
            <w:fldChar w:fldCharType="begin"/>
          </w:r>
          <w:r>
            <w:rPr>
              <w:rFonts w:hint="eastAsia"/>
            </w:rPr>
            <w:instrText xml:space="preserve"> </w:instrText>
          </w:r>
          <w:r>
            <w:instrText xml:space="preserve">PAGEREF _Toc240204687 \h</w:instrText>
          </w:r>
          <w:r>
            <w:rPr>
              <w:rFonts w:hint="eastAsia"/>
            </w:rPr>
            <w:instrText xml:space="preserve"> </w:instrText>
          </w:r>
          <w:r>
            <w:rPr>
              <w:rFonts w:hint="eastAsia"/>
            </w:rPr>
            <w:fldChar w:fldCharType="separate"/>
          </w:r>
          <w:r>
            <w:rPr>
              <w:rFonts w:hint="eastAsia"/>
            </w:rPr>
            <w:t>65</w:t>
          </w:r>
          <w:r>
            <w:rPr>
              <w:rFonts w:hint="eastAsia"/>
            </w:rPr>
            <w:fldChar w:fldCharType="end"/>
          </w:r>
          <w:r>
            <w:rPr>
              <w:rFonts w:hint="eastAsia"/>
            </w:rPr>
            <w:fldChar w:fldCharType="end"/>
          </w:r>
        </w:p>
        <w:p w14:paraId="3A91CA6F">
          <w:pPr>
            <w:pStyle w:val="23"/>
            <w:tabs>
              <w:tab w:val="right" w:leader="dot" w:pos="8296"/>
            </w:tabs>
            <w:rPr>
              <w:rFonts w:hint="eastAsia"/>
              <w:sz w:val="22"/>
              <w:szCs w:val="24"/>
              <w14:ligatures w14:val="standardContextual"/>
            </w:rPr>
          </w:pPr>
          <w:r>
            <w:fldChar w:fldCharType="begin"/>
          </w:r>
          <w:r>
            <w:instrText xml:space="preserve"> HYPERLINK \l "_Toc240204688" </w:instrText>
          </w:r>
          <w:r>
            <w:fldChar w:fldCharType="separate"/>
          </w:r>
          <w:r>
            <w:rPr>
              <w:rStyle w:val="29"/>
              <w:rFonts w:ascii="Times New Roman" w:hAnsi="Times New Roman" w:eastAsia="仿宋" w:cs="Times New Roman"/>
              <w:b/>
              <w:bCs/>
            </w:rPr>
            <w:t>二、经济效益</w:t>
          </w:r>
          <w:r>
            <w:rPr>
              <w:rFonts w:hint="eastAsia"/>
            </w:rPr>
            <w:tab/>
          </w:r>
          <w:r>
            <w:rPr>
              <w:rFonts w:hint="eastAsia"/>
            </w:rPr>
            <w:fldChar w:fldCharType="begin"/>
          </w:r>
          <w:r>
            <w:rPr>
              <w:rFonts w:hint="eastAsia"/>
            </w:rPr>
            <w:instrText xml:space="preserve"> </w:instrText>
          </w:r>
          <w:r>
            <w:instrText xml:space="preserve">PAGEREF _Toc240204688 \h</w:instrText>
          </w:r>
          <w:r>
            <w:rPr>
              <w:rFonts w:hint="eastAsia"/>
            </w:rPr>
            <w:instrText xml:space="preserve"> </w:instrText>
          </w:r>
          <w:r>
            <w:rPr>
              <w:rFonts w:hint="eastAsia"/>
            </w:rPr>
            <w:fldChar w:fldCharType="separate"/>
          </w:r>
          <w:r>
            <w:rPr>
              <w:rFonts w:hint="eastAsia"/>
            </w:rPr>
            <w:t>66</w:t>
          </w:r>
          <w:r>
            <w:rPr>
              <w:rFonts w:hint="eastAsia"/>
            </w:rPr>
            <w:fldChar w:fldCharType="end"/>
          </w:r>
          <w:r>
            <w:rPr>
              <w:rFonts w:hint="eastAsia"/>
            </w:rPr>
            <w:fldChar w:fldCharType="end"/>
          </w:r>
        </w:p>
        <w:p w14:paraId="060FDEC4">
          <w:pPr>
            <w:pStyle w:val="23"/>
            <w:tabs>
              <w:tab w:val="right" w:leader="dot" w:pos="8296"/>
            </w:tabs>
            <w:rPr>
              <w:rFonts w:hint="eastAsia"/>
              <w:sz w:val="22"/>
              <w:szCs w:val="24"/>
              <w14:ligatures w14:val="standardContextual"/>
            </w:rPr>
          </w:pPr>
          <w:r>
            <w:fldChar w:fldCharType="begin"/>
          </w:r>
          <w:r>
            <w:instrText xml:space="preserve"> HYPERLINK \l "_Toc240204689" </w:instrText>
          </w:r>
          <w:r>
            <w:fldChar w:fldCharType="separate"/>
          </w:r>
          <w:r>
            <w:rPr>
              <w:rStyle w:val="29"/>
              <w:rFonts w:ascii="Times New Roman" w:hAnsi="Times New Roman" w:eastAsia="仿宋" w:cs="Times New Roman"/>
              <w:b/>
              <w:bCs/>
            </w:rPr>
            <w:t>三、社会效益</w:t>
          </w:r>
          <w:r>
            <w:rPr>
              <w:rFonts w:hint="eastAsia"/>
            </w:rPr>
            <w:tab/>
          </w:r>
          <w:r>
            <w:rPr>
              <w:rFonts w:hint="eastAsia"/>
            </w:rPr>
            <w:fldChar w:fldCharType="begin"/>
          </w:r>
          <w:r>
            <w:rPr>
              <w:rFonts w:hint="eastAsia"/>
            </w:rPr>
            <w:instrText xml:space="preserve"> </w:instrText>
          </w:r>
          <w:r>
            <w:instrText xml:space="preserve">PAGEREF _Toc240204689 \h</w:instrText>
          </w:r>
          <w:r>
            <w:rPr>
              <w:rFonts w:hint="eastAsia"/>
            </w:rPr>
            <w:instrText xml:space="preserve"> </w:instrText>
          </w:r>
          <w:r>
            <w:rPr>
              <w:rFonts w:hint="eastAsia"/>
            </w:rPr>
            <w:fldChar w:fldCharType="separate"/>
          </w:r>
          <w:r>
            <w:rPr>
              <w:rFonts w:hint="eastAsia"/>
            </w:rPr>
            <w:t>67</w:t>
          </w:r>
          <w:r>
            <w:rPr>
              <w:rFonts w:hint="eastAsia"/>
            </w:rPr>
            <w:fldChar w:fldCharType="end"/>
          </w:r>
          <w:r>
            <w:rPr>
              <w:rFonts w:hint="eastAsia"/>
            </w:rPr>
            <w:fldChar w:fldCharType="end"/>
          </w:r>
        </w:p>
        <w:p w14:paraId="29E1C1E6">
          <w:pPr>
            <w:pStyle w:val="19"/>
            <w:tabs>
              <w:tab w:val="right" w:leader="dot" w:pos="8296"/>
            </w:tabs>
            <w:rPr>
              <w:rFonts w:hint="eastAsia"/>
              <w:sz w:val="22"/>
              <w:szCs w:val="24"/>
              <w14:ligatures w14:val="standardContextual"/>
            </w:rPr>
          </w:pPr>
          <w:r>
            <w:fldChar w:fldCharType="begin"/>
          </w:r>
          <w:r>
            <w:instrText xml:space="preserve"> HYPERLINK \l "_Toc240204690" </w:instrText>
          </w:r>
          <w:r>
            <w:fldChar w:fldCharType="separate"/>
          </w:r>
          <w:r>
            <w:rPr>
              <w:rStyle w:val="29"/>
              <w:rFonts w:ascii="Times New Roman" w:hAnsi="Times New Roman" w:eastAsia="仿宋" w:cs="Times New Roman"/>
              <w:b/>
              <w:bCs/>
              <w:kern w:val="44"/>
            </w:rPr>
            <w:t>第九章 保障措施</w:t>
          </w:r>
          <w:r>
            <w:rPr>
              <w:rFonts w:hint="eastAsia"/>
            </w:rPr>
            <w:tab/>
          </w:r>
          <w:r>
            <w:rPr>
              <w:rFonts w:hint="eastAsia"/>
            </w:rPr>
            <w:fldChar w:fldCharType="begin"/>
          </w:r>
          <w:r>
            <w:rPr>
              <w:rFonts w:hint="eastAsia"/>
            </w:rPr>
            <w:instrText xml:space="preserve"> </w:instrText>
          </w:r>
          <w:r>
            <w:instrText xml:space="preserve">PAGEREF _Toc240204690 \h</w:instrText>
          </w:r>
          <w:r>
            <w:rPr>
              <w:rFonts w:hint="eastAsia"/>
            </w:rPr>
            <w:instrText xml:space="preserve"> </w:instrText>
          </w:r>
          <w:r>
            <w:rPr>
              <w:rFonts w:hint="eastAsia"/>
            </w:rPr>
            <w:fldChar w:fldCharType="separate"/>
          </w:r>
          <w:r>
            <w:rPr>
              <w:rFonts w:hint="eastAsia"/>
            </w:rPr>
            <w:t>69</w:t>
          </w:r>
          <w:r>
            <w:rPr>
              <w:rFonts w:hint="eastAsia"/>
            </w:rPr>
            <w:fldChar w:fldCharType="end"/>
          </w:r>
          <w:r>
            <w:rPr>
              <w:rFonts w:hint="eastAsia"/>
            </w:rPr>
            <w:fldChar w:fldCharType="end"/>
          </w:r>
        </w:p>
        <w:p w14:paraId="54D84CFA">
          <w:pPr>
            <w:pStyle w:val="23"/>
            <w:tabs>
              <w:tab w:val="right" w:leader="dot" w:pos="8296"/>
            </w:tabs>
            <w:rPr>
              <w:rFonts w:hint="eastAsia"/>
              <w:sz w:val="22"/>
              <w:szCs w:val="24"/>
              <w14:ligatures w14:val="standardContextual"/>
            </w:rPr>
          </w:pPr>
          <w:r>
            <w:fldChar w:fldCharType="begin"/>
          </w:r>
          <w:r>
            <w:instrText xml:space="preserve"> HYPERLINK \l "_Toc240204691" </w:instrText>
          </w:r>
          <w:r>
            <w:fldChar w:fldCharType="separate"/>
          </w:r>
          <w:r>
            <w:rPr>
              <w:rStyle w:val="29"/>
              <w:rFonts w:ascii="Times New Roman" w:hAnsi="Times New Roman" w:eastAsia="仿宋" w:cs="Times New Roman"/>
              <w:b/>
              <w:bCs/>
            </w:rPr>
            <w:t>一、政策法规保障</w:t>
          </w:r>
          <w:r>
            <w:rPr>
              <w:rFonts w:hint="eastAsia"/>
            </w:rPr>
            <w:tab/>
          </w:r>
          <w:r>
            <w:rPr>
              <w:rFonts w:hint="eastAsia"/>
            </w:rPr>
            <w:fldChar w:fldCharType="begin"/>
          </w:r>
          <w:r>
            <w:rPr>
              <w:rFonts w:hint="eastAsia"/>
            </w:rPr>
            <w:instrText xml:space="preserve"> </w:instrText>
          </w:r>
          <w:r>
            <w:instrText xml:space="preserve">PAGEREF _Toc240204691 \h</w:instrText>
          </w:r>
          <w:r>
            <w:rPr>
              <w:rFonts w:hint="eastAsia"/>
            </w:rPr>
            <w:instrText xml:space="preserve"> </w:instrText>
          </w:r>
          <w:r>
            <w:rPr>
              <w:rFonts w:hint="eastAsia"/>
            </w:rPr>
            <w:fldChar w:fldCharType="separate"/>
          </w:r>
          <w:r>
            <w:rPr>
              <w:rFonts w:hint="eastAsia"/>
            </w:rPr>
            <w:t>69</w:t>
          </w:r>
          <w:r>
            <w:rPr>
              <w:rFonts w:hint="eastAsia"/>
            </w:rPr>
            <w:fldChar w:fldCharType="end"/>
          </w:r>
          <w:r>
            <w:rPr>
              <w:rFonts w:hint="eastAsia"/>
            </w:rPr>
            <w:fldChar w:fldCharType="end"/>
          </w:r>
        </w:p>
        <w:p w14:paraId="090DE40C">
          <w:pPr>
            <w:pStyle w:val="23"/>
            <w:tabs>
              <w:tab w:val="right" w:leader="dot" w:pos="8296"/>
            </w:tabs>
            <w:rPr>
              <w:rFonts w:hint="eastAsia"/>
              <w:sz w:val="22"/>
              <w:szCs w:val="24"/>
              <w14:ligatures w14:val="standardContextual"/>
            </w:rPr>
          </w:pPr>
          <w:r>
            <w:fldChar w:fldCharType="begin"/>
          </w:r>
          <w:r>
            <w:instrText xml:space="preserve"> HYPERLINK \l "_Toc240204692" </w:instrText>
          </w:r>
          <w:r>
            <w:fldChar w:fldCharType="separate"/>
          </w:r>
          <w:r>
            <w:rPr>
              <w:rStyle w:val="29"/>
              <w:rFonts w:ascii="Times New Roman" w:hAnsi="Times New Roman" w:eastAsia="仿宋" w:cs="Times New Roman"/>
              <w:b/>
              <w:bCs/>
            </w:rPr>
            <w:t>二、管理体系保障</w:t>
          </w:r>
          <w:r>
            <w:rPr>
              <w:rFonts w:hint="eastAsia"/>
            </w:rPr>
            <w:tab/>
          </w:r>
          <w:r>
            <w:rPr>
              <w:rFonts w:hint="eastAsia"/>
            </w:rPr>
            <w:fldChar w:fldCharType="begin"/>
          </w:r>
          <w:r>
            <w:rPr>
              <w:rFonts w:hint="eastAsia"/>
            </w:rPr>
            <w:instrText xml:space="preserve"> </w:instrText>
          </w:r>
          <w:r>
            <w:instrText xml:space="preserve">PAGEREF _Toc240204692 \h</w:instrText>
          </w:r>
          <w:r>
            <w:rPr>
              <w:rFonts w:hint="eastAsia"/>
            </w:rPr>
            <w:instrText xml:space="preserve"> </w:instrText>
          </w:r>
          <w:r>
            <w:rPr>
              <w:rFonts w:hint="eastAsia"/>
            </w:rPr>
            <w:fldChar w:fldCharType="separate"/>
          </w:r>
          <w:r>
            <w:rPr>
              <w:rFonts w:hint="eastAsia"/>
            </w:rPr>
            <w:t>69</w:t>
          </w:r>
          <w:r>
            <w:rPr>
              <w:rFonts w:hint="eastAsia"/>
            </w:rPr>
            <w:fldChar w:fldCharType="end"/>
          </w:r>
          <w:r>
            <w:rPr>
              <w:rFonts w:hint="eastAsia"/>
            </w:rPr>
            <w:fldChar w:fldCharType="end"/>
          </w:r>
        </w:p>
        <w:p w14:paraId="74F24FF0">
          <w:pPr>
            <w:pStyle w:val="23"/>
            <w:tabs>
              <w:tab w:val="right" w:leader="dot" w:pos="8296"/>
            </w:tabs>
            <w:rPr>
              <w:rFonts w:hint="eastAsia"/>
              <w:sz w:val="22"/>
              <w:szCs w:val="24"/>
              <w14:ligatures w14:val="standardContextual"/>
            </w:rPr>
          </w:pPr>
          <w:r>
            <w:fldChar w:fldCharType="begin"/>
          </w:r>
          <w:r>
            <w:instrText xml:space="preserve"> HYPERLINK \l "_Toc240204693" </w:instrText>
          </w:r>
          <w:r>
            <w:fldChar w:fldCharType="separate"/>
          </w:r>
          <w:r>
            <w:rPr>
              <w:rStyle w:val="29"/>
              <w:rFonts w:ascii="Times New Roman" w:hAnsi="Times New Roman" w:eastAsia="仿宋" w:cs="Times New Roman"/>
              <w:b/>
              <w:bCs/>
            </w:rPr>
            <w:t>三、资金保障</w:t>
          </w:r>
          <w:r>
            <w:rPr>
              <w:rFonts w:hint="eastAsia"/>
            </w:rPr>
            <w:tab/>
          </w:r>
          <w:r>
            <w:rPr>
              <w:rFonts w:hint="eastAsia"/>
            </w:rPr>
            <w:fldChar w:fldCharType="begin"/>
          </w:r>
          <w:r>
            <w:rPr>
              <w:rFonts w:hint="eastAsia"/>
            </w:rPr>
            <w:instrText xml:space="preserve"> </w:instrText>
          </w:r>
          <w:r>
            <w:instrText xml:space="preserve">PAGEREF _Toc240204693 \h</w:instrText>
          </w:r>
          <w:r>
            <w:rPr>
              <w:rFonts w:hint="eastAsia"/>
            </w:rPr>
            <w:instrText xml:space="preserve"> </w:instrText>
          </w:r>
          <w:r>
            <w:rPr>
              <w:rFonts w:hint="eastAsia"/>
            </w:rPr>
            <w:fldChar w:fldCharType="separate"/>
          </w:r>
          <w:r>
            <w:rPr>
              <w:rFonts w:hint="eastAsia"/>
            </w:rPr>
            <w:t>71</w:t>
          </w:r>
          <w:r>
            <w:rPr>
              <w:rFonts w:hint="eastAsia"/>
            </w:rPr>
            <w:fldChar w:fldCharType="end"/>
          </w:r>
          <w:r>
            <w:rPr>
              <w:rFonts w:hint="eastAsia"/>
            </w:rPr>
            <w:fldChar w:fldCharType="end"/>
          </w:r>
        </w:p>
        <w:p w14:paraId="0EF19124">
          <w:pPr>
            <w:pStyle w:val="23"/>
            <w:tabs>
              <w:tab w:val="right" w:leader="dot" w:pos="8296"/>
            </w:tabs>
            <w:rPr>
              <w:rFonts w:hint="eastAsia"/>
              <w:sz w:val="22"/>
              <w:szCs w:val="24"/>
              <w14:ligatures w14:val="standardContextual"/>
            </w:rPr>
          </w:pPr>
          <w:r>
            <w:fldChar w:fldCharType="begin"/>
          </w:r>
          <w:r>
            <w:instrText xml:space="preserve"> HYPERLINK \l "_Toc240204694" </w:instrText>
          </w:r>
          <w:r>
            <w:fldChar w:fldCharType="separate"/>
          </w:r>
          <w:r>
            <w:rPr>
              <w:rStyle w:val="29"/>
              <w:rFonts w:ascii="Times New Roman" w:hAnsi="Times New Roman" w:eastAsia="仿宋" w:cs="Times New Roman"/>
              <w:b/>
              <w:bCs/>
            </w:rPr>
            <w:t>四、能力建设保障</w:t>
          </w:r>
          <w:r>
            <w:rPr>
              <w:rFonts w:hint="eastAsia"/>
            </w:rPr>
            <w:tab/>
          </w:r>
          <w:r>
            <w:rPr>
              <w:rFonts w:hint="eastAsia"/>
            </w:rPr>
            <w:fldChar w:fldCharType="begin"/>
          </w:r>
          <w:r>
            <w:rPr>
              <w:rFonts w:hint="eastAsia"/>
            </w:rPr>
            <w:instrText xml:space="preserve"> </w:instrText>
          </w:r>
          <w:r>
            <w:instrText xml:space="preserve">PAGEREF _Toc240204694 \h</w:instrText>
          </w:r>
          <w:r>
            <w:rPr>
              <w:rFonts w:hint="eastAsia"/>
            </w:rPr>
            <w:instrText xml:space="preserve"> </w:instrText>
          </w:r>
          <w:r>
            <w:rPr>
              <w:rFonts w:hint="eastAsia"/>
            </w:rPr>
            <w:fldChar w:fldCharType="separate"/>
          </w:r>
          <w:r>
            <w:rPr>
              <w:rFonts w:hint="eastAsia"/>
            </w:rPr>
            <w:t>72</w:t>
          </w:r>
          <w:r>
            <w:rPr>
              <w:rFonts w:hint="eastAsia"/>
            </w:rPr>
            <w:fldChar w:fldCharType="end"/>
          </w:r>
          <w:r>
            <w:rPr>
              <w:rFonts w:hint="eastAsia"/>
            </w:rPr>
            <w:fldChar w:fldCharType="end"/>
          </w:r>
        </w:p>
        <w:p w14:paraId="31050668">
          <w:pPr>
            <w:rPr>
              <w:rFonts w:hint="eastAsia"/>
            </w:rPr>
          </w:pPr>
          <w:r>
            <w:rPr>
              <w:rFonts w:hint="eastAsia"/>
            </w:rPr>
            <w:fldChar w:fldCharType="end"/>
          </w:r>
        </w:p>
      </w:sdtContent>
    </w:sdt>
    <w:p w14:paraId="5D780105">
      <w:pPr>
        <w:rPr>
          <w:rFonts w:hint="eastAsia"/>
        </w:rPr>
      </w:pPr>
    </w:p>
    <w:p w14:paraId="1E3CB0A6">
      <w:pPr>
        <w:pStyle w:val="2"/>
        <w:ind w:firstLine="464"/>
        <w:rPr>
          <w:rFonts w:hint="eastAsia"/>
        </w:rPr>
      </w:pPr>
    </w:p>
    <w:p w14:paraId="1740DE1F">
      <w:pPr>
        <w:rPr>
          <w:rFonts w:hint="eastAsia"/>
        </w:rPr>
        <w:sectPr>
          <w:pgSz w:w="11906" w:h="16838"/>
          <w:pgMar w:top="1440" w:right="1800" w:bottom="1440" w:left="1800" w:header="851" w:footer="992" w:gutter="0"/>
          <w:cols w:space="425" w:num="1"/>
          <w:docGrid w:type="lines" w:linePitch="312" w:charSpace="0"/>
        </w:sectPr>
      </w:pPr>
    </w:p>
    <w:p w14:paraId="42BEB050">
      <w:pPr>
        <w:keepNext/>
        <w:keepLines/>
        <w:spacing w:before="340" w:after="330" w:line="578" w:lineRule="auto"/>
        <w:jc w:val="center"/>
        <w:outlineLvl w:val="0"/>
        <w:rPr>
          <w:rFonts w:ascii="Times New Roman" w:hAnsi="Times New Roman" w:eastAsia="仿宋" w:cs="Times New Roman"/>
          <w:b/>
          <w:bCs/>
          <w:kern w:val="44"/>
          <w:sz w:val="36"/>
          <w:szCs w:val="36"/>
        </w:rPr>
      </w:pPr>
      <w:bookmarkStart w:id="16" w:name="_Toc13688"/>
      <w:bookmarkStart w:id="17" w:name="_Toc240204659"/>
      <w:bookmarkStart w:id="18" w:name="_Toc150720898"/>
      <w:r>
        <w:rPr>
          <w:rFonts w:ascii="Times New Roman" w:hAnsi="Times New Roman" w:eastAsia="仿宋" w:cs="Times New Roman"/>
          <w:b/>
          <w:bCs/>
          <w:kern w:val="44"/>
          <w:sz w:val="36"/>
          <w:szCs w:val="36"/>
        </w:rPr>
        <w:t>第一章 规划背景</w:t>
      </w:r>
      <w:bookmarkEnd w:id="16"/>
      <w:bookmarkEnd w:id="17"/>
      <w:bookmarkEnd w:id="18"/>
    </w:p>
    <w:p w14:paraId="287ED0F2">
      <w:pPr>
        <w:keepNext/>
        <w:keepLines/>
        <w:spacing w:before="260" w:after="260" w:line="416" w:lineRule="auto"/>
        <w:outlineLvl w:val="1"/>
        <w:rPr>
          <w:rFonts w:ascii="Times New Roman" w:hAnsi="Times New Roman" w:eastAsia="仿宋" w:cs="Times New Roman"/>
          <w:b/>
          <w:bCs/>
          <w:sz w:val="32"/>
          <w:szCs w:val="32"/>
        </w:rPr>
      </w:pPr>
      <w:bookmarkStart w:id="19" w:name="_Toc240204660"/>
      <w:bookmarkStart w:id="20" w:name="_Toc9871"/>
      <w:r>
        <w:rPr>
          <w:rFonts w:ascii="Times New Roman" w:hAnsi="Times New Roman" w:eastAsia="仿宋" w:cs="Times New Roman"/>
          <w:b/>
          <w:bCs/>
          <w:sz w:val="32"/>
          <w:szCs w:val="32"/>
        </w:rPr>
        <w:t>一、基本概况</w:t>
      </w:r>
      <w:bookmarkEnd w:id="19"/>
      <w:bookmarkEnd w:id="20"/>
    </w:p>
    <w:p w14:paraId="24228C43">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（一）地理区位</w:t>
      </w:r>
    </w:p>
    <w:p w14:paraId="5C6BB098">
      <w:pPr>
        <w:ind w:firstLine="640" w:firstLineChars="200"/>
        <w:rPr>
          <w:rFonts w:ascii="Times New Roman" w:hAnsi="Times New Roman" w:eastAsia="仿宋" w:cs="Times New Roman"/>
          <w:sz w:val="32"/>
        </w:rPr>
      </w:pPr>
      <w:r>
        <w:rPr>
          <w:rFonts w:ascii="Times New Roman" w:hAnsi="Times New Roman" w:eastAsia="仿宋" w:cs="Times New Roman"/>
          <w:sz w:val="32"/>
        </w:rPr>
        <w:t>朝阳区是北京市城六区之一，因位于朝阳门外而得名。地处北京市</w:t>
      </w:r>
      <w:r>
        <w:rPr>
          <w:rFonts w:hint="eastAsia" w:ascii="Times New Roman" w:hAnsi="Times New Roman" w:eastAsia="仿宋" w:cs="Times New Roman"/>
          <w:sz w:val="32"/>
        </w:rPr>
        <w:t>东</w:t>
      </w:r>
      <w:r>
        <w:rPr>
          <w:rFonts w:ascii="Times New Roman" w:hAnsi="Times New Roman" w:eastAsia="仿宋" w:cs="Times New Roman"/>
          <w:sz w:val="32"/>
        </w:rPr>
        <w:t>部，位于北纬39°49'至40°5'，东经116°21'至116°38'。北接顺义区、昌平区，东与通州区接壤，南连丰台区、大兴区，西同海淀区、东城区、西城区毗邻。面积470.8平方千米。辖域地貌平坦，地势从西北向东南缓缓倾斜，平均海拔34米，最高处海拔46米，最低处海拔20米。轮廓南北长，最长约28千米；东西窄，最宽约17千米。元代开凿通惠河流经辖区内，在元、明、清三朝曾是漕运的重要河道。境内有温榆河、清河、坝河、亮马河、萧太后河、凉水河、北小河等河流。根据《北京城市总体规划(2016年—2035年)》，朝阳区属于北京中心城区，功能定位是：东部、北部地区强化国际交往功能，建设成为国际一流的商务中心区、国际科技文化体育交流区、各类国际化社区的承载地；南部地区将传统工业区改造为文化创意与科技创新融合发展区。</w:t>
      </w:r>
    </w:p>
    <w:p w14:paraId="2A629149">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（二）自然概况</w:t>
      </w:r>
    </w:p>
    <w:p w14:paraId="226C5DBC">
      <w:pPr>
        <w:ind w:firstLine="640" w:firstLineChars="200"/>
        <w:rPr>
          <w:rFonts w:ascii="Times New Roman" w:hAnsi="Times New Roman" w:eastAsia="仿宋" w:cs="Times New Roman"/>
          <w:sz w:val="32"/>
        </w:rPr>
      </w:pPr>
      <w:r>
        <w:rPr>
          <w:rFonts w:ascii="Times New Roman" w:hAnsi="Times New Roman" w:eastAsia="仿宋" w:cs="Times New Roman"/>
          <w:sz w:val="32"/>
        </w:rPr>
        <w:t>1. 地质地貌</w:t>
      </w:r>
    </w:p>
    <w:p w14:paraId="78AFB980">
      <w:pPr>
        <w:ind w:firstLine="640" w:firstLineChars="200"/>
        <w:rPr>
          <w:rFonts w:ascii="Times New Roman" w:hAnsi="Times New Roman" w:eastAsia="仿宋" w:cs="Times New Roman"/>
          <w:sz w:val="32"/>
        </w:rPr>
      </w:pPr>
      <w:r>
        <w:rPr>
          <w:rFonts w:ascii="Times New Roman" w:hAnsi="Times New Roman" w:eastAsia="仿宋" w:cs="Times New Roman"/>
          <w:sz w:val="32"/>
        </w:rPr>
        <w:t>朝阳区地处北京平原，地势从西北向东南缓缓倾斜，坡度一般在1/1000-1/2500之间。平均海拔34米，最高处海拔46米，在大屯到洼里关西关西庄一带；最低处海拔20米，在坝河下游的楼梓庄沙窝村西部。辖域地质基底构造主要受新华夏系北东向构造所控制，西部属于北京凹陷东北侧，东南部属于大兴隆起北端。新生界地层沉积受这两个构造单元控制，西部凹陷部分沉积深厚的第三系红色或紫红色胶结疏松泥岩、砂岩、砂质泥岩和砾岩，并伴有过去地质年代里喷发的玄武岩，厚度超过400米。东南部隆起由西南向东北延伸，在王四营大柳树、双桥大鲁店一带古地形较高，缺失第三系沉积，基岩埋藏浅</w:t>
      </w:r>
      <w:r>
        <w:rPr>
          <w:rFonts w:hint="eastAsia" w:ascii="Times New Roman" w:hAnsi="Times New Roman" w:eastAsia="仿宋" w:cs="Times New Roman"/>
          <w:sz w:val="32"/>
        </w:rPr>
        <w:t>。</w:t>
      </w:r>
    </w:p>
    <w:p w14:paraId="086C4B0E">
      <w:pPr>
        <w:ind w:firstLine="640" w:firstLineChars="200"/>
        <w:rPr>
          <w:rFonts w:ascii="Times New Roman" w:hAnsi="Times New Roman" w:eastAsia="仿宋" w:cs="Times New Roman"/>
          <w:sz w:val="32"/>
        </w:rPr>
      </w:pPr>
      <w:r>
        <w:rPr>
          <w:rFonts w:ascii="Times New Roman" w:hAnsi="Times New Roman" w:eastAsia="仿宋" w:cs="Times New Roman"/>
          <w:sz w:val="32"/>
        </w:rPr>
        <w:t>2.</w:t>
      </w:r>
      <w:r>
        <w:rPr>
          <w:rFonts w:ascii="等线" w:hAnsi="等线" w:eastAsia="等线" w:cs="Times New Roman"/>
        </w:rPr>
        <w:t xml:space="preserve"> </w:t>
      </w:r>
      <w:r>
        <w:rPr>
          <w:rFonts w:ascii="Times New Roman" w:hAnsi="Times New Roman" w:eastAsia="仿宋" w:cs="Times New Roman"/>
          <w:sz w:val="32"/>
        </w:rPr>
        <w:t>土壤</w:t>
      </w:r>
    </w:p>
    <w:p w14:paraId="3D880CC3">
      <w:pPr>
        <w:adjustRightInd w:val="0"/>
        <w:snapToGrid w:val="0"/>
        <w:spacing w:line="360" w:lineRule="auto"/>
        <w:ind w:firstLine="652" w:firstLineChars="204"/>
        <w:rPr>
          <w:rFonts w:ascii="Times New Roman" w:hAnsi="Times New Roman" w:eastAsia="仿宋" w:cs="Times New Roman"/>
          <w:sz w:val="32"/>
          <w:szCs w:val="21"/>
        </w:rPr>
      </w:pPr>
      <w:r>
        <w:rPr>
          <w:rFonts w:ascii="Times New Roman" w:hAnsi="Times New Roman" w:eastAsia="仿宋" w:cs="Times New Roman"/>
          <w:sz w:val="32"/>
          <w:szCs w:val="21"/>
        </w:rPr>
        <w:t>辖域地表土层组成物质属于第四纪洪冲积物，大部分是永定河携带的大量沉积物，东部有潮白河、温榆河部分沉积。土质以壤质为主，占91.2%；黏土及砂土较少，分别占4.8%和4%。土层自下而上分布为：第四纪更新世早期（Q</w:t>
      </w:r>
      <w:r>
        <w:rPr>
          <w:rFonts w:ascii="Times New Roman" w:hAnsi="Times New Roman" w:eastAsia="仿宋" w:cs="Times New Roman"/>
          <w:sz w:val="32"/>
          <w:szCs w:val="21"/>
          <w:vertAlign w:val="subscript"/>
        </w:rPr>
        <w:t>1</w:t>
      </w:r>
      <w:r>
        <w:rPr>
          <w:rFonts w:ascii="Times New Roman" w:hAnsi="Times New Roman" w:eastAsia="仿宋" w:cs="Times New Roman"/>
          <w:sz w:val="32"/>
          <w:szCs w:val="21"/>
        </w:rPr>
        <w:t>），以杂色风化泥砾分布较广，厚度较大且稳定，中上部由杂色松性土、砂、沙砾石组成，并夹有淤泥物质；第四纪更新世中期（Q</w:t>
      </w:r>
      <w:r>
        <w:rPr>
          <w:rFonts w:ascii="Times New Roman" w:hAnsi="Times New Roman" w:eastAsia="仿宋" w:cs="Times New Roman"/>
          <w:sz w:val="32"/>
          <w:szCs w:val="21"/>
          <w:vertAlign w:val="subscript"/>
        </w:rPr>
        <w:t>2</w:t>
      </w:r>
      <w:r>
        <w:rPr>
          <w:rFonts w:ascii="Times New Roman" w:hAnsi="Times New Roman" w:eastAsia="仿宋" w:cs="Times New Roman"/>
          <w:sz w:val="32"/>
          <w:szCs w:val="21"/>
        </w:rPr>
        <w:t>），棕红色、灰褐色泥砾，内含白色斑点钙质结核，并有铁、锰膜；第四纪更新世晚期（Q</w:t>
      </w:r>
      <w:r>
        <w:rPr>
          <w:rFonts w:ascii="Times New Roman" w:hAnsi="Times New Roman" w:eastAsia="仿宋" w:cs="Times New Roman"/>
          <w:sz w:val="32"/>
          <w:szCs w:val="21"/>
          <w:vertAlign w:val="subscript"/>
        </w:rPr>
        <w:t>3</w:t>
      </w:r>
      <w:r>
        <w:rPr>
          <w:rFonts w:ascii="Times New Roman" w:hAnsi="Times New Roman" w:eastAsia="仿宋" w:cs="Times New Roman"/>
          <w:sz w:val="32"/>
          <w:szCs w:val="21"/>
        </w:rPr>
        <w:t>），东风农场一带为黄褐色泥砾，中部为马兰组灰黄色、浅黄色黄土类土及湖泊淤泥质土；第四纪全新世（Q</w:t>
      </w:r>
      <w:r>
        <w:rPr>
          <w:rFonts w:ascii="Times New Roman" w:hAnsi="Times New Roman" w:eastAsia="仿宋" w:cs="Times New Roman"/>
          <w:sz w:val="32"/>
          <w:szCs w:val="21"/>
          <w:vertAlign w:val="subscript"/>
        </w:rPr>
        <w:t>4</w:t>
      </w:r>
      <w:r>
        <w:rPr>
          <w:rFonts w:ascii="Times New Roman" w:hAnsi="Times New Roman" w:eastAsia="仿宋" w:cs="Times New Roman"/>
          <w:sz w:val="32"/>
          <w:szCs w:val="21"/>
        </w:rPr>
        <w:t>），主要为次生黄土，并有少量泥碳沉积，厚度一般小于10米。</w:t>
      </w:r>
    </w:p>
    <w:p w14:paraId="275E62EB">
      <w:pPr>
        <w:ind w:firstLine="640" w:firstLineChars="200"/>
        <w:rPr>
          <w:rFonts w:ascii="Times New Roman" w:hAnsi="Times New Roman" w:eastAsia="仿宋" w:cs="Times New Roman"/>
          <w:sz w:val="32"/>
        </w:rPr>
      </w:pPr>
      <w:r>
        <w:rPr>
          <w:rFonts w:ascii="Times New Roman" w:hAnsi="Times New Roman" w:eastAsia="仿宋" w:cs="Times New Roman"/>
          <w:sz w:val="32"/>
        </w:rPr>
        <w:t>3. 气候</w:t>
      </w:r>
    </w:p>
    <w:p w14:paraId="6B058F2F">
      <w:pPr>
        <w:ind w:firstLine="640" w:firstLineChars="200"/>
        <w:rPr>
          <w:rFonts w:ascii="Times New Roman" w:hAnsi="Times New Roman" w:eastAsia="仿宋" w:cs="Times New Roman"/>
          <w:sz w:val="32"/>
        </w:rPr>
      </w:pPr>
      <w:r>
        <w:rPr>
          <w:rFonts w:ascii="Times New Roman" w:hAnsi="Times New Roman" w:eastAsia="仿宋" w:cs="Times New Roman"/>
          <w:sz w:val="32"/>
        </w:rPr>
        <w:t>辖域处于暖温带和中温带过渡带，属于暖温带亚湿润季风型大陆性气候。春季多受大陆气团控制，冷空气势力明显衰退，活动仍频繁；气温不稳定，日夜温差大；日照充足，干燥多风，少雨雪，蒸发量大。夏季多受大陆暖低压和太平洋暖湿气团影响，盛行偏南风，空气湿润，高温、多雨，占年雨量75%左右，强对流天气造成局部地区暴雨、雷雨，冰雹多在夏季出现。秋季南方暖湿气流逐渐衰退，北方冷高压南侵，气温逐渐下降，平均气温比夏季低8—9℃，风速较小，降水明显减少，空气清新，天空晴朗，有冰雹大风天气，或早霜冻和强烈降温。冬季受蒙古高压控制，盛行干燥寒冷的西北风，时有寒潮大风天气，土壤冻结，河流封冻，干燥、少雨雪。</w:t>
      </w:r>
    </w:p>
    <w:p w14:paraId="4F52F8A8">
      <w:pPr>
        <w:ind w:firstLine="640" w:firstLineChars="200"/>
        <w:jc w:val="left"/>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4. 水文与水资源</w:t>
      </w:r>
    </w:p>
    <w:p w14:paraId="3D1A252A">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朝阳区河湖水系众多，地表水属海河流域北运河水系。北运河水系是唯一发源于北京的水系，其上游有温榆河、通惠河、凉水河等支流。朝阳区北部大致以清河为界，东北部大致以温榆河为界。坝河与南来的亮马河、北来的北小河相交后汇入温榆河。凉水河、萧太后河、通惠灌渠等局部河段流经朝阳区南部。朝阳区内河流总长度为151公里，另有110条中、小排水沟，总长度320公里。区内有朝阳公园湖、窑洼湖、红领巾湖、高碑店湖等湖泊以及鱼塘、水池洼地共约70多处，总面积980公顷。</w:t>
      </w:r>
    </w:p>
    <w:p w14:paraId="2F1097D2">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（三）历史人文</w:t>
      </w:r>
    </w:p>
    <w:p w14:paraId="2A9D2BC8">
      <w:pPr>
        <w:ind w:firstLine="640" w:firstLineChars="200"/>
        <w:rPr>
          <w:rFonts w:ascii="Times New Roman" w:hAnsi="Times New Roman" w:eastAsia="仿宋" w:cs="Times New Roman"/>
          <w:sz w:val="32"/>
        </w:rPr>
      </w:pPr>
      <w:r>
        <w:rPr>
          <w:rFonts w:ascii="Times New Roman" w:hAnsi="Times New Roman" w:eastAsia="仿宋" w:cs="Times New Roman"/>
          <w:sz w:val="32"/>
        </w:rPr>
        <w:t>朝阳区境夏、商、周时属冀州地、幽州地。元、明、清时，分属大都路(中都路改)大兴府大兴县、宛平县和通州潞县、漷阴县等。1912—1928年，北洋政府统治时，分属京北和京北所属之大兴县、通县等。1949年2月，北平市政府临时划定全市为32个区，辖域分属第十三区、第十四区、第十五区、第十九区、第二十区和河北省顺义县、通县。1950年8月，北京近郊7个区顺序改为第十区至第十六区后，辖域分属第十区、第十一区、第十四区和河北省顺义县、通县。1952年9月，撤销北郊第十四区，第十区更名东郊区，第十一区更名南苑区，辖域分属北京市东郊区、南苑区和河北省顺义县、通县。1955年8月，朝阳门关厢、东便门关厢、广渠门关厢区划调整，辖域分属北京市东郊区、东单区、东四区、南苑区和河北省顺义县、通县。1958年5月，东郊区更名朝阳区。1959年，辖域全部隶属朝阳区。1959年，顺义区境的首都机场地区划入朝阳区管辖。2018年，朝阳区辖24个街道、19个地区，设466个社区、144个村。</w:t>
      </w:r>
    </w:p>
    <w:p w14:paraId="6AA55EFC">
      <w:pPr>
        <w:ind w:firstLine="640" w:firstLineChars="200"/>
        <w:rPr>
          <w:rFonts w:ascii="Times New Roman" w:hAnsi="Times New Roman" w:eastAsia="仿宋" w:cs="Times New Roman"/>
          <w:sz w:val="32"/>
        </w:rPr>
      </w:pPr>
      <w:r>
        <w:rPr>
          <w:rFonts w:ascii="Times New Roman" w:hAnsi="Times New Roman" w:eastAsia="仿宋" w:cs="Times New Roman"/>
          <w:sz w:val="32"/>
        </w:rPr>
        <w:t>朝阳区历史文化资源丰富。有东岳庙，日坛，清净化城塔院，元大都城墙遗址</w:t>
      </w:r>
      <w:r>
        <w:rPr>
          <w:rFonts w:hint="eastAsia" w:ascii="Times New Roman" w:hAnsi="Times New Roman" w:eastAsia="仿宋" w:cs="Times New Roman"/>
          <w:sz w:val="32"/>
        </w:rPr>
        <w:t>（</w:t>
      </w:r>
      <w:r>
        <w:rPr>
          <w:rFonts w:ascii="Times New Roman" w:hAnsi="Times New Roman" w:eastAsia="仿宋" w:cs="Times New Roman"/>
          <w:sz w:val="32"/>
        </w:rPr>
        <w:t>朝阳段</w:t>
      </w:r>
      <w:r>
        <w:rPr>
          <w:rFonts w:hint="eastAsia" w:ascii="Times New Roman" w:hAnsi="Times New Roman" w:eastAsia="仿宋" w:cs="Times New Roman"/>
          <w:sz w:val="32"/>
        </w:rPr>
        <w:t>）</w:t>
      </w:r>
      <w:r>
        <w:rPr>
          <w:rFonts w:ascii="Times New Roman" w:hAnsi="Times New Roman" w:eastAsia="仿宋" w:cs="Times New Roman"/>
          <w:sz w:val="32"/>
        </w:rPr>
        <w:t>，大运河</w:t>
      </w:r>
      <w:r>
        <w:rPr>
          <w:rFonts w:hint="eastAsia" w:ascii="Times New Roman" w:hAnsi="Times New Roman" w:eastAsia="仿宋" w:cs="Times New Roman"/>
          <w:sz w:val="32"/>
        </w:rPr>
        <w:t>（</w:t>
      </w:r>
      <w:r>
        <w:rPr>
          <w:rFonts w:ascii="Times New Roman" w:hAnsi="Times New Roman" w:eastAsia="仿宋" w:cs="Times New Roman"/>
          <w:sz w:val="32"/>
        </w:rPr>
        <w:t>通惠河朝阳段</w:t>
      </w:r>
      <w:r>
        <w:rPr>
          <w:rFonts w:hint="eastAsia" w:ascii="Times New Roman" w:hAnsi="Times New Roman" w:eastAsia="仿宋" w:cs="Times New Roman"/>
          <w:sz w:val="32"/>
        </w:rPr>
        <w:t>）</w:t>
      </w:r>
      <w:r>
        <w:rPr>
          <w:rFonts w:ascii="Times New Roman" w:hAnsi="Times New Roman" w:eastAsia="仿宋" w:cs="Times New Roman"/>
          <w:sz w:val="32"/>
        </w:rPr>
        <w:t>永通桥、平津闸，四九一电台旧址7个国家级重点文物保护单位；有十方诸佛宝塔、北顶娘娘庙、顺承郡王府3个市级文物保护单位。有</w:t>
      </w:r>
      <w:r>
        <w:rPr>
          <w:rFonts w:hint="eastAsia" w:ascii="Times New Roman" w:hAnsi="Times New Roman" w:eastAsia="仿宋" w:cs="Times New Roman"/>
          <w:sz w:val="32"/>
        </w:rPr>
        <w:t>“</w:t>
      </w:r>
      <w:r>
        <w:rPr>
          <w:rFonts w:ascii="Times New Roman" w:hAnsi="Times New Roman" w:eastAsia="仿宋" w:cs="Times New Roman"/>
          <w:sz w:val="32"/>
        </w:rPr>
        <w:t>聚元号</w:t>
      </w:r>
      <w:r>
        <w:rPr>
          <w:rFonts w:hint="eastAsia" w:ascii="Times New Roman" w:hAnsi="Times New Roman" w:eastAsia="仿宋" w:cs="Times New Roman"/>
          <w:sz w:val="32"/>
        </w:rPr>
        <w:t>”</w:t>
      </w:r>
      <w:r>
        <w:rPr>
          <w:rFonts w:ascii="Times New Roman" w:hAnsi="Times New Roman" w:eastAsia="仿宋" w:cs="Times New Roman"/>
          <w:sz w:val="32"/>
        </w:rPr>
        <w:t>弓箭制作技艺、小红门地秧歌、北京东岳庙庙会、北京灯彩、北京兔儿爷、古琴艺术</w:t>
      </w:r>
      <w:r>
        <w:rPr>
          <w:rFonts w:hint="eastAsia" w:ascii="Times New Roman" w:hAnsi="Times New Roman" w:eastAsia="仿宋" w:cs="Times New Roman"/>
          <w:sz w:val="32"/>
        </w:rPr>
        <w:t>（</w:t>
      </w:r>
      <w:r>
        <w:rPr>
          <w:rFonts w:ascii="Times New Roman" w:hAnsi="Times New Roman" w:eastAsia="仿宋" w:cs="Times New Roman"/>
          <w:sz w:val="32"/>
        </w:rPr>
        <w:t>九嶷派古琴艺术</w:t>
      </w:r>
      <w:r>
        <w:rPr>
          <w:rFonts w:hint="eastAsia" w:ascii="Times New Roman" w:hAnsi="Times New Roman" w:eastAsia="仿宋" w:cs="Times New Roman"/>
          <w:sz w:val="32"/>
        </w:rPr>
        <w:t>）</w:t>
      </w:r>
      <w:r>
        <w:rPr>
          <w:rFonts w:ascii="Times New Roman" w:hAnsi="Times New Roman" w:eastAsia="仿宋" w:cs="Times New Roman"/>
          <w:sz w:val="32"/>
        </w:rPr>
        <w:t>等27项市级以上非物质文化遗产。有文字记载的历代名人墓、清代王爷坟、清代公主坟有100余座。</w:t>
      </w:r>
    </w:p>
    <w:p w14:paraId="6539E6C0">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（四）社会经济</w:t>
      </w:r>
    </w:p>
    <w:p w14:paraId="79564197">
      <w:pPr>
        <w:ind w:firstLine="640" w:firstLineChars="200"/>
        <w:rPr>
          <w:rFonts w:ascii="Times New Roman" w:hAnsi="Times New Roman" w:eastAsia="仿宋" w:cs="Times New Roman"/>
          <w:sz w:val="32"/>
        </w:rPr>
      </w:pPr>
      <w:r>
        <w:rPr>
          <w:rFonts w:ascii="Times New Roman" w:hAnsi="Times New Roman" w:eastAsia="仿宋" w:cs="Times New Roman"/>
          <w:sz w:val="32"/>
          <w:szCs w:val="24"/>
          <w14:ligatures w14:val="standardContextual"/>
        </w:rPr>
        <w:t>依据《朝阳区2025年国民经济与社会发展统计公报》，全年实现地区生产总值</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GDP</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9668.5亿元，比上年增长5.2%。其中，第一产业增加值2.1亿元，下降25.7%；第二产业增加值411.1亿元，下降2.3%；第三产业增加值9255.3亿元，增长5.5%。</w:t>
      </w:r>
    </w:p>
    <w:p w14:paraId="7D1F48FE">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年末全区常住人口341.9万人，比上年末减少2.0万人。其中，常住外来人口121.6万人，减少2.2万人。常住人口出生率为5.49‰，死亡率为5.99‰，自然增长率为-0.5‰。</w:t>
      </w:r>
    </w:p>
    <w:p w14:paraId="34404451">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全年农、林、牧、渔业实现总产值44545.9万元，其中，农业产值8102.4万元，增长20.6%；林业产值31801.5万元，下降36.7%；渔业产值4637.3万元，增长27.2%。</w:t>
      </w:r>
    </w:p>
    <w:p w14:paraId="20899DA3">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全年全区居民人均可支配收入为100611元，全区居民人均工资性收入68283元，人均财产净收入15653元，人均转移净收入16272元。居民人均消费支出为57375元，增长4.0%。</w:t>
      </w:r>
    </w:p>
    <w:p w14:paraId="5A713142">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年末全区参加企业职工基本养老保险的人数为413.4万人，参加失业保险人数为322.0万人，增长0.5%；参加工伤保险人数为287.8万人，增长0.9%。年末参加城乡居民养老保障的人数为2.6万人。</w:t>
      </w:r>
    </w:p>
    <w:p w14:paraId="437B8FE9">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年末全区共有幼儿园316所，在园幼儿69131人，教职工15544人。小学63所，招生25975人，在校生171595人，毕业生26469人，教职工6459人。普通中学99所，招生34631人，在校生96716人，毕业生22843人，教职工17616人。职业高中4所，招生1709人，在校生4771人，毕业生993人，教职工592人。</w:t>
      </w:r>
    </w:p>
    <w:p w14:paraId="764CBCCD">
      <w:pPr>
        <w:keepNext/>
        <w:keepLines/>
        <w:spacing w:before="260" w:after="260" w:line="416" w:lineRule="auto"/>
        <w:outlineLvl w:val="1"/>
        <w:rPr>
          <w:rFonts w:ascii="Times New Roman" w:hAnsi="Times New Roman" w:eastAsia="仿宋" w:cs="Times New Roman"/>
          <w:b/>
          <w:bCs/>
          <w:sz w:val="32"/>
          <w:szCs w:val="32"/>
        </w:rPr>
      </w:pPr>
      <w:bookmarkStart w:id="21" w:name="_Toc240204661"/>
      <w:bookmarkStart w:id="22" w:name="_Toc15856"/>
      <w:r>
        <w:rPr>
          <w:rFonts w:ascii="Times New Roman" w:hAnsi="Times New Roman" w:eastAsia="仿宋" w:cs="Times New Roman"/>
          <w:b/>
          <w:bCs/>
          <w:sz w:val="32"/>
          <w:szCs w:val="32"/>
        </w:rPr>
        <w:t>二、背景分析</w:t>
      </w:r>
      <w:bookmarkEnd w:id="21"/>
      <w:bookmarkEnd w:id="22"/>
    </w:p>
    <w:p w14:paraId="78F3F889">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（一）湿地生态系统具有不可替代的重要性</w:t>
      </w:r>
    </w:p>
    <w:p w14:paraId="4292878C">
      <w:pPr>
        <w:ind w:firstLine="640" w:firstLineChars="200"/>
        <w:rPr>
          <w:rFonts w:ascii="Times New Roman" w:hAnsi="Times New Roman" w:eastAsia="仿宋" w:cs="Times New Roman"/>
          <w:sz w:val="32"/>
        </w:rPr>
      </w:pPr>
      <w:r>
        <w:rPr>
          <w:rFonts w:hint="eastAsia" w:ascii="仿宋" w:hAnsi="仿宋" w:eastAsia="仿宋" w:cs="Times New Roman"/>
          <w:sz w:val="32"/>
        </w:rPr>
        <w:t>《</w:t>
      </w:r>
      <w:r>
        <w:rPr>
          <w:rFonts w:ascii="仿宋" w:hAnsi="仿宋" w:eastAsia="仿宋" w:cs="Times New Roman"/>
          <w:sz w:val="32"/>
        </w:rPr>
        <w:t>中华人民共和国</w:t>
      </w:r>
      <w:r>
        <w:rPr>
          <w:rFonts w:hint="eastAsia" w:ascii="仿宋" w:hAnsi="仿宋" w:eastAsia="仿宋" w:cs="Times New Roman"/>
          <w:sz w:val="32"/>
        </w:rPr>
        <w:t>湿地保护法》中所称湿地，</w:t>
      </w:r>
      <w:r>
        <w:rPr>
          <w:rFonts w:ascii="仿宋" w:hAnsi="仿宋" w:eastAsia="仿宋" w:cs="仿宋_GB2312"/>
          <w:sz w:val="32"/>
        </w:rPr>
        <w:t>是指具有显著生态功能的自然或者人工的、常年或者季节性积水地带、水域，包括低潮时水深不超过六米的海域，但是水田以及用于养殖的人工的水域和滩涂除外</w:t>
      </w:r>
      <w:r>
        <w:rPr>
          <w:rFonts w:ascii="仿宋" w:hAnsi="仿宋" w:eastAsia="仿宋" w:cs="Times New Roman"/>
          <w:sz w:val="32"/>
        </w:rPr>
        <w:t>。</w:t>
      </w:r>
      <w:r>
        <w:rPr>
          <w:rFonts w:ascii="Times New Roman" w:hAnsi="Times New Roman" w:eastAsia="仿宋" w:cs="Times New Roman"/>
          <w:sz w:val="32"/>
        </w:rPr>
        <w:t>作为天然“储水库”，湿地涵养的淡水资源支撑着江河径流，调节着降水分配，是保障粮食生产与城乡供水的隐形基石；作为生物多样性“基因库”，湿地为上万种动植物提供生存家园，维系着生态链的完整与稳定；作为“碳汇利器”，湿地固碳能力远超森林，在应对气候变化中发挥着不可替代的作用。此外，湿地还为人类提供了丰富的生态产品和服务，包括渔业资源、药材、芦苇等生产生活原料，支撑着数亿人的生计与粮食安全；湿地的景观美学价值也使其成为生态旅游、观鸟、摄影、户外教育和科学研究的理想场所。</w:t>
      </w:r>
    </w:p>
    <w:p w14:paraId="0A66CF5E">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（二）湿地是朝阳区的重要生态景观</w:t>
      </w:r>
    </w:p>
    <w:p w14:paraId="252E03E5">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湿地是朝阳区核心生态景观基底、国土空间生态体系的关键组成，是支撑全区</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两环六楔、五河十园</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绿色空间格局成型落地的核心要素，是打造</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一纵四横、河网交织、湖泊湿地星罗棋布</w:t>
      </w:r>
      <w:r>
        <w:rPr>
          <w:rFonts w:hint="eastAsia" w:ascii="Times New Roman" w:hAnsi="Times New Roman" w:eastAsia="仿宋" w:cs="Times New Roman"/>
          <w:sz w:val="32"/>
          <w:szCs w:val="24"/>
          <w14:ligatures w14:val="standardContextual"/>
        </w:rPr>
        <w:t>”蓝</w:t>
      </w:r>
      <w:r>
        <w:rPr>
          <w:rFonts w:ascii="Times New Roman" w:hAnsi="Times New Roman" w:eastAsia="仿宋" w:cs="Times New Roman"/>
          <w:sz w:val="32"/>
          <w:szCs w:val="24"/>
          <w14:ligatures w14:val="standardContextual"/>
        </w:rPr>
        <w:t>网系统的重要景观，</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十五五</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期间朝阳区计划打造示范性小微湿地不少于2处，新建公园绿地不少于10处，新增绿道100公里。以湿地为核心栖息地，朝阳区已成为珍稀动植物的庇护所，根据首次全域调查统计结果，累计观测各类物种近2000种，包括国家一级保护动物7种，二级保护动物27种，二级保护野生植物1种，北京市重点保护物种69种，中国特有种63种。</w:t>
      </w:r>
    </w:p>
    <w:p w14:paraId="71582B40">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（三）我国对湿地保护高度重视</w:t>
      </w:r>
    </w:p>
    <w:p w14:paraId="5E8025E4">
      <w:pPr>
        <w:ind w:firstLine="640" w:firstLineChars="200"/>
        <w:rPr>
          <w:rFonts w:ascii="Times New Roman" w:hAnsi="Times New Roman" w:eastAsia="仿宋" w:cs="Times New Roman"/>
          <w:sz w:val="32"/>
        </w:rPr>
      </w:pPr>
      <w:r>
        <w:rPr>
          <w:rFonts w:ascii="Times New Roman" w:hAnsi="Times New Roman" w:eastAsia="仿宋" w:cs="Times New Roman"/>
          <w:sz w:val="32"/>
        </w:rPr>
        <w:t>我国对湿地保护高度重视，将其作为生态文明建设的重要内容，并作出一系列决策部署，我国湿地保护事业取得高质量发展。《中华人民共和国湿地保护法》的颁布实施，为全国湿地保护提供了根本法治遵循，在此基础上，21个省（区、市）陆续完成省级湿地保护条例的制修订，形成了</w:t>
      </w:r>
      <w:r>
        <w:rPr>
          <w:rFonts w:hint="eastAsia" w:ascii="Times New Roman" w:hAnsi="Times New Roman" w:eastAsia="仿宋" w:cs="Times New Roman"/>
          <w:sz w:val="32"/>
        </w:rPr>
        <w:t>“</w:t>
      </w:r>
      <w:r>
        <w:rPr>
          <w:rFonts w:ascii="Times New Roman" w:hAnsi="Times New Roman" w:eastAsia="仿宋" w:cs="Times New Roman"/>
          <w:sz w:val="32"/>
        </w:rPr>
        <w:t>国家立法+地方配套</w:t>
      </w:r>
      <w:r>
        <w:rPr>
          <w:rFonts w:hint="eastAsia" w:ascii="Times New Roman" w:hAnsi="Times New Roman" w:eastAsia="仿宋" w:cs="Times New Roman"/>
          <w:sz w:val="32"/>
        </w:rPr>
        <w:t>”</w:t>
      </w:r>
      <w:r>
        <w:rPr>
          <w:rFonts w:ascii="Times New Roman" w:hAnsi="Times New Roman" w:eastAsia="仿宋" w:cs="Times New Roman"/>
          <w:sz w:val="32"/>
        </w:rPr>
        <w:t>的全链条法治体系。指定国际重要湿地82处，发布国家重要湿地80处、省级重要湿地1208处，认证国际湿地城市22个，设立国家湿地公园903处；持续开展湿地保护修复，累计实施3700多个项目，新增和修复湿地面积100余万公顷，累计营造红树林9200公顷，除治互花米草9.73万公顷。</w:t>
      </w:r>
    </w:p>
    <w:p w14:paraId="753A8E8A">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（四）贯彻落实相关法律条例的需要</w:t>
      </w:r>
    </w:p>
    <w:p w14:paraId="627B47DB">
      <w:pPr>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北京市湿地保护条例》明确规定：“市和区园林绿化部门应当会同生态环境、规划自然资源、发展改革、水务、农业农村等部门编制全市和区湿地保护发展规划，报本级人民政府批准后公布实施。区湿地保护发展规划应当符合全市湿地保护发展规划，并报市园林绿化部门备案”。《北京市湿地保护发展规划（2021—2035年）》（京绿办发〔2021〕202号）。也要求“制订各区湿地保护发展专项规划，与水资源、防洪、水土保持、环境保护等专项规划相互衔接，提高规划的执行效果”。2022年6月1日开始正式实施的《中华人民共和国湿地保护法》中明确规定：“县级以上地方人民政府林业草原主管部门应当会同有关部门，依据本级国土空间规划和上一级湿地保护规划编制本行政区域内的湿地保护规划，报同级人民政府批准后组织实施”。</w:t>
      </w:r>
      <w:r>
        <w:rPr>
          <w:rFonts w:hint="eastAsia" w:ascii="Times New Roman" w:hAnsi="Times New Roman" w:eastAsia="仿宋" w:cs="Times New Roman"/>
          <w:sz w:val="32"/>
          <w:szCs w:val="24"/>
          <w14:ligatures w14:val="standardContextual"/>
        </w:rPr>
        <w:t>2026年8月15日开始正式实施的《</w:t>
      </w:r>
      <w:r>
        <w:rPr>
          <w:rFonts w:ascii="Times New Roman" w:hAnsi="Times New Roman" w:eastAsia="仿宋" w:cs="Times New Roman"/>
          <w:sz w:val="32"/>
          <w:szCs w:val="24"/>
          <w14:ligatures w14:val="standardContextual"/>
        </w:rPr>
        <w:t>中华人民共和国生态环境法典</w:t>
      </w:r>
      <w:r>
        <w:rPr>
          <w:rFonts w:hint="eastAsia" w:ascii="Times New Roman" w:hAnsi="Times New Roman" w:eastAsia="仿宋" w:cs="Times New Roman"/>
          <w:sz w:val="32"/>
          <w:szCs w:val="24"/>
          <w14:ligatures w14:val="standardContextual"/>
        </w:rPr>
        <w:t>》中也明确规定：“</w:t>
      </w:r>
      <w:r>
        <w:rPr>
          <w:rFonts w:ascii="Times New Roman" w:hAnsi="Times New Roman" w:eastAsia="仿宋" w:cs="Times New Roman"/>
          <w:sz w:val="32"/>
          <w:szCs w:val="24"/>
          <w14:ligatures w14:val="standardContextual"/>
        </w:rPr>
        <w:t>县级以上地方人民政府林业草原主管部门可以根据实际需要，会同有关部门编制本行政区域的湿地保护规划。</w:t>
      </w:r>
      <w:r>
        <w:rPr>
          <w:rFonts w:hint="eastAsia" w:ascii="Times New Roman" w:hAnsi="Times New Roman" w:eastAsia="仿宋" w:cs="Times New Roman"/>
          <w:sz w:val="32"/>
          <w:szCs w:val="24"/>
          <w14:ligatures w14:val="standardContextual"/>
        </w:rPr>
        <w:t>”</w:t>
      </w:r>
    </w:p>
    <w:p w14:paraId="711A3200">
      <w:pPr>
        <w:pStyle w:val="2"/>
        <w:rPr>
          <w:rFonts w:hint="eastAsia"/>
        </w:rPr>
      </w:pPr>
    </w:p>
    <w:p w14:paraId="1A4CD8DB">
      <w:pPr>
        <w:jc w:val="left"/>
        <w:rPr>
          <w:rFonts w:hint="eastAsia"/>
          <w:sz w:val="22"/>
          <w:szCs w:val="24"/>
          <w14:ligatures w14:val="standardContextual"/>
        </w:rPr>
        <w:sectPr>
          <w:footerReference r:id="rId6" w:type="default"/>
          <w:pgSz w:w="11906" w:h="16838"/>
          <w:pgMar w:top="1440" w:right="1800" w:bottom="1440" w:left="1800" w:header="851" w:footer="992" w:gutter="0"/>
          <w:pgNumType w:start="1"/>
          <w:cols w:space="425" w:num="1"/>
          <w:docGrid w:type="lines" w:linePitch="312" w:charSpace="0"/>
        </w:sectPr>
      </w:pPr>
    </w:p>
    <w:p w14:paraId="6C3D67F4">
      <w:pPr>
        <w:keepNext/>
        <w:keepLines/>
        <w:spacing w:before="340" w:after="330" w:line="578" w:lineRule="auto"/>
        <w:jc w:val="center"/>
        <w:outlineLvl w:val="0"/>
        <w:rPr>
          <w:rFonts w:ascii="Times New Roman" w:hAnsi="Times New Roman" w:eastAsia="仿宋" w:cs="Times New Roman"/>
          <w:b/>
          <w:bCs/>
          <w:kern w:val="44"/>
          <w:sz w:val="36"/>
          <w:szCs w:val="36"/>
        </w:rPr>
      </w:pPr>
      <w:bookmarkStart w:id="23" w:name="_Toc91078472"/>
      <w:bookmarkStart w:id="24" w:name="_Toc150720905"/>
      <w:bookmarkStart w:id="25" w:name="_Toc1038"/>
      <w:bookmarkStart w:id="26" w:name="_Toc240204662"/>
      <w:r>
        <w:rPr>
          <w:rFonts w:ascii="Times New Roman" w:hAnsi="Times New Roman" w:eastAsia="仿宋" w:cs="Times New Roman"/>
          <w:b/>
          <w:bCs/>
          <w:kern w:val="44"/>
          <w:sz w:val="36"/>
          <w:szCs w:val="36"/>
        </w:rPr>
        <w:t>第二章</w:t>
      </w:r>
      <w:bookmarkStart w:id="27" w:name="_Hlk26260666"/>
      <w:r>
        <w:rPr>
          <w:rFonts w:ascii="Times New Roman" w:hAnsi="Times New Roman" w:eastAsia="仿宋" w:cs="Times New Roman"/>
          <w:b/>
          <w:bCs/>
          <w:kern w:val="44"/>
          <w:sz w:val="36"/>
          <w:szCs w:val="36"/>
        </w:rPr>
        <w:t xml:space="preserve"> 指导思想和目标</w:t>
      </w:r>
      <w:bookmarkEnd w:id="23"/>
      <w:bookmarkEnd w:id="24"/>
      <w:bookmarkEnd w:id="25"/>
      <w:bookmarkEnd w:id="26"/>
      <w:bookmarkEnd w:id="27"/>
    </w:p>
    <w:p w14:paraId="0AC9E345">
      <w:pPr>
        <w:keepNext/>
        <w:keepLines/>
        <w:spacing w:before="260" w:after="260" w:line="416" w:lineRule="auto"/>
        <w:outlineLvl w:val="1"/>
        <w:rPr>
          <w:rFonts w:ascii="Times New Roman" w:hAnsi="Times New Roman" w:eastAsia="仿宋" w:cs="Times New Roman"/>
          <w:b/>
          <w:bCs/>
          <w:sz w:val="32"/>
          <w:szCs w:val="32"/>
        </w:rPr>
      </w:pPr>
      <w:bookmarkStart w:id="28" w:name="_Toc26722"/>
      <w:bookmarkStart w:id="29" w:name="_Toc240204663"/>
      <w:bookmarkStart w:id="30" w:name="_Toc150720906"/>
      <w:bookmarkStart w:id="31" w:name="_Toc91078473"/>
      <w:r>
        <w:rPr>
          <w:rFonts w:ascii="Times New Roman" w:hAnsi="Times New Roman" w:eastAsia="仿宋" w:cs="Times New Roman"/>
          <w:b/>
          <w:bCs/>
          <w:sz w:val="32"/>
          <w:szCs w:val="32"/>
        </w:rPr>
        <w:t>一、指导思想</w:t>
      </w:r>
      <w:bookmarkEnd w:id="28"/>
      <w:bookmarkEnd w:id="29"/>
      <w:bookmarkEnd w:id="30"/>
      <w:bookmarkEnd w:id="31"/>
    </w:p>
    <w:p w14:paraId="7E2089A2">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坚持</w:t>
      </w:r>
      <w:r>
        <w:rPr>
          <w:rFonts w:hint="eastAsia" w:ascii="Times New Roman" w:hAnsi="Times New Roman" w:eastAsia="仿宋" w:cs="Times New Roman"/>
          <w:sz w:val="32"/>
        </w:rPr>
        <w:t>“</w:t>
      </w:r>
      <w:r>
        <w:rPr>
          <w:rFonts w:ascii="Times New Roman" w:hAnsi="Times New Roman" w:eastAsia="仿宋" w:cs="Times New Roman"/>
          <w:sz w:val="32"/>
        </w:rPr>
        <w:t>绿水青山就是金山银山</w:t>
      </w:r>
      <w:r>
        <w:rPr>
          <w:rFonts w:hint="eastAsia" w:ascii="Times New Roman" w:hAnsi="Times New Roman" w:eastAsia="仿宋" w:cs="Times New Roman"/>
          <w:sz w:val="32"/>
        </w:rPr>
        <w:t>”</w:t>
      </w:r>
      <w:r>
        <w:rPr>
          <w:rFonts w:ascii="Times New Roman" w:hAnsi="Times New Roman" w:eastAsia="仿宋" w:cs="Times New Roman"/>
          <w:sz w:val="32"/>
        </w:rPr>
        <w:t>的发展理念，统筹生态保护与区域高质量发展，紧扣美丽中国、美丽北京、美丽朝阳建设总体部署，遵循山水林田湖草沙一体化保护和系统治理思路，立足朝阳区国际化城区、平原城市湿地、五河贯通、绿隔空间连片资源禀赋与城市功能定位，坚持统筹降碳、减污、扩绿、增长协同推进，严守湿地总量管控底线，统筹湿地生态保护修复、智慧监测、科普宣教、惠民共享与可持续利用，打造首都中心城区湿地保护修复样板、国际一流宜居城区蓝绿生态名片，持续提升区域生态安全保障能力，不断增强群众生态获得感、幸福感、安全感，为朝阳区减量提质、绿色低碳高质量发展、建设人与自然和谐共生的现代化城区筑牢湿地生态支撑。</w:t>
      </w:r>
    </w:p>
    <w:p w14:paraId="414CF533">
      <w:pPr>
        <w:keepNext/>
        <w:keepLines/>
        <w:spacing w:before="260" w:after="260" w:line="416" w:lineRule="auto"/>
        <w:outlineLvl w:val="1"/>
        <w:rPr>
          <w:rFonts w:ascii="Times New Roman" w:hAnsi="Times New Roman" w:eastAsia="仿宋" w:cs="Times New Roman"/>
          <w:b/>
          <w:bCs/>
          <w:sz w:val="32"/>
          <w:szCs w:val="32"/>
        </w:rPr>
      </w:pPr>
      <w:bookmarkStart w:id="32" w:name="_Toc240204664"/>
      <w:bookmarkStart w:id="33" w:name="_Toc150720907"/>
      <w:bookmarkStart w:id="34" w:name="_Toc17672"/>
      <w:r>
        <w:rPr>
          <w:rFonts w:ascii="Times New Roman" w:hAnsi="Times New Roman" w:eastAsia="仿宋" w:cs="Times New Roman"/>
          <w:b/>
          <w:bCs/>
          <w:sz w:val="32"/>
          <w:szCs w:val="32"/>
        </w:rPr>
        <w:t>二、规划原则</w:t>
      </w:r>
      <w:bookmarkEnd w:id="32"/>
      <w:bookmarkEnd w:id="33"/>
      <w:bookmarkEnd w:id="34"/>
    </w:p>
    <w:p w14:paraId="40678E5A">
      <w:pPr>
        <w:spacing w:before="120" w:after="120"/>
        <w:ind w:firstLine="643" w:firstLineChars="200"/>
        <w:rPr>
          <w:rFonts w:ascii="Times New Roman" w:hAnsi="Times New Roman" w:eastAsia="仿宋" w:cs="Times New Roman"/>
          <w:sz w:val="32"/>
        </w:rPr>
      </w:pPr>
      <w:r>
        <w:rPr>
          <w:rFonts w:ascii="Times New Roman" w:hAnsi="Times New Roman" w:eastAsia="仿宋" w:cs="Times New Roman"/>
          <w:b/>
          <w:bCs/>
          <w:sz w:val="32"/>
        </w:rPr>
        <w:t>（一）生态优先、保护恢复</w:t>
      </w:r>
      <w:r>
        <w:rPr>
          <w:rFonts w:ascii="Times New Roman" w:hAnsi="Times New Roman" w:eastAsia="仿宋" w:cs="Times New Roman"/>
          <w:sz w:val="32"/>
        </w:rPr>
        <w:t>。坚持生态与保护优先原则，严守湿地生态红线和湿地保有量底线，坚决杜绝随意侵占、破坏和过度开发湿地资源。立足朝阳区城市湿地、河网湿地、小微湿地集中分布的特点，以维护湿地生态系统完整性、稳定性和自然性为核心，优先保护重要湿地、河湖滨岸带、候鸟栖息地和生物敏感区域，持续修复受损湿地生态功能，筑牢城区生态安全屏障。</w:t>
      </w:r>
    </w:p>
    <w:p w14:paraId="5FCCF0F4">
      <w:pPr>
        <w:spacing w:before="120" w:after="120"/>
        <w:ind w:firstLine="643"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b/>
          <w:bCs/>
          <w:sz w:val="32"/>
          <w:szCs w:val="24"/>
          <w14:ligatures w14:val="standardContextual"/>
        </w:rPr>
        <w:t>（二）系统治理，统筹协同。</w:t>
      </w:r>
      <w:r>
        <w:rPr>
          <w:rFonts w:ascii="Times New Roman" w:hAnsi="Times New Roman" w:eastAsia="仿宋" w:cs="Times New Roman"/>
          <w:sz w:val="32"/>
          <w:szCs w:val="24"/>
          <w14:ligatures w14:val="standardContextual"/>
        </w:rPr>
        <w:t>坚持山水林田湖草沙一体化保护和系统治理，打破单点、碎片化治理模式，统筹陆地与水域、上游与下游、城市建设与生态保护。对接朝阳区</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两环六楔、五河十园</w:t>
      </w:r>
      <w:r>
        <w:rPr>
          <w:rFonts w:hint="eastAsia" w:ascii="Times New Roman" w:hAnsi="Times New Roman" w:eastAsia="仿宋" w:cs="Times New Roman"/>
          <w:sz w:val="32"/>
          <w:szCs w:val="24"/>
          <w14:ligatures w14:val="standardContextual"/>
        </w:rPr>
        <w:t>”</w:t>
      </w:r>
      <w:r>
        <w:rPr>
          <w:rFonts w:ascii="Times New Roman" w:hAnsi="Times New Roman" w:eastAsia="仿宋" w:cs="Times New Roman"/>
          <w:sz w:val="32"/>
          <w:szCs w:val="24"/>
          <w14:ligatures w14:val="standardContextual"/>
        </w:rPr>
        <w:t>蓝绿空间格局，统筹温榆河、坝河等主要河湖水系湿地、郊野湿地、城市小微湿地协同保护修复，实现湿地水系连通、生境贯通、功能互通，推动湿地保护与</w:t>
      </w:r>
      <w:r>
        <w:rPr>
          <w:rFonts w:hint="eastAsia" w:ascii="Times New Roman" w:hAnsi="Times New Roman" w:eastAsia="仿宋" w:cs="Times New Roman"/>
          <w:sz w:val="32"/>
          <w:szCs w:val="24"/>
          <w14:ligatures w14:val="standardContextual"/>
        </w:rPr>
        <w:t>花园城市、</w:t>
      </w:r>
      <w:r>
        <w:rPr>
          <w:rFonts w:ascii="Times New Roman" w:hAnsi="Times New Roman" w:eastAsia="仿宋" w:cs="Times New Roman"/>
          <w:sz w:val="32"/>
          <w:szCs w:val="24"/>
          <w14:ligatures w14:val="standardContextual"/>
        </w:rPr>
        <w:t>城市更新、海绵城市、园林绿化、水环境治理深度融合。</w:t>
      </w:r>
    </w:p>
    <w:p w14:paraId="5444ADCF">
      <w:pPr>
        <w:spacing w:before="120" w:after="120"/>
        <w:ind w:firstLine="640" w:firstLineChars="200"/>
        <w:rPr>
          <w:rFonts w:ascii="Times New Roman" w:hAnsi="Times New Roman" w:eastAsia="仿宋" w:cs="Times New Roman"/>
          <w:sz w:val="32"/>
          <w:szCs w:val="24"/>
          <w14:ligatures w14:val="standardContextual"/>
        </w:rPr>
      </w:pPr>
      <w:r>
        <w:rPr>
          <w:rFonts w:ascii="Times New Roman" w:hAnsi="Times New Roman" w:eastAsia="仿宋" w:cs="Times New Roman"/>
          <w:sz w:val="32"/>
          <w:szCs w:val="24"/>
          <w14:ligatures w14:val="standardContextual"/>
        </w:rPr>
        <w:t>（三）</w:t>
      </w:r>
      <w:r>
        <w:rPr>
          <w:rFonts w:ascii="Times New Roman" w:hAnsi="Times New Roman" w:eastAsia="仿宋" w:cs="Times New Roman"/>
          <w:b/>
          <w:bCs/>
          <w:sz w:val="32"/>
          <w:szCs w:val="24"/>
          <w14:ligatures w14:val="standardContextual"/>
        </w:rPr>
        <w:t>科学修复，因地制宜。</w:t>
      </w:r>
      <w:r>
        <w:rPr>
          <w:rFonts w:ascii="Times New Roman" w:hAnsi="Times New Roman" w:eastAsia="仿宋" w:cs="Times New Roman"/>
          <w:sz w:val="32"/>
          <w:szCs w:val="24"/>
          <w14:ligatures w14:val="standardContextual"/>
        </w:rPr>
        <w:t>立足朝阳区平原城区湿地资源特征，尊重湿地自然演替规律，坚持自然修复为主、人工修复为辅，分类施策、因地制宜开展湿地保护与修复工作。针对城区湿地面积小、分布散、人为干扰强、生境单一等突出问题，精准实施湿地植被重构、水质提升、栖息地优化、水系连通等科学修复措施，提升湿地生态系统自我修复能力和综合服务功能。</w:t>
      </w:r>
    </w:p>
    <w:p w14:paraId="69CCD0FD">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（四）</w:t>
      </w:r>
      <w:r>
        <w:rPr>
          <w:rFonts w:ascii="Times New Roman" w:hAnsi="Times New Roman" w:eastAsia="仿宋" w:cs="Times New Roman"/>
          <w:b/>
          <w:bCs/>
          <w:sz w:val="32"/>
        </w:rPr>
        <w:t>依法管控，智慧赋能</w:t>
      </w:r>
      <w:r>
        <w:rPr>
          <w:rFonts w:ascii="Times New Roman" w:hAnsi="Times New Roman" w:eastAsia="仿宋" w:cs="Times New Roman"/>
          <w:sz w:val="32"/>
        </w:rPr>
        <w:t>。严格贯彻落实《湿地保护法》《北京市湿地保护条例》等法律法规，健全湿地分级管理、用途管控、占用审批、执法监管长效机制。依托数字化、智慧化监测手段，完善全区湿地资源动态监测、巡查管护、风险预警体系，压实林长制、河湖长制管护责任，构建权责清晰、监管严格、运行高效、协同共治的现代化湿地治理体系，全面提升区域湿地保护规范化、精细化、智慧化水平。</w:t>
      </w:r>
    </w:p>
    <w:p w14:paraId="717A5E3D">
      <w:pPr>
        <w:keepNext/>
        <w:keepLines/>
        <w:spacing w:before="260" w:after="260" w:line="416" w:lineRule="auto"/>
        <w:outlineLvl w:val="1"/>
        <w:rPr>
          <w:rFonts w:ascii="Times New Roman" w:hAnsi="Times New Roman" w:eastAsia="仿宋" w:cs="Times New Roman"/>
          <w:b/>
          <w:bCs/>
          <w:sz w:val="32"/>
          <w:szCs w:val="32"/>
        </w:rPr>
      </w:pPr>
      <w:bookmarkStart w:id="35" w:name="_Toc18723"/>
      <w:bookmarkStart w:id="36" w:name="_Toc240204665"/>
      <w:bookmarkStart w:id="37" w:name="_Toc150720908"/>
      <w:r>
        <w:rPr>
          <w:rFonts w:ascii="Times New Roman" w:hAnsi="Times New Roman" w:eastAsia="仿宋" w:cs="Times New Roman"/>
          <w:b/>
          <w:bCs/>
          <w:sz w:val="32"/>
          <w:szCs w:val="32"/>
        </w:rPr>
        <w:t>三、规划依据</w:t>
      </w:r>
      <w:bookmarkEnd w:id="35"/>
      <w:bookmarkEnd w:id="36"/>
      <w:bookmarkEnd w:id="37"/>
    </w:p>
    <w:p w14:paraId="7E7E2C50">
      <w:pPr>
        <w:ind w:firstLine="643" w:firstLineChars="200"/>
        <w:rPr>
          <w:rFonts w:ascii="Times New Roman" w:hAnsi="Times New Roman" w:eastAsia="仿宋" w:cs="Times New Roman"/>
          <w:b/>
          <w:sz w:val="32"/>
        </w:rPr>
      </w:pPr>
      <w:r>
        <w:rPr>
          <w:rFonts w:ascii="Times New Roman" w:hAnsi="Times New Roman" w:eastAsia="仿宋" w:cs="Times New Roman"/>
          <w:b/>
          <w:sz w:val="32"/>
        </w:rPr>
        <w:t>（一）法律法规</w:t>
      </w:r>
    </w:p>
    <w:p w14:paraId="25A6DB3C">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中华人民共和国生态环境法典</w:t>
      </w:r>
      <w:r>
        <w:rPr>
          <w:rFonts w:hint="eastAsia" w:ascii="Times New Roman" w:hAnsi="Times New Roman" w:eastAsia="仿宋" w:cs="Times New Roman"/>
          <w:sz w:val="32"/>
        </w:rPr>
        <w:t>》（2026年实施）</w:t>
      </w:r>
    </w:p>
    <w:p w14:paraId="4976F777">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《中华人民共和国湿地保护法》（2022年实施）</w:t>
      </w:r>
    </w:p>
    <w:p w14:paraId="74007A8D">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《中华人民共和国野生动物保护法》（2022年修订）</w:t>
      </w:r>
    </w:p>
    <w:p w14:paraId="516A69C2">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《中华人民共和国城乡规划法》（2019年修正）</w:t>
      </w:r>
    </w:p>
    <w:p w14:paraId="7A681F19">
      <w:pPr>
        <w:spacing w:line="360" w:lineRule="auto"/>
        <w:ind w:firstLine="640" w:firstLineChars="200"/>
        <w:rPr>
          <w:rFonts w:ascii="Times New Roman" w:hAnsi="Times New Roman" w:eastAsia="仿宋" w:cs="Times New Roman"/>
          <w:sz w:val="32"/>
        </w:rPr>
      </w:pPr>
      <w:bookmarkStart w:id="38" w:name="_Hlk46338333"/>
      <w:r>
        <w:rPr>
          <w:rFonts w:ascii="Times New Roman" w:hAnsi="Times New Roman" w:eastAsia="仿宋" w:cs="Times New Roman"/>
          <w:sz w:val="32"/>
        </w:rPr>
        <w:t>《中华人民共和国土地管理法》（2019年修正）</w:t>
      </w:r>
    </w:p>
    <w:bookmarkEnd w:id="38"/>
    <w:p w14:paraId="095E0E82">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《中华人民共和国水法》（2016年修正）</w:t>
      </w:r>
    </w:p>
    <w:p w14:paraId="785F3F3B">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《中华人民共和国防洪法》（2016年修正）</w:t>
      </w:r>
    </w:p>
    <w:p w14:paraId="7909A880">
      <w:pPr>
        <w:ind w:firstLine="640" w:firstLineChars="200"/>
        <w:rPr>
          <w:rFonts w:ascii="Times New Roman" w:hAnsi="Times New Roman" w:eastAsia="仿宋" w:cs="Times New Roman"/>
          <w:sz w:val="32"/>
        </w:rPr>
      </w:pPr>
      <w:r>
        <w:rPr>
          <w:rFonts w:ascii="Times New Roman" w:hAnsi="Times New Roman" w:eastAsia="仿宋" w:cs="Times New Roman"/>
          <w:sz w:val="32"/>
        </w:rPr>
        <w:t>《北京市湿地保护条例》（2019年修正）</w:t>
      </w:r>
    </w:p>
    <w:p w14:paraId="02923043">
      <w:pPr>
        <w:ind w:firstLine="640" w:firstLineChars="200"/>
        <w:rPr>
          <w:rFonts w:ascii="Times New Roman" w:hAnsi="Times New Roman" w:eastAsia="仿宋" w:cs="Times New Roman"/>
          <w:sz w:val="32"/>
        </w:rPr>
      </w:pPr>
      <w:r>
        <w:rPr>
          <w:rFonts w:ascii="Times New Roman" w:hAnsi="Times New Roman" w:eastAsia="仿宋" w:cs="Times New Roman"/>
          <w:sz w:val="32"/>
        </w:rPr>
        <w:t>《湿地保护管理规定》（2018年实施）</w:t>
      </w:r>
    </w:p>
    <w:p w14:paraId="3D523443">
      <w:pPr>
        <w:ind w:firstLine="640" w:firstLineChars="200"/>
        <w:rPr>
          <w:rFonts w:ascii="Times New Roman" w:hAnsi="Times New Roman" w:eastAsia="仿宋" w:cs="Times New Roman"/>
          <w:sz w:val="32"/>
        </w:rPr>
      </w:pPr>
      <w:r>
        <w:rPr>
          <w:rFonts w:ascii="Times New Roman" w:hAnsi="Times New Roman" w:eastAsia="仿宋" w:cs="Times New Roman"/>
          <w:sz w:val="32"/>
        </w:rPr>
        <w:t>《北京市河湖保护管理条例》（2019年修正）</w:t>
      </w:r>
    </w:p>
    <w:p w14:paraId="15ABB17B">
      <w:pPr>
        <w:ind w:firstLine="643" w:firstLineChars="200"/>
        <w:rPr>
          <w:rFonts w:ascii="Times New Roman" w:hAnsi="Times New Roman" w:eastAsia="仿宋" w:cs="Times New Roman"/>
          <w:b/>
          <w:sz w:val="32"/>
        </w:rPr>
      </w:pPr>
      <w:r>
        <w:rPr>
          <w:rFonts w:ascii="Times New Roman" w:hAnsi="Times New Roman" w:eastAsia="仿宋" w:cs="Times New Roman"/>
          <w:b/>
          <w:sz w:val="32"/>
        </w:rPr>
        <w:t>（二）政策文件</w:t>
      </w:r>
    </w:p>
    <w:p w14:paraId="76C47C92">
      <w:pPr>
        <w:ind w:firstLine="640" w:firstLineChars="200"/>
        <w:rPr>
          <w:rFonts w:ascii="Times New Roman" w:hAnsi="Times New Roman" w:eastAsia="仿宋" w:cs="Times New Roman"/>
          <w:sz w:val="32"/>
        </w:rPr>
      </w:pPr>
      <w:r>
        <w:rPr>
          <w:rFonts w:ascii="Times New Roman" w:hAnsi="Times New Roman" w:eastAsia="仿宋" w:cs="Times New Roman"/>
          <w:sz w:val="32"/>
        </w:rPr>
        <w:t>《中共中央国务院关于加快推进生态文明建设的意见》（2015年）</w:t>
      </w:r>
    </w:p>
    <w:p w14:paraId="6AEBD26A">
      <w:pPr>
        <w:ind w:firstLine="640" w:firstLineChars="200"/>
        <w:rPr>
          <w:rFonts w:ascii="Times New Roman" w:hAnsi="Times New Roman" w:eastAsia="仿宋" w:cs="Times New Roman"/>
          <w:sz w:val="32"/>
        </w:rPr>
      </w:pPr>
      <w:r>
        <w:rPr>
          <w:rFonts w:ascii="Times New Roman" w:hAnsi="Times New Roman" w:eastAsia="仿宋" w:cs="Times New Roman"/>
          <w:sz w:val="32"/>
        </w:rPr>
        <w:t>《生态文明体制改革总体方案》（中发〔2015〕25号）</w:t>
      </w:r>
    </w:p>
    <w:p w14:paraId="73F42391">
      <w:pPr>
        <w:ind w:left="105" w:leftChars="50" w:firstLine="480" w:firstLineChars="150"/>
        <w:rPr>
          <w:rFonts w:ascii="Times New Roman" w:hAnsi="Times New Roman" w:eastAsia="仿宋" w:cs="Times New Roman"/>
          <w:sz w:val="32"/>
        </w:rPr>
      </w:pPr>
      <w:r>
        <w:rPr>
          <w:rFonts w:ascii="Times New Roman" w:hAnsi="Times New Roman" w:eastAsia="仿宋" w:cs="Times New Roman"/>
          <w:sz w:val="32"/>
        </w:rPr>
        <w:t>《国务院办公厅关于印发湿地保护修复制度方案的通知》（国办发〔2016〕89号）</w:t>
      </w:r>
    </w:p>
    <w:p w14:paraId="780563A3">
      <w:pPr>
        <w:ind w:left="105" w:leftChars="50" w:firstLine="480" w:firstLineChars="150"/>
        <w:rPr>
          <w:rFonts w:ascii="Times New Roman" w:hAnsi="Times New Roman" w:eastAsia="仿宋" w:cs="Times New Roman"/>
          <w:sz w:val="32"/>
        </w:rPr>
      </w:pPr>
      <w:r>
        <w:rPr>
          <w:rFonts w:ascii="Times New Roman" w:hAnsi="Times New Roman" w:eastAsia="仿宋" w:cs="Times New Roman"/>
          <w:sz w:val="32"/>
        </w:rPr>
        <w:t>《国务院办公厅关于鼓励和支持社会资本参与生态保护修复的意见》（国办发〔2021〕40号）</w:t>
      </w:r>
    </w:p>
    <w:p w14:paraId="01CC6F10">
      <w:pPr>
        <w:ind w:firstLine="640" w:firstLineChars="200"/>
        <w:rPr>
          <w:rFonts w:ascii="Times New Roman" w:hAnsi="Times New Roman" w:eastAsia="仿宋" w:cs="Times New Roman"/>
          <w:sz w:val="32"/>
        </w:rPr>
      </w:pPr>
      <w:r>
        <w:rPr>
          <w:rFonts w:ascii="Times New Roman" w:hAnsi="Times New Roman" w:eastAsia="仿宋" w:cs="Times New Roman"/>
          <w:sz w:val="32"/>
        </w:rPr>
        <w:t>《住房城乡建设部关于印发&lt;城市湿地公园管理办法&gt;的通知》（建城〔2017〕222号）</w:t>
      </w:r>
    </w:p>
    <w:p w14:paraId="1ACD5C42">
      <w:pPr>
        <w:ind w:firstLine="640" w:firstLineChars="200"/>
        <w:rPr>
          <w:rFonts w:ascii="Times New Roman" w:hAnsi="Times New Roman" w:eastAsia="仿宋" w:cs="Times New Roman"/>
          <w:sz w:val="32"/>
        </w:rPr>
      </w:pPr>
      <w:r>
        <w:rPr>
          <w:rFonts w:ascii="Times New Roman" w:hAnsi="Times New Roman" w:eastAsia="仿宋" w:cs="Times New Roman"/>
          <w:sz w:val="32"/>
        </w:rPr>
        <w:t>《自然资源部 生态环境部 国家林业和草原局关于加强生态保护红线管理的通知（试行）》（自然资发〔2022〕142号）</w:t>
      </w:r>
    </w:p>
    <w:p w14:paraId="5359003B">
      <w:pPr>
        <w:ind w:firstLine="640" w:firstLineChars="200"/>
        <w:rPr>
          <w:rFonts w:ascii="Times New Roman" w:hAnsi="Times New Roman" w:eastAsia="仿宋" w:cs="Times New Roman"/>
          <w:sz w:val="32"/>
        </w:rPr>
      </w:pPr>
      <w:r>
        <w:rPr>
          <w:rFonts w:ascii="Times New Roman" w:hAnsi="Times New Roman" w:eastAsia="仿宋" w:cs="Times New Roman"/>
          <w:sz w:val="32"/>
        </w:rPr>
        <w:t>《国家林业局关于严格禁止围垦占用湖泊湿地的通知》（林湿发〔2015〕62号）</w:t>
      </w:r>
    </w:p>
    <w:p w14:paraId="186AC761">
      <w:pPr>
        <w:ind w:firstLine="640" w:firstLineChars="200"/>
        <w:rPr>
          <w:rFonts w:ascii="Times New Roman" w:hAnsi="Times New Roman" w:eastAsia="仿宋" w:cs="Times New Roman"/>
          <w:sz w:val="32"/>
        </w:rPr>
      </w:pPr>
      <w:r>
        <w:rPr>
          <w:rFonts w:ascii="Times New Roman" w:hAnsi="Times New Roman" w:eastAsia="仿宋" w:cs="Times New Roman"/>
          <w:sz w:val="32"/>
        </w:rPr>
        <w:t>《北京市人民政府办公厅关于进一步加强本市湿地保护管理工作的意见》（京政办发〔2011〕69号）</w:t>
      </w:r>
    </w:p>
    <w:p w14:paraId="536F95F3">
      <w:pPr>
        <w:ind w:firstLine="640" w:firstLineChars="200"/>
        <w:rPr>
          <w:rFonts w:ascii="Times New Roman" w:hAnsi="Times New Roman" w:eastAsia="仿宋" w:cs="Times New Roman"/>
          <w:sz w:val="32"/>
        </w:rPr>
      </w:pPr>
      <w:r>
        <w:rPr>
          <w:rFonts w:ascii="Times New Roman" w:hAnsi="Times New Roman" w:eastAsia="仿宋" w:cs="Times New Roman"/>
          <w:sz w:val="32"/>
        </w:rPr>
        <w:t>《北京市人民政府关于加快推进河湖水系连通及水资源循环利用工作的意见》（京政发〔2015〕8号）</w:t>
      </w:r>
    </w:p>
    <w:p w14:paraId="7AD87094">
      <w:pPr>
        <w:ind w:firstLine="640" w:firstLineChars="200"/>
        <w:rPr>
          <w:rFonts w:ascii="Times New Roman" w:hAnsi="Times New Roman" w:eastAsia="仿宋" w:cs="Times New Roman"/>
          <w:sz w:val="32"/>
        </w:rPr>
      </w:pPr>
      <w:r>
        <w:rPr>
          <w:rFonts w:ascii="Times New Roman" w:hAnsi="Times New Roman" w:eastAsia="仿宋" w:cs="Times New Roman"/>
          <w:sz w:val="32"/>
        </w:rPr>
        <w:t>《中共北京市委北京市人民政府关于全面提升生态文明水平推进国际一流和谐宜居之都建设的实施意见》（2016年）</w:t>
      </w:r>
    </w:p>
    <w:p w14:paraId="5C63CDC8">
      <w:pPr>
        <w:ind w:firstLine="640" w:firstLineChars="200"/>
        <w:rPr>
          <w:rFonts w:ascii="Times New Roman" w:hAnsi="Times New Roman" w:eastAsia="仿宋" w:cs="Times New Roman"/>
          <w:sz w:val="32"/>
        </w:rPr>
      </w:pPr>
      <w:r>
        <w:rPr>
          <w:rFonts w:ascii="Times New Roman" w:hAnsi="Times New Roman" w:eastAsia="仿宋" w:cs="Times New Roman"/>
          <w:sz w:val="32"/>
          <w:szCs w:val="21"/>
        </w:rPr>
        <w:t>《北京市人民政府办公厅关于公布第</w:t>
      </w:r>
      <w:r>
        <w:rPr>
          <w:rFonts w:hint="eastAsia" w:ascii="Times New Roman" w:hAnsi="Times New Roman" w:eastAsia="仿宋" w:cs="Times New Roman"/>
          <w:sz w:val="32"/>
          <w:szCs w:val="21"/>
        </w:rPr>
        <w:t>二</w:t>
      </w:r>
      <w:r>
        <w:rPr>
          <w:rFonts w:ascii="Times New Roman" w:hAnsi="Times New Roman" w:eastAsia="仿宋" w:cs="Times New Roman"/>
          <w:sz w:val="32"/>
          <w:szCs w:val="21"/>
        </w:rPr>
        <w:t>批市级湿地名录的通知》（京</w:t>
      </w:r>
      <w:r>
        <w:rPr>
          <w:rFonts w:ascii="Times New Roman" w:hAnsi="Times New Roman" w:eastAsia="仿宋" w:cs="Times New Roman"/>
          <w:sz w:val="32"/>
        </w:rPr>
        <w:t>政办发〔20</w:t>
      </w:r>
      <w:r>
        <w:rPr>
          <w:rFonts w:hint="eastAsia" w:ascii="Times New Roman" w:hAnsi="Times New Roman" w:eastAsia="仿宋" w:cs="Times New Roman"/>
          <w:sz w:val="32"/>
        </w:rPr>
        <w:t>20</w:t>
      </w:r>
      <w:r>
        <w:rPr>
          <w:rFonts w:ascii="Times New Roman" w:hAnsi="Times New Roman" w:eastAsia="仿宋" w:cs="Times New Roman"/>
          <w:sz w:val="32"/>
        </w:rPr>
        <w:t>〕3</w:t>
      </w:r>
      <w:r>
        <w:rPr>
          <w:rFonts w:hint="eastAsia" w:ascii="Times New Roman" w:hAnsi="Times New Roman" w:eastAsia="仿宋" w:cs="Times New Roman"/>
          <w:sz w:val="32"/>
        </w:rPr>
        <w:t>2</w:t>
      </w:r>
      <w:r>
        <w:rPr>
          <w:rFonts w:ascii="Times New Roman" w:hAnsi="Times New Roman" w:eastAsia="仿宋" w:cs="Times New Roman"/>
          <w:sz w:val="32"/>
        </w:rPr>
        <w:t>号）</w:t>
      </w:r>
    </w:p>
    <w:p w14:paraId="7BDA60C6">
      <w:pPr>
        <w:ind w:firstLine="640" w:firstLineChars="200"/>
        <w:rPr>
          <w:rFonts w:ascii="Times New Roman" w:hAnsi="Times New Roman" w:eastAsia="仿宋" w:cs="Times New Roman"/>
          <w:sz w:val="32"/>
        </w:rPr>
      </w:pPr>
      <w:r>
        <w:rPr>
          <w:rFonts w:ascii="Times New Roman" w:hAnsi="Times New Roman" w:eastAsia="仿宋" w:cs="Times New Roman"/>
          <w:sz w:val="32"/>
        </w:rPr>
        <w:t>《北京市人民政府办公厅关于印发&lt;北京市湿地保护修复工作方案&gt;的通知》（京政办字〔2018〕3号）</w:t>
      </w:r>
    </w:p>
    <w:p w14:paraId="03BF7416">
      <w:pPr>
        <w:ind w:firstLine="640" w:firstLineChars="200"/>
        <w:rPr>
          <w:rFonts w:ascii="Times New Roman" w:hAnsi="Times New Roman" w:eastAsia="仿宋" w:cs="Times New Roman"/>
          <w:sz w:val="32"/>
        </w:rPr>
      </w:pPr>
      <w:r>
        <w:rPr>
          <w:rFonts w:ascii="Times New Roman" w:hAnsi="Times New Roman" w:eastAsia="仿宋" w:cs="Times New Roman"/>
          <w:sz w:val="32"/>
        </w:rPr>
        <w:t>《北京市园林绿化局关于贯彻落实&lt;北京市人民政府办公厅关于进一步加强本市湿地保护管理工作的意见&gt;的通知》（京绿保发〔2012〕3号）</w:t>
      </w:r>
    </w:p>
    <w:p w14:paraId="62D50FAF">
      <w:pPr>
        <w:ind w:firstLine="640" w:firstLineChars="200"/>
        <w:rPr>
          <w:rFonts w:ascii="Times New Roman" w:hAnsi="Times New Roman" w:eastAsia="仿宋" w:cs="Times New Roman"/>
          <w:sz w:val="32"/>
        </w:rPr>
      </w:pPr>
      <w:r>
        <w:rPr>
          <w:rFonts w:ascii="Times New Roman" w:hAnsi="Times New Roman" w:eastAsia="仿宋" w:cs="Times New Roman"/>
          <w:sz w:val="32"/>
        </w:rPr>
        <w:t>《关于加强本市绿化隔离地区公园建设和管理的指导意见》（京绿办发〔2021〕75 号）</w:t>
      </w:r>
    </w:p>
    <w:p w14:paraId="22C7A669">
      <w:pPr>
        <w:ind w:firstLine="643" w:firstLineChars="200"/>
        <w:rPr>
          <w:rFonts w:ascii="Times New Roman" w:hAnsi="Times New Roman" w:eastAsia="仿宋" w:cs="Times New Roman"/>
          <w:b/>
          <w:sz w:val="32"/>
        </w:rPr>
      </w:pPr>
      <w:r>
        <w:rPr>
          <w:rFonts w:ascii="Times New Roman" w:hAnsi="Times New Roman" w:eastAsia="仿宋" w:cs="Times New Roman"/>
          <w:b/>
          <w:sz w:val="32"/>
        </w:rPr>
        <w:t>（三）规划文件</w:t>
      </w:r>
    </w:p>
    <w:p w14:paraId="6047CAF5">
      <w:pPr>
        <w:ind w:firstLine="640" w:firstLineChars="200"/>
        <w:rPr>
          <w:rFonts w:ascii="Times New Roman" w:hAnsi="Times New Roman" w:eastAsia="仿宋" w:cs="Times New Roman"/>
          <w:sz w:val="32"/>
        </w:rPr>
      </w:pPr>
      <w:r>
        <w:rPr>
          <w:rFonts w:ascii="Times New Roman" w:hAnsi="Times New Roman" w:eastAsia="仿宋" w:cs="Times New Roman"/>
          <w:sz w:val="32"/>
        </w:rPr>
        <w:t>《全国重要生态系统保护和修复重大工程总体规划（2021—2035年）》</w:t>
      </w:r>
    </w:p>
    <w:p w14:paraId="3D41F76A">
      <w:pPr>
        <w:ind w:firstLine="640" w:firstLineChars="200"/>
        <w:rPr>
          <w:rFonts w:ascii="Times New Roman" w:hAnsi="Times New Roman" w:eastAsia="仿宋" w:cs="Times New Roman"/>
          <w:sz w:val="32"/>
        </w:rPr>
      </w:pPr>
      <w:r>
        <w:rPr>
          <w:rFonts w:ascii="Times New Roman" w:hAnsi="Times New Roman" w:eastAsia="仿宋" w:cs="Times New Roman"/>
          <w:sz w:val="32"/>
        </w:rPr>
        <w:t>《国家公园等自然保护地建设及野生动植物保护重大工程建设规划(2021—2035年)》</w:t>
      </w:r>
    </w:p>
    <w:p w14:paraId="26BD7241">
      <w:pPr>
        <w:ind w:firstLine="640" w:firstLineChars="200"/>
        <w:rPr>
          <w:rFonts w:ascii="Times New Roman" w:hAnsi="Times New Roman" w:eastAsia="仿宋" w:cs="Times New Roman"/>
          <w:sz w:val="32"/>
        </w:rPr>
      </w:pPr>
      <w:r>
        <w:rPr>
          <w:rFonts w:ascii="Times New Roman" w:hAnsi="Times New Roman" w:eastAsia="仿宋" w:cs="Times New Roman"/>
          <w:sz w:val="32"/>
        </w:rPr>
        <w:t>《候鸟迁飞通道保护修复中国行动计划（2024—2030年）》</w:t>
      </w:r>
    </w:p>
    <w:p w14:paraId="4CD4EBCC">
      <w:pPr>
        <w:ind w:firstLine="640" w:firstLineChars="200"/>
        <w:rPr>
          <w:rFonts w:ascii="Times New Roman" w:hAnsi="Times New Roman" w:eastAsia="仿宋" w:cs="Times New Roman"/>
          <w:sz w:val="32"/>
        </w:rPr>
      </w:pPr>
      <w:r>
        <w:rPr>
          <w:rFonts w:ascii="Times New Roman" w:hAnsi="Times New Roman" w:eastAsia="仿宋" w:cs="Times New Roman"/>
          <w:sz w:val="32"/>
        </w:rPr>
        <w:t>《中国生物多样性保护战略与行动计划（2023—2030年）》</w:t>
      </w:r>
    </w:p>
    <w:p w14:paraId="1F66D631">
      <w:pPr>
        <w:ind w:firstLine="640" w:firstLineChars="200"/>
        <w:rPr>
          <w:rFonts w:ascii="Times New Roman" w:hAnsi="Times New Roman" w:eastAsia="仿宋" w:cs="Times New Roman"/>
          <w:sz w:val="32"/>
        </w:rPr>
      </w:pPr>
      <w:r>
        <w:rPr>
          <w:rFonts w:ascii="Times New Roman" w:hAnsi="Times New Roman" w:eastAsia="仿宋" w:cs="Times New Roman"/>
          <w:sz w:val="32"/>
        </w:rPr>
        <w:t>《北京市国土空间生态修复规划（2021年—2035年）》</w:t>
      </w:r>
    </w:p>
    <w:p w14:paraId="4733CA8D">
      <w:pPr>
        <w:ind w:firstLine="640" w:firstLineChars="200"/>
        <w:rPr>
          <w:rFonts w:ascii="Times New Roman" w:hAnsi="Times New Roman" w:eastAsia="仿宋" w:cs="Times New Roman"/>
          <w:sz w:val="32"/>
        </w:rPr>
      </w:pPr>
      <w:r>
        <w:rPr>
          <w:rFonts w:ascii="Times New Roman" w:hAnsi="Times New Roman" w:eastAsia="仿宋" w:cs="Times New Roman"/>
          <w:sz w:val="32"/>
        </w:rPr>
        <w:t>《北京城市总体规划（2016年—2035年）》</w:t>
      </w:r>
    </w:p>
    <w:p w14:paraId="28EE5845">
      <w:pPr>
        <w:spacing w:before="120" w:after="120"/>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《北京市湿地保护发展规划（2021</w:t>
      </w:r>
      <w:r>
        <w:rPr>
          <w:rFonts w:ascii="Times New Roman" w:hAnsi="Times New Roman" w:eastAsia="仿宋" w:cs="Times New Roman"/>
          <w:sz w:val="32"/>
        </w:rPr>
        <w:t>—</w:t>
      </w:r>
      <w:r>
        <w:rPr>
          <w:rFonts w:ascii="Times New Roman" w:hAnsi="Times New Roman" w:eastAsia="仿宋" w:cs="Times New Roman"/>
          <w:sz w:val="32"/>
          <w:szCs w:val="32"/>
        </w:rPr>
        <w:t>2035年）》</w:t>
      </w:r>
    </w:p>
    <w:p w14:paraId="5ABD08C3">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《北京市园林绿化专项规划（2018年—2035年）》</w:t>
      </w:r>
    </w:p>
    <w:p w14:paraId="2105F570">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《北京花园城市专项规划（2023年—2035年）》</w:t>
      </w:r>
    </w:p>
    <w:p w14:paraId="7CA57FEF">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《朝阳分区规划（国土空间规划）（2017年—2035年）》</w:t>
      </w:r>
    </w:p>
    <w:p w14:paraId="543A98E7">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《北京市朝阳区生物多样性保护规划（2023年—2035年）》（征求意见稿）（202</w:t>
      </w:r>
      <w:r>
        <w:rPr>
          <w:rFonts w:hint="eastAsia" w:ascii="Times New Roman" w:hAnsi="Times New Roman" w:eastAsia="仿宋" w:cs="Times New Roman"/>
          <w:sz w:val="32"/>
        </w:rPr>
        <w:t>3</w:t>
      </w:r>
      <w:r>
        <w:rPr>
          <w:rFonts w:ascii="Times New Roman" w:hAnsi="Times New Roman" w:eastAsia="仿宋" w:cs="Times New Roman"/>
          <w:sz w:val="32"/>
        </w:rPr>
        <w:t>年）</w:t>
      </w:r>
    </w:p>
    <w:p w14:paraId="7429E124">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《北京市朝阳区国民经济和社会发展第十五个五年规划纲要》</w:t>
      </w:r>
    </w:p>
    <w:p w14:paraId="05AF22E2">
      <w:pPr>
        <w:spacing w:before="120" w:after="120"/>
        <w:ind w:firstLine="640" w:firstLineChars="200"/>
        <w:rPr>
          <w:rFonts w:ascii="Times New Roman" w:hAnsi="Times New Roman" w:eastAsia="仿宋" w:cs="Times New Roman"/>
          <w:sz w:val="32"/>
        </w:rPr>
      </w:pPr>
      <w:r>
        <w:rPr>
          <w:rFonts w:ascii="Times New Roman" w:hAnsi="Times New Roman" w:eastAsia="仿宋" w:cs="Times New Roman"/>
          <w:sz w:val="32"/>
        </w:rPr>
        <w:t>《北京市朝阳区“十五五”时期生态环境保护规划》（征求意见稿）（2026年）</w:t>
      </w:r>
    </w:p>
    <w:p w14:paraId="2AD9F4DF">
      <w:pPr>
        <w:ind w:firstLine="643" w:firstLineChars="200"/>
        <w:rPr>
          <w:rFonts w:ascii="Times New Roman" w:hAnsi="Times New Roman" w:eastAsia="仿宋" w:cs="Times New Roman"/>
          <w:b/>
          <w:sz w:val="32"/>
        </w:rPr>
      </w:pPr>
      <w:r>
        <w:rPr>
          <w:rFonts w:ascii="Times New Roman" w:hAnsi="Times New Roman" w:eastAsia="仿宋" w:cs="Times New Roman"/>
          <w:b/>
          <w:sz w:val="32"/>
        </w:rPr>
        <w:t>（四）技术标准</w:t>
      </w:r>
    </w:p>
    <w:p w14:paraId="0693CE68">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《湿地保护工程项目建设标准》（建标196—2018）</w:t>
      </w:r>
    </w:p>
    <w:p w14:paraId="6F621284">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《湿地公园总体规划导则》（林湿综字〔2018〕1号）</w:t>
      </w:r>
    </w:p>
    <w:p w14:paraId="206D4EA3">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《湿地生态系统定位观测技术规范》（LY/T 2898—2017）</w:t>
      </w:r>
    </w:p>
    <w:p w14:paraId="1C6E8049">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《湿地恢复与建设技术规程》（DB11/T 1300—2015）</w:t>
      </w:r>
    </w:p>
    <w:p w14:paraId="563C256B">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《湿地监测技术规程》（DB11/T 1301—2015）</w:t>
      </w:r>
    </w:p>
    <w:p w14:paraId="5C745CDA">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《市级湿地公园建设规范》（DB11/T 768—2024）</w:t>
      </w:r>
    </w:p>
    <w:p w14:paraId="771AEF02">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《小微湿地修复技术规程》（DB11/T 1928—2021）</w:t>
      </w:r>
    </w:p>
    <w:p w14:paraId="5F501B6E">
      <w:pPr>
        <w:spacing w:before="120" w:after="120"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《湿地分类》（GB/T 24708—2009）</w:t>
      </w:r>
    </w:p>
    <w:p w14:paraId="1F3946F8">
      <w:pPr>
        <w:keepNext/>
        <w:keepLines/>
        <w:spacing w:before="260" w:after="260" w:line="416" w:lineRule="auto"/>
        <w:outlineLvl w:val="1"/>
        <w:rPr>
          <w:rFonts w:ascii="Times New Roman" w:hAnsi="Times New Roman" w:eastAsia="仿宋" w:cs="Times New Roman"/>
          <w:b/>
          <w:bCs/>
          <w:sz w:val="32"/>
          <w:szCs w:val="32"/>
        </w:rPr>
      </w:pPr>
      <w:bookmarkStart w:id="39" w:name="_Toc2524"/>
      <w:bookmarkStart w:id="40" w:name="_Toc150720909"/>
      <w:bookmarkStart w:id="41" w:name="_Toc240204666"/>
      <w:r>
        <w:rPr>
          <w:rFonts w:ascii="Times New Roman" w:hAnsi="Times New Roman" w:eastAsia="仿宋" w:cs="Times New Roman"/>
          <w:b/>
          <w:bCs/>
          <w:sz w:val="32"/>
          <w:szCs w:val="32"/>
        </w:rPr>
        <w:t>四、规划期限与目标</w:t>
      </w:r>
      <w:bookmarkEnd w:id="39"/>
      <w:bookmarkEnd w:id="40"/>
      <w:bookmarkEnd w:id="41"/>
    </w:p>
    <w:p w14:paraId="7364632B">
      <w:pPr>
        <w:ind w:firstLine="640" w:firstLineChars="200"/>
        <w:rPr>
          <w:rFonts w:ascii="Times New Roman" w:hAnsi="Times New Roman" w:eastAsia="仿宋" w:cs="Times New Roman"/>
          <w:sz w:val="32"/>
        </w:rPr>
      </w:pPr>
      <w:r>
        <w:rPr>
          <w:rFonts w:ascii="Times New Roman" w:hAnsi="Times New Roman" w:eastAsia="仿宋" w:cs="Times New Roman"/>
          <w:sz w:val="32"/>
        </w:rPr>
        <w:t>加大湿地保护与恢复力度，系统提升湿地生态要素质量，以自然生态保育为主要功能，注重生态修复，打造近自然化的岸线，维护湿地生态系统完整性和稳定性。注重市民亲水的休闲游憩需求，重点营造河道周边生态景观环境，增强城市生活与河道公共空间的联系，创造舒适宜人的滨水公共空间。构建水系连通、城湿共生、功能完善、管护精细、普惠共享的现代化城市湿地保护体系，持续提升湿地水质净化、雨洪调蓄、生物栖息、固碳增汇、生态休闲综合功能，打造首都中心城区城市湿地保护修复示范样板，助力美丽朝阳、花园城市示范区与国际一流和谐宜居城区建设。</w:t>
      </w:r>
    </w:p>
    <w:p w14:paraId="6D3D68F9">
      <w:pPr>
        <w:keepNext/>
        <w:keepLines/>
        <w:spacing w:before="260" w:after="260" w:line="416" w:lineRule="auto"/>
        <w:ind w:firstLine="643" w:firstLineChars="200"/>
        <w:outlineLvl w:val="2"/>
        <w:rPr>
          <w:rFonts w:ascii="Times New Roman" w:hAnsi="Times New Roman" w:eastAsia="仿宋" w:cs="Times New Roman"/>
          <w:b/>
          <w:bCs/>
          <w:sz w:val="32"/>
          <w:szCs w:val="32"/>
        </w:rPr>
      </w:pPr>
      <w:bookmarkStart w:id="42" w:name="_Toc149802232"/>
      <w:r>
        <w:rPr>
          <w:rFonts w:ascii="Times New Roman" w:hAnsi="Times New Roman" w:eastAsia="仿宋" w:cs="Times New Roman"/>
          <w:b/>
          <w:bCs/>
          <w:sz w:val="32"/>
          <w:szCs w:val="32"/>
        </w:rPr>
        <w:t>（一）规划期限</w:t>
      </w:r>
      <w:bookmarkEnd w:id="42"/>
    </w:p>
    <w:p w14:paraId="67F0F823">
      <w:pPr>
        <w:ind w:firstLine="640" w:firstLineChars="200"/>
        <w:rPr>
          <w:rFonts w:ascii="Times New Roman" w:hAnsi="Times New Roman" w:eastAsia="仿宋" w:cs="Times New Roman"/>
          <w:sz w:val="32"/>
        </w:rPr>
      </w:pPr>
      <w:bookmarkStart w:id="43" w:name="_Hlk85986522"/>
      <w:r>
        <w:rPr>
          <w:rFonts w:ascii="Times New Roman" w:hAnsi="Times New Roman" w:eastAsia="仿宋" w:cs="Times New Roman"/>
          <w:sz w:val="32"/>
        </w:rPr>
        <w:t>本次</w:t>
      </w:r>
      <w:bookmarkStart w:id="44" w:name="_Hlk176959953"/>
      <w:r>
        <w:rPr>
          <w:rFonts w:ascii="Times New Roman" w:hAnsi="Times New Roman" w:eastAsia="仿宋" w:cs="Times New Roman"/>
          <w:sz w:val="32"/>
        </w:rPr>
        <w:t>规划期限为2026年至2035年，近期到2028年，远期到2035年。</w:t>
      </w:r>
      <w:bookmarkEnd w:id="44"/>
    </w:p>
    <w:p w14:paraId="226C5545">
      <w:pPr>
        <w:keepNext/>
        <w:keepLines/>
        <w:spacing w:before="240" w:after="240"/>
        <w:ind w:firstLine="643" w:firstLineChars="200"/>
        <w:outlineLvl w:val="2"/>
        <w:rPr>
          <w:rFonts w:ascii="Times New Roman" w:hAnsi="Times New Roman" w:eastAsia="仿宋" w:cs="Times New Roman"/>
          <w:b/>
          <w:bCs/>
          <w:sz w:val="32"/>
          <w:szCs w:val="32"/>
        </w:rPr>
      </w:pPr>
      <w:bookmarkStart w:id="45" w:name="_Toc149802233"/>
      <w:r>
        <w:rPr>
          <w:rFonts w:ascii="Times New Roman" w:hAnsi="Times New Roman" w:eastAsia="仿宋" w:cs="Times New Roman"/>
          <w:b/>
          <w:bCs/>
          <w:sz w:val="32"/>
          <w:szCs w:val="32"/>
        </w:rPr>
        <w:t>（二）规划目标</w:t>
      </w:r>
      <w:bookmarkEnd w:id="45"/>
    </w:p>
    <w:bookmarkEnd w:id="43"/>
    <w:p w14:paraId="311009E4">
      <w:pPr>
        <w:ind w:firstLine="643" w:firstLineChars="200"/>
        <w:rPr>
          <w:rFonts w:ascii="Times New Roman" w:hAnsi="Times New Roman" w:eastAsia="仿宋" w:cs="Times New Roman"/>
          <w:b/>
          <w:sz w:val="32"/>
        </w:rPr>
      </w:pPr>
      <w:r>
        <w:rPr>
          <w:rFonts w:ascii="Times New Roman" w:hAnsi="Times New Roman" w:eastAsia="仿宋" w:cs="Times New Roman"/>
          <w:b/>
          <w:sz w:val="32"/>
        </w:rPr>
        <w:t>1. 近期目标</w:t>
      </w:r>
    </w:p>
    <w:p w14:paraId="4F5830CA">
      <w:pPr>
        <w:ind w:firstLine="640" w:firstLineChars="200"/>
        <w:rPr>
          <w:rFonts w:ascii="Times New Roman" w:hAnsi="Times New Roman" w:eastAsia="仿宋" w:cs="Times New Roman"/>
          <w:sz w:val="32"/>
        </w:rPr>
      </w:pPr>
      <w:r>
        <w:rPr>
          <w:rFonts w:ascii="Times New Roman" w:hAnsi="Times New Roman" w:eastAsia="仿宋" w:cs="Times New Roman"/>
          <w:sz w:val="32"/>
        </w:rPr>
        <w:t>到2028年，全区湿地总面积保持在1184.10公顷，湿地面积总量不减少、质量不下降、功能不降低。小微湿地修复数量大于等于2个；进一步恢复水系的自然岸线，骨干水系生态廊道全面联通，自然生态系统连通性有效提高，重点河湖水系水生态空间品质进一步提升。</w:t>
      </w:r>
    </w:p>
    <w:p w14:paraId="0554A1BC">
      <w:pPr>
        <w:ind w:firstLine="643" w:firstLineChars="200"/>
        <w:rPr>
          <w:rFonts w:ascii="Times New Roman" w:hAnsi="Times New Roman" w:eastAsia="仿宋" w:cs="Times New Roman"/>
          <w:b/>
          <w:sz w:val="32"/>
        </w:rPr>
      </w:pPr>
      <w:r>
        <w:rPr>
          <w:rFonts w:ascii="Times New Roman" w:hAnsi="Times New Roman" w:eastAsia="仿宋" w:cs="Times New Roman"/>
          <w:b/>
          <w:sz w:val="32"/>
        </w:rPr>
        <w:t>2. 远期目标</w:t>
      </w:r>
    </w:p>
    <w:p w14:paraId="1ACD4F70">
      <w:pPr>
        <w:spacing w:after="312" w:afterLines="100"/>
        <w:ind w:firstLine="640" w:firstLineChars="200"/>
        <w:rPr>
          <w:rFonts w:ascii="Times New Roman" w:hAnsi="Times New Roman" w:eastAsia="仿宋" w:cs="Times New Roman"/>
          <w:sz w:val="32"/>
        </w:rPr>
      </w:pPr>
      <w:r>
        <w:rPr>
          <w:rFonts w:ascii="Times New Roman" w:hAnsi="Times New Roman" w:eastAsia="仿宋" w:cs="Times New Roman"/>
          <w:sz w:val="32"/>
        </w:rPr>
        <w:t>到2035年，城市</w:t>
      </w:r>
      <w:r>
        <w:rPr>
          <w:rFonts w:ascii="Times New Roman" w:hAnsi="Times New Roman" w:eastAsia="仿宋" w:cs="Times New Roman"/>
          <w:sz w:val="32"/>
          <w:szCs w:val="32"/>
        </w:rPr>
        <w:t>滨水空间品质得到</w:t>
      </w:r>
      <w:r>
        <w:rPr>
          <w:rFonts w:hint="eastAsia" w:ascii="Times New Roman" w:hAnsi="Times New Roman" w:eastAsia="仿宋" w:cs="Times New Roman"/>
          <w:sz w:val="32"/>
          <w:szCs w:val="32"/>
        </w:rPr>
        <w:t>显著提升</w:t>
      </w:r>
      <w:r>
        <w:rPr>
          <w:rFonts w:ascii="Times New Roman" w:hAnsi="Times New Roman" w:eastAsia="仿宋" w:cs="Times New Roman"/>
          <w:sz w:val="32"/>
          <w:szCs w:val="32"/>
        </w:rPr>
        <w:t>；地表水环境质量</w:t>
      </w:r>
      <w:r>
        <w:rPr>
          <w:rFonts w:hint="eastAsia" w:ascii="Times New Roman" w:hAnsi="Times New Roman" w:eastAsia="仿宋" w:cs="Times New Roman"/>
          <w:sz w:val="32"/>
          <w:szCs w:val="32"/>
        </w:rPr>
        <w:t>稳定</w:t>
      </w:r>
      <w:r>
        <w:rPr>
          <w:rFonts w:ascii="Times New Roman" w:hAnsi="Times New Roman" w:eastAsia="仿宋" w:cs="Times New Roman"/>
          <w:sz w:val="32"/>
          <w:szCs w:val="32"/>
        </w:rPr>
        <w:t>达到水功能区要求；北京市重点保护物种和重要遗传资源得到</w:t>
      </w:r>
      <w:r>
        <w:rPr>
          <w:rFonts w:hint="eastAsia" w:ascii="Times New Roman" w:hAnsi="Times New Roman" w:eastAsia="仿宋" w:cs="Times New Roman"/>
          <w:sz w:val="32"/>
          <w:szCs w:val="32"/>
        </w:rPr>
        <w:t>有效</w:t>
      </w:r>
      <w:r>
        <w:rPr>
          <w:rFonts w:ascii="Times New Roman" w:hAnsi="Times New Roman" w:eastAsia="仿宋" w:cs="Times New Roman"/>
          <w:sz w:val="32"/>
          <w:szCs w:val="32"/>
        </w:rPr>
        <w:t>保护；湿地野生动植物种群数量稳中有升；湿地生态系统连通性稳步提升，水生态环境全面好转；湿地保护修复体系</w:t>
      </w:r>
      <w:r>
        <w:rPr>
          <w:rFonts w:hint="eastAsia" w:ascii="Times New Roman" w:hAnsi="Times New Roman" w:eastAsia="仿宋" w:cs="Times New Roman"/>
          <w:sz w:val="32"/>
          <w:szCs w:val="32"/>
        </w:rPr>
        <w:t>更加健全</w:t>
      </w:r>
      <w:r>
        <w:rPr>
          <w:rFonts w:ascii="Times New Roman" w:hAnsi="Times New Roman" w:eastAsia="仿宋" w:cs="Times New Roman"/>
          <w:sz w:val="32"/>
        </w:rPr>
        <w:t>，</w:t>
      </w:r>
      <w:r>
        <w:rPr>
          <w:rFonts w:hint="eastAsia" w:ascii="Times New Roman" w:hAnsi="Times New Roman" w:eastAsia="仿宋" w:cs="Times New Roman"/>
          <w:sz w:val="32"/>
        </w:rPr>
        <w:t>支撑</w:t>
      </w:r>
      <w:r>
        <w:rPr>
          <w:rFonts w:ascii="Times New Roman" w:hAnsi="Times New Roman" w:eastAsia="仿宋" w:cs="Times New Roman"/>
          <w:sz w:val="32"/>
        </w:rPr>
        <w:t>北京花园城市</w:t>
      </w:r>
      <w:r>
        <w:rPr>
          <w:rFonts w:hint="eastAsia" w:ascii="Times New Roman" w:hAnsi="Times New Roman" w:eastAsia="仿宋" w:cs="Times New Roman"/>
          <w:sz w:val="32"/>
        </w:rPr>
        <w:t>与</w:t>
      </w:r>
      <w:r>
        <w:rPr>
          <w:rFonts w:ascii="Times New Roman" w:hAnsi="Times New Roman" w:eastAsia="仿宋" w:cs="Times New Roman"/>
          <w:sz w:val="32"/>
        </w:rPr>
        <w:t>生物多样性之都建设。</w:t>
      </w:r>
    </w:p>
    <w:p w14:paraId="45392B03">
      <w:pPr>
        <w:spacing w:before="120" w:after="120"/>
        <w:ind w:firstLine="640" w:firstLineChars="200"/>
        <w:rPr>
          <w:rFonts w:ascii="Times New Roman" w:hAnsi="Times New Roman" w:eastAsia="仿宋" w:cs="Times New Roman"/>
          <w:sz w:val="32"/>
        </w:rPr>
        <w:sectPr>
          <w:pgSz w:w="11906" w:h="16838"/>
          <w:pgMar w:top="1440" w:right="1800" w:bottom="1440" w:left="1800" w:header="851" w:footer="992" w:gutter="0"/>
          <w:cols w:space="425" w:num="1"/>
          <w:docGrid w:type="lines" w:linePitch="312" w:charSpace="0"/>
        </w:sectPr>
      </w:pPr>
    </w:p>
    <w:p w14:paraId="502EB154">
      <w:pPr>
        <w:keepNext/>
        <w:keepLines/>
        <w:spacing w:before="340" w:after="330" w:line="578" w:lineRule="auto"/>
        <w:jc w:val="center"/>
        <w:outlineLvl w:val="0"/>
        <w:rPr>
          <w:rFonts w:ascii="Times New Roman" w:hAnsi="Times New Roman" w:eastAsia="仿宋" w:cs="Times New Roman"/>
          <w:b/>
          <w:bCs/>
          <w:kern w:val="44"/>
          <w:sz w:val="36"/>
          <w:szCs w:val="36"/>
        </w:rPr>
      </w:pPr>
      <w:bookmarkStart w:id="46" w:name="_Toc20230"/>
      <w:bookmarkStart w:id="47" w:name="_Toc240204667"/>
      <w:r>
        <w:rPr>
          <w:rFonts w:ascii="Times New Roman" w:hAnsi="Times New Roman" w:eastAsia="仿宋" w:cs="Times New Roman"/>
          <w:b/>
          <w:bCs/>
          <w:kern w:val="44"/>
          <w:sz w:val="36"/>
          <w:szCs w:val="36"/>
        </w:rPr>
        <w:t>第三章 湿地资源状况与评价</w:t>
      </w:r>
      <w:bookmarkEnd w:id="46"/>
      <w:bookmarkEnd w:id="47"/>
    </w:p>
    <w:p w14:paraId="2A55B9D6">
      <w:pPr>
        <w:keepNext/>
        <w:keepLines/>
        <w:spacing w:before="260" w:after="260" w:line="416" w:lineRule="auto"/>
        <w:outlineLvl w:val="1"/>
        <w:rPr>
          <w:rFonts w:ascii="Times New Roman" w:hAnsi="Times New Roman" w:eastAsia="仿宋" w:cs="Times New Roman"/>
          <w:b/>
          <w:bCs/>
          <w:sz w:val="32"/>
          <w:szCs w:val="32"/>
        </w:rPr>
      </w:pPr>
      <w:bookmarkStart w:id="48" w:name="_Toc24120"/>
      <w:bookmarkStart w:id="49" w:name="_Toc240204668"/>
      <w:r>
        <w:rPr>
          <w:rFonts w:ascii="Times New Roman" w:hAnsi="Times New Roman" w:eastAsia="仿宋" w:cs="Times New Roman"/>
          <w:b/>
          <w:bCs/>
          <w:sz w:val="32"/>
          <w:szCs w:val="32"/>
        </w:rPr>
        <w:t>一、湿地资源概况</w:t>
      </w:r>
      <w:bookmarkEnd w:id="48"/>
      <w:bookmarkEnd w:id="49"/>
    </w:p>
    <w:p w14:paraId="35C70F46">
      <w:pPr>
        <w:keepNext/>
        <w:keepLines/>
        <w:spacing w:before="260" w:after="260" w:line="416" w:lineRule="auto"/>
        <w:ind w:firstLine="643" w:firstLineChars="200"/>
        <w:outlineLvl w:val="2"/>
        <w:rPr>
          <w:rFonts w:ascii="Times New Roman" w:hAnsi="Times New Roman" w:eastAsia="仿宋" w:cs="Times New Roman"/>
          <w:b/>
          <w:bCs/>
          <w:sz w:val="32"/>
          <w:szCs w:val="32"/>
        </w:rPr>
      </w:pPr>
      <w:bookmarkStart w:id="50" w:name="_Toc149802220"/>
      <w:r>
        <w:rPr>
          <w:rFonts w:ascii="Times New Roman" w:hAnsi="Times New Roman" w:eastAsia="仿宋" w:cs="Times New Roman"/>
          <w:b/>
          <w:bCs/>
          <w:sz w:val="32"/>
          <w:szCs w:val="32"/>
        </w:rPr>
        <w:t>（一）湿地</w:t>
      </w:r>
      <w:bookmarkEnd w:id="50"/>
      <w:r>
        <w:rPr>
          <w:rFonts w:ascii="Times New Roman" w:hAnsi="Times New Roman" w:eastAsia="仿宋" w:cs="Times New Roman"/>
          <w:b/>
          <w:bCs/>
          <w:sz w:val="32"/>
          <w:szCs w:val="32"/>
        </w:rPr>
        <w:t>面积</w:t>
      </w:r>
      <w:r>
        <w:rPr>
          <w:rFonts w:hint="eastAsia" w:ascii="Times New Roman" w:hAnsi="Times New Roman" w:eastAsia="仿宋" w:cs="Times New Roman"/>
          <w:b/>
          <w:bCs/>
          <w:sz w:val="32"/>
          <w:szCs w:val="32"/>
        </w:rPr>
        <w:t>与分布</w:t>
      </w:r>
    </w:p>
    <w:p w14:paraId="775B2ACA">
      <w:pPr>
        <w:spacing w:after="0"/>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依据北京市朝阳区2025年湿地监测数据，朝阳区湿地总面积为1184.10公顷（北京市园林绿化局统计信息），</w:t>
      </w:r>
      <w:r>
        <w:rPr>
          <w:rFonts w:ascii="Times New Roman" w:hAnsi="Times New Roman" w:eastAsia="仿宋" w:cs="Times New Roman"/>
          <w:sz w:val="32"/>
        </w:rPr>
        <w:t>主要涉及内陆滩涂、坑塘、沟渠、水库</w:t>
      </w:r>
      <w:r>
        <w:rPr>
          <w:rFonts w:hint="eastAsia" w:ascii="Times New Roman" w:hAnsi="Times New Roman" w:eastAsia="仿宋" w:cs="Times New Roman"/>
          <w:sz w:val="32"/>
        </w:rPr>
        <w:t>、</w:t>
      </w:r>
      <w:r>
        <w:rPr>
          <w:rFonts w:ascii="Times New Roman" w:hAnsi="Times New Roman" w:eastAsia="仿宋" w:cs="Times New Roman"/>
          <w:sz w:val="32"/>
        </w:rPr>
        <w:t>河流、湖泊6类，其中，内陆滩涂</w:t>
      </w:r>
      <w:r>
        <w:rPr>
          <w:rFonts w:hint="eastAsia" w:ascii="Times New Roman" w:hAnsi="Times New Roman" w:eastAsia="仿宋" w:cs="Times New Roman"/>
          <w:sz w:val="32"/>
        </w:rPr>
        <w:t>53.42</w:t>
      </w:r>
      <w:r>
        <w:rPr>
          <w:rFonts w:ascii="Times New Roman" w:hAnsi="Times New Roman" w:eastAsia="仿宋" w:cs="Times New Roman"/>
          <w:sz w:val="32"/>
        </w:rPr>
        <w:t>公顷，主要分布于河流两岸；河流</w:t>
      </w:r>
      <w:r>
        <w:rPr>
          <w:rFonts w:hint="eastAsia" w:ascii="Times New Roman" w:hAnsi="Times New Roman" w:eastAsia="仿宋" w:cs="Times New Roman"/>
          <w:sz w:val="32"/>
        </w:rPr>
        <w:t>314.21</w:t>
      </w:r>
      <w:r>
        <w:rPr>
          <w:rFonts w:ascii="Times New Roman" w:hAnsi="Times New Roman" w:eastAsia="仿宋" w:cs="Times New Roman"/>
          <w:sz w:val="32"/>
        </w:rPr>
        <w:t>公顷，主要河流有温榆河、清河、坝河、北小河、亮马河、通惠河、萧太后河等；湖泊与水库</w:t>
      </w:r>
      <w:r>
        <w:rPr>
          <w:rFonts w:hint="eastAsia" w:ascii="Times New Roman" w:hAnsi="Times New Roman" w:eastAsia="仿宋" w:cs="Times New Roman"/>
          <w:sz w:val="32"/>
        </w:rPr>
        <w:t>面积</w:t>
      </w:r>
      <w:r>
        <w:rPr>
          <w:rFonts w:ascii="Times New Roman" w:hAnsi="Times New Roman" w:eastAsia="仿宋" w:cs="Times New Roman"/>
          <w:sz w:val="32"/>
        </w:rPr>
        <w:t>较小，分别仅有</w:t>
      </w:r>
      <w:r>
        <w:rPr>
          <w:rFonts w:hint="eastAsia" w:ascii="Times New Roman" w:hAnsi="Times New Roman" w:eastAsia="仿宋" w:cs="Times New Roman"/>
          <w:sz w:val="32"/>
        </w:rPr>
        <w:t>69.00</w:t>
      </w:r>
      <w:r>
        <w:rPr>
          <w:rFonts w:ascii="Times New Roman" w:hAnsi="Times New Roman" w:eastAsia="仿宋" w:cs="Times New Roman"/>
          <w:sz w:val="32"/>
        </w:rPr>
        <w:t>公顷和15.0</w:t>
      </w:r>
      <w:r>
        <w:rPr>
          <w:rFonts w:hint="eastAsia" w:ascii="Times New Roman" w:hAnsi="Times New Roman" w:eastAsia="仿宋" w:cs="Times New Roman"/>
          <w:sz w:val="32"/>
        </w:rPr>
        <w:t>1</w:t>
      </w:r>
      <w:r>
        <w:rPr>
          <w:rFonts w:ascii="Times New Roman" w:hAnsi="Times New Roman" w:eastAsia="仿宋" w:cs="Times New Roman"/>
          <w:sz w:val="32"/>
        </w:rPr>
        <w:t>公顷</w:t>
      </w:r>
      <w:r>
        <w:rPr>
          <w:rFonts w:hint="eastAsia" w:ascii="Times New Roman" w:hAnsi="Times New Roman" w:eastAsia="仿宋" w:cs="Times New Roman"/>
          <w:sz w:val="32"/>
        </w:rPr>
        <w:t>；</w:t>
      </w:r>
      <w:r>
        <w:rPr>
          <w:rFonts w:ascii="Times New Roman" w:hAnsi="Times New Roman" w:eastAsia="仿宋" w:cs="Times New Roman"/>
          <w:sz w:val="32"/>
        </w:rPr>
        <w:t>坑塘面积共计</w:t>
      </w:r>
      <w:r>
        <w:rPr>
          <w:rFonts w:hint="eastAsia" w:ascii="Times New Roman" w:hAnsi="Times New Roman" w:eastAsia="仿宋" w:cs="Times New Roman"/>
          <w:sz w:val="32"/>
        </w:rPr>
        <w:t>373.51</w:t>
      </w:r>
      <w:r>
        <w:rPr>
          <w:rFonts w:ascii="Times New Roman" w:hAnsi="Times New Roman" w:eastAsia="仿宋" w:cs="Times New Roman"/>
          <w:sz w:val="32"/>
        </w:rPr>
        <w:t>公顷，分布较为广泛和分散，在全区均有分布；沟渠面积</w:t>
      </w:r>
      <w:r>
        <w:rPr>
          <w:rFonts w:hint="eastAsia" w:ascii="Times New Roman" w:hAnsi="Times New Roman" w:eastAsia="仿宋" w:cs="Times New Roman"/>
          <w:sz w:val="32"/>
        </w:rPr>
        <w:t>358.95</w:t>
      </w:r>
      <w:r>
        <w:rPr>
          <w:rFonts w:ascii="Times New Roman" w:hAnsi="Times New Roman" w:eastAsia="仿宋" w:cs="Times New Roman"/>
          <w:sz w:val="32"/>
        </w:rPr>
        <w:t>公顷，分布也较为分散。</w:t>
      </w:r>
    </w:p>
    <w:p w14:paraId="411A7E15">
      <w:pPr>
        <w:spacing w:after="0"/>
        <w:jc w:val="center"/>
        <w:rPr>
          <w:rFonts w:ascii="Times New Roman" w:hAnsi="Times New Roman" w:eastAsia="仿宋" w:cs="Times New Roman"/>
          <w:sz w:val="28"/>
          <w:szCs w:val="28"/>
          <w14:ligatures w14:val="standardContextual"/>
        </w:rPr>
      </w:pPr>
      <w:r>
        <w:rPr>
          <w:rFonts w:ascii="Times New Roman" w:hAnsi="Times New Roman" w:eastAsia="仿宋" w:cs="Times New Roman"/>
          <w:sz w:val="28"/>
          <w:szCs w:val="28"/>
          <w14:ligatures w14:val="standardContextual"/>
        </w:rPr>
        <w:t>表3-1 湿地面积分类标准统计表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12A8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0CA32ACA">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项目</w:t>
            </w:r>
          </w:p>
        </w:tc>
        <w:tc>
          <w:tcPr>
            <w:tcW w:w="2074" w:type="dxa"/>
            <w:vAlign w:val="center"/>
          </w:tcPr>
          <w:p w14:paraId="6AAD4F29">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分类</w:t>
            </w:r>
          </w:p>
        </w:tc>
        <w:tc>
          <w:tcPr>
            <w:tcW w:w="2074" w:type="dxa"/>
            <w:vAlign w:val="center"/>
          </w:tcPr>
          <w:p w14:paraId="15C2D88D">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面积（公顷）</w:t>
            </w:r>
          </w:p>
        </w:tc>
        <w:tc>
          <w:tcPr>
            <w:tcW w:w="2074" w:type="dxa"/>
            <w:vAlign w:val="center"/>
          </w:tcPr>
          <w:p w14:paraId="6EFA47FA">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比例</w:t>
            </w:r>
          </w:p>
        </w:tc>
      </w:tr>
      <w:tr w14:paraId="1A1A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restart"/>
            <w:vAlign w:val="center"/>
          </w:tcPr>
          <w:p w14:paraId="5833DD61">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朝阳</w:t>
            </w:r>
            <w:r>
              <w:rPr>
                <w:rFonts w:ascii="Times New Roman" w:hAnsi="Times New Roman" w:eastAsia="仿宋" w:cs="Times New Roman"/>
                <w:kern w:val="0"/>
                <w:sz w:val="24"/>
                <w:szCs w:val="24"/>
                <w14:ligatures w14:val="standardContextual"/>
              </w:rPr>
              <w:t>区湿地</w:t>
            </w:r>
          </w:p>
        </w:tc>
        <w:tc>
          <w:tcPr>
            <w:tcW w:w="2074" w:type="dxa"/>
            <w:vAlign w:val="center"/>
          </w:tcPr>
          <w:p w14:paraId="58C0B631">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内陆滩涂</w:t>
            </w:r>
          </w:p>
        </w:tc>
        <w:tc>
          <w:tcPr>
            <w:tcW w:w="2074" w:type="dxa"/>
            <w:vAlign w:val="center"/>
          </w:tcPr>
          <w:p w14:paraId="741A5B7A">
            <w:pPr>
              <w:widowControl/>
              <w:spacing w:line="400" w:lineRule="exact"/>
              <w:jc w:val="center"/>
              <w:rPr>
                <w:rFonts w:ascii="Times New Roman" w:hAnsi="Times New Roman" w:eastAsia="仿宋" w:cs="Times New Roman"/>
                <w:kern w:val="0"/>
                <w:sz w:val="24"/>
                <w:szCs w:val="28"/>
                <w14:ligatures w14:val="standardContextual"/>
              </w:rPr>
            </w:pPr>
            <w:r>
              <w:rPr>
                <w:rFonts w:ascii="Times New Roman" w:hAnsi="Times New Roman" w:eastAsia="等线" w:cs="Times New Roman"/>
                <w:color w:val="000000"/>
                <w:sz w:val="24"/>
                <w:szCs w:val="28"/>
              </w:rPr>
              <w:t>53.42</w:t>
            </w:r>
          </w:p>
        </w:tc>
        <w:tc>
          <w:tcPr>
            <w:tcW w:w="2074" w:type="dxa"/>
            <w:vAlign w:val="center"/>
          </w:tcPr>
          <w:p w14:paraId="323443D1">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4.51%</w:t>
            </w:r>
          </w:p>
        </w:tc>
      </w:tr>
      <w:tr w14:paraId="6859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vAlign w:val="center"/>
          </w:tcPr>
          <w:p w14:paraId="062E69D8">
            <w:pPr>
              <w:widowControl/>
              <w:spacing w:line="400" w:lineRule="exact"/>
              <w:jc w:val="center"/>
              <w:rPr>
                <w:rFonts w:ascii="Times New Roman" w:hAnsi="Times New Roman" w:eastAsia="仿宋" w:cs="Times New Roman"/>
                <w:kern w:val="0"/>
                <w:sz w:val="24"/>
                <w:szCs w:val="24"/>
                <w14:ligatures w14:val="standardContextual"/>
              </w:rPr>
            </w:pPr>
          </w:p>
        </w:tc>
        <w:tc>
          <w:tcPr>
            <w:tcW w:w="2074" w:type="dxa"/>
            <w:vAlign w:val="center"/>
          </w:tcPr>
          <w:p w14:paraId="3D9F3BE4">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坑塘</w:t>
            </w:r>
          </w:p>
        </w:tc>
        <w:tc>
          <w:tcPr>
            <w:tcW w:w="2074" w:type="dxa"/>
            <w:vAlign w:val="center"/>
          </w:tcPr>
          <w:p w14:paraId="20C96B0D">
            <w:pPr>
              <w:widowControl/>
              <w:spacing w:line="400" w:lineRule="exact"/>
              <w:jc w:val="center"/>
              <w:rPr>
                <w:rFonts w:ascii="Times New Roman" w:hAnsi="Times New Roman" w:eastAsia="仿宋" w:cs="Times New Roman"/>
                <w:kern w:val="0"/>
                <w:sz w:val="24"/>
                <w:szCs w:val="28"/>
                <w14:ligatures w14:val="standardContextual"/>
              </w:rPr>
            </w:pPr>
            <w:r>
              <w:rPr>
                <w:rFonts w:ascii="Times New Roman" w:hAnsi="Times New Roman" w:eastAsia="等线" w:cs="Times New Roman"/>
                <w:color w:val="000000"/>
                <w:sz w:val="24"/>
                <w:szCs w:val="28"/>
              </w:rPr>
              <w:t>373.51</w:t>
            </w:r>
          </w:p>
        </w:tc>
        <w:tc>
          <w:tcPr>
            <w:tcW w:w="2074" w:type="dxa"/>
            <w:vAlign w:val="center"/>
          </w:tcPr>
          <w:p w14:paraId="6A1CA7AA">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31.54%</w:t>
            </w:r>
          </w:p>
        </w:tc>
      </w:tr>
      <w:tr w14:paraId="359D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vAlign w:val="center"/>
          </w:tcPr>
          <w:p w14:paraId="3B230E9F">
            <w:pPr>
              <w:widowControl/>
              <w:spacing w:line="400" w:lineRule="exact"/>
              <w:jc w:val="center"/>
              <w:rPr>
                <w:rFonts w:ascii="Times New Roman" w:hAnsi="Times New Roman" w:eastAsia="仿宋" w:cs="Times New Roman"/>
                <w:kern w:val="0"/>
                <w:sz w:val="24"/>
                <w:szCs w:val="24"/>
                <w14:ligatures w14:val="standardContextual"/>
              </w:rPr>
            </w:pPr>
          </w:p>
        </w:tc>
        <w:tc>
          <w:tcPr>
            <w:tcW w:w="2074" w:type="dxa"/>
            <w:vAlign w:val="center"/>
          </w:tcPr>
          <w:p w14:paraId="4AF4CADE">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沟渠</w:t>
            </w:r>
          </w:p>
        </w:tc>
        <w:tc>
          <w:tcPr>
            <w:tcW w:w="2074" w:type="dxa"/>
            <w:vAlign w:val="center"/>
          </w:tcPr>
          <w:p w14:paraId="2C179013">
            <w:pPr>
              <w:widowControl/>
              <w:spacing w:line="400" w:lineRule="exact"/>
              <w:jc w:val="center"/>
              <w:rPr>
                <w:rFonts w:ascii="Times New Roman" w:hAnsi="Times New Roman" w:eastAsia="仿宋" w:cs="Times New Roman"/>
                <w:kern w:val="0"/>
                <w:sz w:val="24"/>
                <w:szCs w:val="28"/>
                <w14:ligatures w14:val="standardContextual"/>
              </w:rPr>
            </w:pPr>
            <w:r>
              <w:rPr>
                <w:rFonts w:ascii="Times New Roman" w:hAnsi="Times New Roman" w:eastAsia="等线" w:cs="Times New Roman"/>
                <w:color w:val="000000"/>
                <w:sz w:val="24"/>
                <w:szCs w:val="28"/>
              </w:rPr>
              <w:t>358.95</w:t>
            </w:r>
          </w:p>
        </w:tc>
        <w:tc>
          <w:tcPr>
            <w:tcW w:w="2074" w:type="dxa"/>
            <w:vAlign w:val="center"/>
          </w:tcPr>
          <w:p w14:paraId="1EFEF22F">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30.31%</w:t>
            </w:r>
          </w:p>
        </w:tc>
      </w:tr>
      <w:tr w14:paraId="7AD1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vAlign w:val="center"/>
          </w:tcPr>
          <w:p w14:paraId="000C9039">
            <w:pPr>
              <w:widowControl/>
              <w:spacing w:line="400" w:lineRule="exact"/>
              <w:jc w:val="center"/>
              <w:rPr>
                <w:rFonts w:ascii="Times New Roman" w:hAnsi="Times New Roman" w:eastAsia="仿宋" w:cs="Times New Roman"/>
                <w:kern w:val="0"/>
                <w:sz w:val="24"/>
                <w:szCs w:val="24"/>
                <w14:ligatures w14:val="standardContextual"/>
              </w:rPr>
            </w:pPr>
          </w:p>
        </w:tc>
        <w:tc>
          <w:tcPr>
            <w:tcW w:w="2074" w:type="dxa"/>
            <w:vAlign w:val="center"/>
          </w:tcPr>
          <w:p w14:paraId="7D057C7F">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水库</w:t>
            </w:r>
          </w:p>
        </w:tc>
        <w:tc>
          <w:tcPr>
            <w:tcW w:w="2074" w:type="dxa"/>
            <w:vAlign w:val="center"/>
          </w:tcPr>
          <w:p w14:paraId="56861144">
            <w:pPr>
              <w:widowControl/>
              <w:spacing w:line="400" w:lineRule="exact"/>
              <w:jc w:val="center"/>
              <w:rPr>
                <w:rFonts w:ascii="Times New Roman" w:hAnsi="Times New Roman" w:eastAsia="仿宋" w:cs="Times New Roman"/>
                <w:kern w:val="0"/>
                <w:sz w:val="24"/>
                <w:szCs w:val="28"/>
                <w14:ligatures w14:val="standardContextual"/>
              </w:rPr>
            </w:pPr>
            <w:r>
              <w:rPr>
                <w:rFonts w:ascii="Times New Roman" w:hAnsi="Times New Roman" w:eastAsia="等线" w:cs="Times New Roman"/>
                <w:color w:val="000000"/>
                <w:sz w:val="24"/>
                <w:szCs w:val="28"/>
              </w:rPr>
              <w:t>15.01</w:t>
            </w:r>
          </w:p>
        </w:tc>
        <w:tc>
          <w:tcPr>
            <w:tcW w:w="2074" w:type="dxa"/>
            <w:vAlign w:val="center"/>
          </w:tcPr>
          <w:p w14:paraId="7051525D">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1.27%</w:t>
            </w:r>
          </w:p>
        </w:tc>
      </w:tr>
      <w:tr w14:paraId="626A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vAlign w:val="center"/>
          </w:tcPr>
          <w:p w14:paraId="59C7DCDE">
            <w:pPr>
              <w:widowControl/>
              <w:spacing w:line="400" w:lineRule="exact"/>
              <w:jc w:val="center"/>
              <w:rPr>
                <w:rFonts w:ascii="Times New Roman" w:hAnsi="Times New Roman" w:eastAsia="仿宋" w:cs="Times New Roman"/>
                <w:kern w:val="0"/>
                <w:sz w:val="24"/>
                <w:szCs w:val="24"/>
                <w14:ligatures w14:val="standardContextual"/>
              </w:rPr>
            </w:pPr>
          </w:p>
        </w:tc>
        <w:tc>
          <w:tcPr>
            <w:tcW w:w="2074" w:type="dxa"/>
            <w:vAlign w:val="center"/>
          </w:tcPr>
          <w:p w14:paraId="637111FA">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河流</w:t>
            </w:r>
          </w:p>
        </w:tc>
        <w:tc>
          <w:tcPr>
            <w:tcW w:w="2074" w:type="dxa"/>
            <w:vAlign w:val="center"/>
          </w:tcPr>
          <w:p w14:paraId="03CBA227">
            <w:pPr>
              <w:widowControl/>
              <w:spacing w:line="400" w:lineRule="exact"/>
              <w:jc w:val="center"/>
              <w:rPr>
                <w:rFonts w:ascii="Times New Roman" w:hAnsi="Times New Roman" w:eastAsia="仿宋" w:cs="Times New Roman"/>
                <w:kern w:val="0"/>
                <w:sz w:val="24"/>
                <w:szCs w:val="28"/>
                <w14:ligatures w14:val="standardContextual"/>
              </w:rPr>
            </w:pPr>
            <w:r>
              <w:rPr>
                <w:rFonts w:ascii="Times New Roman" w:hAnsi="Times New Roman" w:eastAsia="等线" w:cs="Times New Roman"/>
                <w:color w:val="000000"/>
                <w:sz w:val="24"/>
                <w:szCs w:val="28"/>
              </w:rPr>
              <w:t>314.21</w:t>
            </w:r>
          </w:p>
        </w:tc>
        <w:tc>
          <w:tcPr>
            <w:tcW w:w="2074" w:type="dxa"/>
            <w:vAlign w:val="center"/>
          </w:tcPr>
          <w:p w14:paraId="36186F16">
            <w:pPr>
              <w:widowControl/>
              <w:spacing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26.54%</w:t>
            </w:r>
          </w:p>
        </w:tc>
      </w:tr>
      <w:tr w14:paraId="4228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Merge w:val="continue"/>
            <w:vAlign w:val="center"/>
          </w:tcPr>
          <w:p w14:paraId="12691482">
            <w:pPr>
              <w:widowControl/>
              <w:spacing w:after="0" w:line="400" w:lineRule="exact"/>
              <w:jc w:val="center"/>
              <w:rPr>
                <w:rFonts w:ascii="Times New Roman" w:hAnsi="Times New Roman" w:eastAsia="仿宋" w:cs="Times New Roman"/>
                <w:kern w:val="0"/>
                <w:sz w:val="24"/>
                <w:szCs w:val="24"/>
                <w14:ligatures w14:val="standardContextual"/>
              </w:rPr>
            </w:pPr>
          </w:p>
        </w:tc>
        <w:tc>
          <w:tcPr>
            <w:tcW w:w="2074" w:type="dxa"/>
            <w:vAlign w:val="center"/>
          </w:tcPr>
          <w:p w14:paraId="64446FDA">
            <w:pPr>
              <w:widowControl/>
              <w:spacing w:after="0"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湖泊</w:t>
            </w:r>
          </w:p>
        </w:tc>
        <w:tc>
          <w:tcPr>
            <w:tcW w:w="2074" w:type="dxa"/>
            <w:vAlign w:val="center"/>
          </w:tcPr>
          <w:p w14:paraId="3083F9FA">
            <w:pPr>
              <w:widowControl/>
              <w:spacing w:after="0" w:line="400" w:lineRule="exact"/>
              <w:jc w:val="center"/>
              <w:rPr>
                <w:rFonts w:ascii="Times New Roman" w:hAnsi="Times New Roman" w:eastAsia="仿宋" w:cs="Times New Roman"/>
                <w:kern w:val="0"/>
                <w:sz w:val="24"/>
                <w:szCs w:val="28"/>
                <w14:ligatures w14:val="standardContextual"/>
              </w:rPr>
            </w:pPr>
            <w:r>
              <w:rPr>
                <w:rFonts w:ascii="Times New Roman" w:hAnsi="Times New Roman" w:eastAsia="等线" w:cs="Times New Roman"/>
                <w:color w:val="000000"/>
                <w:sz w:val="24"/>
                <w:szCs w:val="28"/>
              </w:rPr>
              <w:t>69</w:t>
            </w:r>
            <w:r>
              <w:rPr>
                <w:rFonts w:hint="eastAsia" w:ascii="Times New Roman" w:hAnsi="Times New Roman" w:eastAsia="等线" w:cs="Times New Roman"/>
                <w:color w:val="000000"/>
                <w:sz w:val="24"/>
                <w:szCs w:val="28"/>
              </w:rPr>
              <w:t>.00</w:t>
            </w:r>
          </w:p>
        </w:tc>
        <w:tc>
          <w:tcPr>
            <w:tcW w:w="2074" w:type="dxa"/>
            <w:vAlign w:val="center"/>
          </w:tcPr>
          <w:p w14:paraId="5219C85B">
            <w:pPr>
              <w:widowControl/>
              <w:spacing w:after="0"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5.83%</w:t>
            </w:r>
          </w:p>
        </w:tc>
      </w:tr>
      <w:tr w14:paraId="4538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gridSpan w:val="2"/>
            <w:vAlign w:val="center"/>
          </w:tcPr>
          <w:p w14:paraId="3D265C7E">
            <w:pPr>
              <w:widowControl/>
              <w:spacing w:after="0"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合计</w:t>
            </w:r>
          </w:p>
        </w:tc>
        <w:tc>
          <w:tcPr>
            <w:tcW w:w="2074" w:type="dxa"/>
            <w:vAlign w:val="center"/>
          </w:tcPr>
          <w:p w14:paraId="03B72B37">
            <w:pPr>
              <w:widowControl/>
              <w:spacing w:after="0" w:line="400" w:lineRule="exact"/>
              <w:jc w:val="center"/>
              <w:rPr>
                <w:rFonts w:ascii="Times New Roman" w:hAnsi="Times New Roman" w:eastAsia="等线" w:cs="Times New Roman"/>
                <w:color w:val="000000"/>
                <w:sz w:val="24"/>
                <w:szCs w:val="28"/>
              </w:rPr>
            </w:pPr>
            <w:r>
              <w:rPr>
                <w:rFonts w:hint="eastAsia" w:ascii="Times New Roman" w:hAnsi="Times New Roman" w:eastAsia="等线" w:cs="Times New Roman"/>
                <w:color w:val="000000"/>
                <w:sz w:val="24"/>
                <w:szCs w:val="28"/>
              </w:rPr>
              <w:t>1184.10</w:t>
            </w:r>
          </w:p>
        </w:tc>
        <w:tc>
          <w:tcPr>
            <w:tcW w:w="2074" w:type="dxa"/>
            <w:vAlign w:val="center"/>
          </w:tcPr>
          <w:p w14:paraId="25017D80">
            <w:pPr>
              <w:widowControl/>
              <w:spacing w:after="0" w:line="400" w:lineRule="exact"/>
              <w:jc w:val="center"/>
              <w:rPr>
                <w:rFonts w:ascii="Times New Roman" w:hAnsi="Times New Roman" w:eastAsia="仿宋" w:cs="Times New Roman"/>
                <w:kern w:val="0"/>
                <w:sz w:val="24"/>
                <w:szCs w:val="24"/>
                <w14:ligatures w14:val="standardContextual"/>
              </w:rPr>
            </w:pPr>
            <w:r>
              <w:rPr>
                <w:rFonts w:hint="eastAsia" w:ascii="Times New Roman" w:hAnsi="Times New Roman" w:eastAsia="仿宋" w:cs="Times New Roman"/>
                <w:kern w:val="0"/>
                <w:sz w:val="24"/>
                <w:szCs w:val="24"/>
                <w14:ligatures w14:val="standardContextual"/>
              </w:rPr>
              <w:t>100%</w:t>
            </w:r>
          </w:p>
        </w:tc>
      </w:tr>
    </w:tbl>
    <w:p w14:paraId="2E7A2D3B">
      <w:pPr>
        <w:pStyle w:val="2"/>
        <w:rPr>
          <w:rFonts w:hint="eastAsia"/>
        </w:rPr>
      </w:pPr>
      <w:r>
        <w:drawing>
          <wp:inline distT="0" distB="0" distL="0" distR="0">
            <wp:extent cx="5274310" cy="7673340"/>
            <wp:effectExtent l="0" t="0" r="2540" b="3810"/>
            <wp:docPr id="13835148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14809" name="图片 1"/>
                    <pic:cNvPicPr>
                      <a:picLocks noChangeAspect="1"/>
                    </pic:cNvPicPr>
                  </pic:nvPicPr>
                  <pic:blipFill>
                    <a:blip r:embed="rId8"/>
                    <a:stretch>
                      <a:fillRect/>
                    </a:stretch>
                  </pic:blipFill>
                  <pic:spPr>
                    <a:xfrm>
                      <a:off x="0" y="0"/>
                      <a:ext cx="5274310" cy="7673340"/>
                    </a:xfrm>
                    <a:prstGeom prst="rect">
                      <a:avLst/>
                    </a:prstGeom>
                  </pic:spPr>
                </pic:pic>
              </a:graphicData>
            </a:graphic>
          </wp:inline>
        </w:drawing>
      </w:r>
    </w:p>
    <w:p w14:paraId="0CF1F93B">
      <w:pPr>
        <w:spacing w:line="360"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 xml:space="preserve">图3.1 </w:t>
      </w:r>
      <w:r>
        <w:rPr>
          <w:rFonts w:hint="eastAsia" w:ascii="Times New Roman" w:hAnsi="Times New Roman" w:eastAsia="仿宋" w:cs="Times New Roman"/>
          <w:sz w:val="28"/>
          <w:szCs w:val="28"/>
        </w:rPr>
        <w:t>朝阳</w:t>
      </w:r>
      <w:r>
        <w:rPr>
          <w:rFonts w:ascii="Times New Roman" w:hAnsi="Times New Roman" w:eastAsia="仿宋" w:cs="Times New Roman"/>
          <w:sz w:val="28"/>
          <w:szCs w:val="28"/>
        </w:rPr>
        <w:t>区湿地分布情况</w:t>
      </w:r>
    </w:p>
    <w:p w14:paraId="0641BA1B">
      <w:pPr>
        <w:rPr>
          <w:rFonts w:hint="eastAsia"/>
        </w:rPr>
      </w:pPr>
    </w:p>
    <w:p w14:paraId="133F9A9B">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（二）市级保护湿地</w:t>
      </w:r>
    </w:p>
    <w:p w14:paraId="2E4B1FF9">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（1）奥林匹克森林公园湿地</w:t>
      </w:r>
    </w:p>
    <w:p w14:paraId="2D0BF009">
      <w:pPr>
        <w:ind w:firstLine="640" w:firstLineChars="200"/>
        <w:rPr>
          <w:rFonts w:ascii="Times New Roman" w:hAnsi="Times New Roman" w:eastAsia="仿宋" w:cs="Times New Roman"/>
          <w:sz w:val="32"/>
        </w:rPr>
      </w:pPr>
      <w:r>
        <w:rPr>
          <w:rFonts w:ascii="Times New Roman" w:hAnsi="Times New Roman" w:eastAsia="仿宋" w:cs="Times New Roman"/>
          <w:sz w:val="32"/>
        </w:rPr>
        <w:t>奥林匹克森林公园湿地坐落于北京市朝阳区奥林匹克森林公园范围内，纳入北京市第二批市级湿地名录，湿地类型为库塘，湿地总面积40.78公顷，保护范围涵盖公园内部龙形水系、奥海主湖与配套人工湿地湖群，湿地依托2008年奥运配套生态工程建设而成，是北京城市中轴线北端重要城市复合型湿地。湿地水源以清河再生水为主，辅以雨水集蓄利用，构建潜流湿地、表面流湿地组合生态净化系统，形成</w:t>
      </w:r>
      <w:r>
        <w:rPr>
          <w:rFonts w:hint="eastAsia" w:ascii="Times New Roman" w:hAnsi="Times New Roman" w:eastAsia="仿宋" w:cs="Times New Roman"/>
          <w:sz w:val="32"/>
        </w:rPr>
        <w:t>“</w:t>
      </w:r>
      <w:r>
        <w:rPr>
          <w:rFonts w:ascii="Times New Roman" w:hAnsi="Times New Roman" w:eastAsia="仿宋" w:cs="Times New Roman"/>
          <w:sz w:val="32"/>
        </w:rPr>
        <w:t>再生水净化—湖体调蓄—水体循环</w:t>
      </w:r>
      <w:r>
        <w:rPr>
          <w:rFonts w:hint="eastAsia" w:ascii="Times New Roman" w:hAnsi="Times New Roman" w:eastAsia="仿宋" w:cs="Times New Roman"/>
          <w:sz w:val="32"/>
        </w:rPr>
        <w:t>”</w:t>
      </w:r>
      <w:r>
        <w:rPr>
          <w:rFonts w:ascii="Times New Roman" w:hAnsi="Times New Roman" w:eastAsia="仿宋" w:cs="Times New Roman"/>
          <w:sz w:val="32"/>
        </w:rPr>
        <w:t>一体化水资源利用模式，承担园区水体净化、雨洪调蓄核心功能。湿地融合生态涵养、水质净化、休闲游憩、自然科普多重功能，配套湿地木栈道、生态科普展示设施，是朝阳区开展湿地保护公众宣教、城市湿地修复示范的重要载体。同时湿地连通清河导流渠水系，加强了北部区域水系网络连通性，对维持北部片区水生态稳定、缓解城市热岛效应发挥关键作用。</w:t>
      </w:r>
    </w:p>
    <w:p w14:paraId="6CB0E344">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（2）朝阳公园湿地</w:t>
      </w:r>
    </w:p>
    <w:p w14:paraId="1B8718B4">
      <w:pPr>
        <w:ind w:firstLine="640" w:firstLineChars="200"/>
        <w:rPr>
          <w:rFonts w:ascii="Times New Roman" w:hAnsi="Times New Roman" w:eastAsia="仿宋" w:cs="Times New Roman"/>
          <w:sz w:val="32"/>
        </w:rPr>
      </w:pPr>
      <w:r>
        <w:rPr>
          <w:rFonts w:ascii="Times New Roman" w:hAnsi="Times New Roman" w:eastAsia="仿宋" w:cs="Times New Roman"/>
          <w:sz w:val="32"/>
        </w:rPr>
        <w:t>朝阳公园湿地纳入北京市第二批市级湿地名录，湿地类型为库塘，湿地面积42.18公顷，保护范围为朝阳公园全域水系，紧邻亮马河水系，是四环内规模最大的城市综合型人工湿地。湿地水源以再生水补给、天然雨水调蓄为主，依托北湖、莲花湖、生态溪流、浅水滩涂构建复合型水域系统。园区持续优化滨水生境，营造浅水滩、生态浮岛、滨水植被缓冲带，规模化配置荷花、芦苇、菖蒲、千屈菜等本土水生、湿生植物，形成层次丰富的湿地植物群落。湿地设置野鸭岛、天鹅家园等鸟类栖息区域，为鹭类、雁鸭类、䴙䴘等野生水鸟提供栖息、觅食空间，是中心城区候鸟迁徙重要停歇点，城市生物多样性保育价值突出。湿地兼具雨洪调蓄、水体自净、气候调节等生态功能，能够消纳片区雨水径流，缓解城市热岛效应，联动亮马河水系完善中部城区水生态网络。作为面向公众开放的都市公益湿地，统筹生态保护、市民游憩与湿地自然科普功能，配套滨水栈道、观鸟点位、生态展示空间，是朝阳区开展湿地保护宣传、城市湿地可持续利用的重要示范载体。</w:t>
      </w:r>
    </w:p>
    <w:p w14:paraId="7F0CD327">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）湿地动植物资源</w:t>
      </w:r>
    </w:p>
    <w:p w14:paraId="2A0D775B">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（1）动物资源</w:t>
      </w:r>
    </w:p>
    <w:p w14:paraId="1CE96F2A">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朝阳区</w:t>
      </w:r>
      <w:r>
        <w:rPr>
          <w:rFonts w:ascii="Times New Roman" w:hAnsi="Times New Roman" w:eastAsia="仿宋" w:cs="Times New Roman"/>
          <w:sz w:val="32"/>
        </w:rPr>
        <w:t>动物种类主要包括沼泽山雀</w:t>
      </w:r>
      <w:r>
        <w:rPr>
          <w:rFonts w:hint="eastAsia" w:ascii="Times New Roman" w:hAnsi="Times New Roman" w:eastAsia="仿宋" w:cs="Times New Roman"/>
          <w:sz w:val="32"/>
        </w:rPr>
        <w:t>（</w:t>
      </w:r>
      <w:r>
        <w:rPr>
          <w:rFonts w:ascii="Times New Roman" w:hAnsi="Times New Roman" w:eastAsia="仿宋" w:cs="Times New Roman"/>
          <w:i/>
          <w:iCs/>
          <w:sz w:val="32"/>
        </w:rPr>
        <w:t>Poecile palustris</w:t>
      </w:r>
      <w:r>
        <w:rPr>
          <w:rFonts w:hint="eastAsia" w:ascii="Times New Roman" w:hAnsi="Times New Roman" w:eastAsia="仿宋" w:cs="Times New Roman"/>
          <w:sz w:val="32"/>
        </w:rPr>
        <w:t>）</w:t>
      </w:r>
      <w:r>
        <w:rPr>
          <w:rFonts w:ascii="Times New Roman" w:hAnsi="Times New Roman" w:eastAsia="仿宋" w:cs="Times New Roman"/>
          <w:sz w:val="32"/>
        </w:rPr>
        <w:t>、普通翠鸟</w:t>
      </w:r>
      <w:r>
        <w:rPr>
          <w:rFonts w:hint="eastAsia" w:ascii="Times New Roman" w:hAnsi="Times New Roman" w:eastAsia="仿宋" w:cs="Times New Roman"/>
          <w:sz w:val="32"/>
        </w:rPr>
        <w:t>（</w:t>
      </w:r>
      <w:r>
        <w:rPr>
          <w:rFonts w:ascii="Times New Roman" w:hAnsi="Times New Roman" w:eastAsia="仿宋" w:cs="Times New Roman"/>
          <w:i/>
          <w:iCs/>
          <w:sz w:val="32"/>
        </w:rPr>
        <w:t>Alcedo atthis</w:t>
      </w:r>
      <w:r>
        <w:rPr>
          <w:rFonts w:hint="eastAsia" w:ascii="Times New Roman" w:hAnsi="Times New Roman" w:eastAsia="仿宋" w:cs="Times New Roman"/>
          <w:sz w:val="32"/>
        </w:rPr>
        <w:t>）</w:t>
      </w:r>
      <w:r>
        <w:rPr>
          <w:rFonts w:ascii="Times New Roman" w:hAnsi="Times New Roman" w:eastAsia="仿宋" w:cs="Times New Roman"/>
          <w:sz w:val="32"/>
        </w:rPr>
        <w:t>、绿头鸭</w:t>
      </w:r>
      <w:r>
        <w:rPr>
          <w:rFonts w:hint="eastAsia" w:ascii="Times New Roman" w:hAnsi="Times New Roman" w:eastAsia="仿宋" w:cs="Times New Roman"/>
          <w:sz w:val="32"/>
        </w:rPr>
        <w:t>（</w:t>
      </w:r>
      <w:r>
        <w:rPr>
          <w:rFonts w:ascii="Times New Roman" w:hAnsi="Times New Roman" w:eastAsia="仿宋" w:cs="Times New Roman"/>
          <w:i/>
          <w:iCs/>
          <w:sz w:val="32"/>
        </w:rPr>
        <w:t>Anas platyrhynchos</w:t>
      </w:r>
      <w:r>
        <w:rPr>
          <w:rFonts w:hint="eastAsia" w:ascii="Times New Roman" w:hAnsi="Times New Roman" w:eastAsia="仿宋" w:cs="Times New Roman"/>
          <w:sz w:val="32"/>
        </w:rPr>
        <w:t>）</w:t>
      </w:r>
      <w:r>
        <w:rPr>
          <w:rFonts w:ascii="Times New Roman" w:hAnsi="Times New Roman" w:eastAsia="仿宋" w:cs="Times New Roman"/>
          <w:sz w:val="32"/>
        </w:rPr>
        <w:t>、池鹭</w:t>
      </w:r>
      <w:r>
        <w:rPr>
          <w:rFonts w:hint="eastAsia" w:ascii="Times New Roman" w:hAnsi="Times New Roman" w:eastAsia="仿宋" w:cs="Times New Roman"/>
          <w:sz w:val="32"/>
        </w:rPr>
        <w:t>（</w:t>
      </w:r>
      <w:r>
        <w:rPr>
          <w:rFonts w:ascii="Times New Roman" w:hAnsi="Times New Roman" w:eastAsia="仿宋" w:cs="Times New Roman"/>
          <w:i/>
          <w:iCs/>
          <w:sz w:val="32"/>
        </w:rPr>
        <w:t>Ardeola bacchus</w:t>
      </w:r>
      <w:r>
        <w:rPr>
          <w:rFonts w:hint="eastAsia" w:ascii="Times New Roman" w:hAnsi="Times New Roman" w:eastAsia="仿宋" w:cs="Times New Roman"/>
          <w:sz w:val="32"/>
        </w:rPr>
        <w:t>）</w:t>
      </w:r>
      <w:r>
        <w:rPr>
          <w:rFonts w:ascii="Times New Roman" w:hAnsi="Times New Roman" w:eastAsia="仿宋" w:cs="Times New Roman"/>
          <w:sz w:val="32"/>
        </w:rPr>
        <w:t>、鸳鸯</w:t>
      </w:r>
      <w:r>
        <w:rPr>
          <w:rFonts w:hint="eastAsia" w:ascii="Times New Roman" w:hAnsi="Times New Roman" w:eastAsia="仿宋" w:cs="Times New Roman"/>
          <w:sz w:val="32"/>
        </w:rPr>
        <w:t>（</w:t>
      </w:r>
      <w:r>
        <w:rPr>
          <w:rFonts w:ascii="Times New Roman" w:hAnsi="Times New Roman" w:eastAsia="仿宋" w:cs="Times New Roman"/>
          <w:i/>
          <w:iCs/>
          <w:sz w:val="32"/>
        </w:rPr>
        <w:t>Aix galericulata</w:t>
      </w:r>
      <w:r>
        <w:rPr>
          <w:rFonts w:hint="eastAsia" w:ascii="Times New Roman" w:hAnsi="Times New Roman" w:eastAsia="仿宋" w:cs="Times New Roman"/>
          <w:sz w:val="32"/>
        </w:rPr>
        <w:t>）</w:t>
      </w:r>
      <w:r>
        <w:rPr>
          <w:rFonts w:ascii="Times New Roman" w:hAnsi="Times New Roman" w:eastAsia="仿宋" w:cs="Times New Roman"/>
          <w:sz w:val="32"/>
        </w:rPr>
        <w:t>、北京雨燕</w:t>
      </w:r>
      <w:r>
        <w:rPr>
          <w:rFonts w:hint="eastAsia" w:ascii="Times New Roman" w:hAnsi="Times New Roman" w:eastAsia="仿宋" w:cs="Times New Roman"/>
          <w:sz w:val="32"/>
        </w:rPr>
        <w:t>（</w:t>
      </w:r>
      <w:r>
        <w:rPr>
          <w:rFonts w:ascii="Times New Roman" w:hAnsi="Times New Roman" w:eastAsia="仿宋" w:cs="Times New Roman"/>
          <w:i/>
          <w:iCs/>
          <w:sz w:val="32"/>
        </w:rPr>
        <w:t>Apus apus pekinensis</w:t>
      </w:r>
      <w:r>
        <w:rPr>
          <w:rFonts w:hint="eastAsia" w:ascii="Times New Roman" w:hAnsi="Times New Roman" w:eastAsia="仿宋" w:cs="Times New Roman"/>
          <w:sz w:val="32"/>
        </w:rPr>
        <w:t>）</w:t>
      </w:r>
      <w:r>
        <w:rPr>
          <w:rFonts w:ascii="Times New Roman" w:hAnsi="Times New Roman" w:eastAsia="仿宋" w:cs="Times New Roman"/>
          <w:sz w:val="32"/>
        </w:rPr>
        <w:t>、蒙古兔</w:t>
      </w:r>
      <w:r>
        <w:rPr>
          <w:rFonts w:hint="eastAsia" w:ascii="Times New Roman" w:hAnsi="Times New Roman" w:eastAsia="仿宋" w:cs="Times New Roman"/>
          <w:sz w:val="32"/>
        </w:rPr>
        <w:t>（</w:t>
      </w:r>
      <w:r>
        <w:rPr>
          <w:rFonts w:ascii="Times New Roman" w:hAnsi="Times New Roman" w:eastAsia="仿宋" w:cs="Times New Roman"/>
          <w:i/>
          <w:iCs/>
          <w:sz w:val="32"/>
        </w:rPr>
        <w:t>Lepus tolai tolai</w:t>
      </w:r>
      <w:r>
        <w:rPr>
          <w:rFonts w:hint="eastAsia" w:ascii="Times New Roman" w:hAnsi="Times New Roman" w:eastAsia="仿宋" w:cs="Times New Roman"/>
          <w:sz w:val="32"/>
        </w:rPr>
        <w:t>）</w:t>
      </w:r>
      <w:r>
        <w:rPr>
          <w:rFonts w:ascii="Times New Roman" w:hAnsi="Times New Roman" w:eastAsia="仿宋" w:cs="Times New Roman"/>
          <w:sz w:val="32"/>
        </w:rPr>
        <w:t>、黄鼬</w:t>
      </w:r>
      <w:r>
        <w:rPr>
          <w:rFonts w:hint="eastAsia" w:ascii="Times New Roman" w:hAnsi="Times New Roman" w:eastAsia="仿宋" w:cs="Times New Roman"/>
          <w:sz w:val="32"/>
        </w:rPr>
        <w:t>（</w:t>
      </w:r>
      <w:r>
        <w:rPr>
          <w:rFonts w:ascii="Times New Roman" w:hAnsi="Times New Roman" w:eastAsia="仿宋" w:cs="Times New Roman"/>
          <w:i/>
          <w:iCs/>
          <w:sz w:val="32"/>
        </w:rPr>
        <w:t>Mustela sibirica</w:t>
      </w:r>
      <w:r>
        <w:rPr>
          <w:rFonts w:hint="eastAsia" w:ascii="Times New Roman" w:hAnsi="Times New Roman" w:eastAsia="仿宋" w:cs="Times New Roman"/>
          <w:sz w:val="32"/>
        </w:rPr>
        <w:t>）</w:t>
      </w:r>
      <w:r>
        <w:rPr>
          <w:rFonts w:ascii="Times New Roman" w:hAnsi="Times New Roman" w:eastAsia="仿宋" w:cs="Times New Roman"/>
          <w:sz w:val="32"/>
        </w:rPr>
        <w:t>、松鼠</w:t>
      </w:r>
      <w:r>
        <w:rPr>
          <w:rFonts w:hint="eastAsia" w:ascii="Times New Roman" w:hAnsi="Times New Roman" w:eastAsia="仿宋" w:cs="Times New Roman"/>
          <w:sz w:val="32"/>
        </w:rPr>
        <w:t>（</w:t>
      </w:r>
      <w:r>
        <w:rPr>
          <w:rFonts w:ascii="Times New Roman" w:hAnsi="Times New Roman" w:eastAsia="仿宋" w:cs="Times New Roman"/>
          <w:i/>
          <w:iCs/>
          <w:sz w:val="32"/>
        </w:rPr>
        <w:t>Sciuridae</w:t>
      </w:r>
      <w:r>
        <w:rPr>
          <w:rFonts w:hint="eastAsia" w:ascii="Times New Roman" w:hAnsi="Times New Roman" w:eastAsia="仿宋" w:cs="Times New Roman"/>
          <w:sz w:val="32"/>
        </w:rPr>
        <w:t>）</w:t>
      </w:r>
      <w:r>
        <w:rPr>
          <w:rFonts w:ascii="Times New Roman" w:hAnsi="Times New Roman" w:eastAsia="仿宋" w:cs="Times New Roman"/>
          <w:sz w:val="32"/>
        </w:rPr>
        <w:t>、远东刺猬</w:t>
      </w:r>
      <w:r>
        <w:rPr>
          <w:rFonts w:hint="eastAsia" w:ascii="Times New Roman" w:hAnsi="Times New Roman" w:eastAsia="仿宋" w:cs="Times New Roman"/>
          <w:sz w:val="32"/>
        </w:rPr>
        <w:t>（</w:t>
      </w:r>
      <w:r>
        <w:rPr>
          <w:rFonts w:ascii="Times New Roman" w:hAnsi="Times New Roman" w:eastAsia="仿宋" w:cs="Times New Roman"/>
          <w:i/>
          <w:iCs/>
          <w:sz w:val="32"/>
        </w:rPr>
        <w:t>Erinaceus amurensis</w:t>
      </w:r>
      <w:r>
        <w:rPr>
          <w:rFonts w:hint="eastAsia" w:ascii="Times New Roman" w:hAnsi="Times New Roman" w:eastAsia="仿宋" w:cs="Times New Roman"/>
          <w:sz w:val="32"/>
        </w:rPr>
        <w:t>）</w:t>
      </w:r>
      <w:r>
        <w:rPr>
          <w:rFonts w:ascii="Times New Roman" w:hAnsi="Times New Roman" w:eastAsia="仿宋" w:cs="Times New Roman"/>
          <w:sz w:val="32"/>
        </w:rPr>
        <w:t>、金线蛙</w:t>
      </w:r>
      <w:r>
        <w:rPr>
          <w:rFonts w:hint="eastAsia" w:ascii="Times New Roman" w:hAnsi="Times New Roman" w:eastAsia="仿宋" w:cs="Times New Roman"/>
          <w:sz w:val="32"/>
        </w:rPr>
        <w:t>（</w:t>
      </w:r>
      <w:r>
        <w:rPr>
          <w:rFonts w:ascii="Times New Roman" w:hAnsi="Times New Roman" w:eastAsia="仿宋" w:cs="Times New Roman"/>
          <w:i/>
          <w:iCs/>
          <w:sz w:val="32"/>
        </w:rPr>
        <w:t>Rana plancyi</w:t>
      </w:r>
      <w:r>
        <w:rPr>
          <w:rFonts w:hint="eastAsia" w:ascii="Times New Roman" w:hAnsi="Times New Roman" w:eastAsia="仿宋" w:cs="Times New Roman"/>
          <w:sz w:val="32"/>
        </w:rPr>
        <w:t>）</w:t>
      </w:r>
      <w:r>
        <w:rPr>
          <w:rFonts w:ascii="Times New Roman" w:hAnsi="Times New Roman" w:eastAsia="仿宋" w:cs="Times New Roman"/>
          <w:sz w:val="32"/>
        </w:rPr>
        <w:t>、黑斑侧褶蛙</w:t>
      </w:r>
      <w:r>
        <w:rPr>
          <w:rFonts w:hint="eastAsia" w:ascii="Times New Roman" w:hAnsi="Times New Roman" w:eastAsia="仿宋" w:cs="Times New Roman"/>
          <w:sz w:val="32"/>
        </w:rPr>
        <w:t>（</w:t>
      </w:r>
      <w:r>
        <w:rPr>
          <w:rFonts w:ascii="Times New Roman" w:hAnsi="Times New Roman" w:eastAsia="仿宋" w:cs="Times New Roman"/>
          <w:i/>
          <w:iCs/>
          <w:sz w:val="32"/>
        </w:rPr>
        <w:t>Pelophylax nigromaculatus</w:t>
      </w:r>
      <w:r>
        <w:rPr>
          <w:rFonts w:hint="eastAsia" w:ascii="Times New Roman" w:hAnsi="Times New Roman" w:eastAsia="仿宋" w:cs="Times New Roman"/>
          <w:sz w:val="32"/>
        </w:rPr>
        <w:t>）</w:t>
      </w:r>
      <w:r>
        <w:rPr>
          <w:rFonts w:ascii="Times New Roman" w:hAnsi="Times New Roman" w:eastAsia="仿宋" w:cs="Times New Roman"/>
          <w:sz w:val="32"/>
        </w:rPr>
        <w:t>、黄脊游蛇</w:t>
      </w:r>
      <w:r>
        <w:rPr>
          <w:rFonts w:hint="eastAsia" w:ascii="Times New Roman" w:hAnsi="Times New Roman" w:eastAsia="仿宋" w:cs="Times New Roman"/>
          <w:sz w:val="32"/>
        </w:rPr>
        <w:t>（</w:t>
      </w:r>
      <w:r>
        <w:rPr>
          <w:rFonts w:ascii="Times New Roman" w:hAnsi="Times New Roman" w:eastAsia="仿宋" w:cs="Times New Roman"/>
          <w:i/>
          <w:iCs/>
          <w:sz w:val="32"/>
        </w:rPr>
        <w:t>Orientocoluber spinalis</w:t>
      </w:r>
      <w:r>
        <w:rPr>
          <w:rFonts w:hint="eastAsia" w:ascii="Times New Roman" w:hAnsi="Times New Roman" w:eastAsia="仿宋" w:cs="Times New Roman"/>
          <w:sz w:val="32"/>
        </w:rPr>
        <w:t>）</w:t>
      </w:r>
      <w:r>
        <w:rPr>
          <w:rFonts w:ascii="Times New Roman" w:hAnsi="Times New Roman" w:eastAsia="仿宋" w:cs="Times New Roman"/>
          <w:sz w:val="32"/>
        </w:rPr>
        <w:t>、白条锦蛇</w:t>
      </w:r>
      <w:r>
        <w:rPr>
          <w:rFonts w:hint="eastAsia" w:ascii="Times New Roman" w:hAnsi="Times New Roman" w:eastAsia="仿宋" w:cs="Times New Roman"/>
          <w:sz w:val="32"/>
        </w:rPr>
        <w:t>（</w:t>
      </w:r>
      <w:r>
        <w:rPr>
          <w:rFonts w:ascii="Times New Roman" w:hAnsi="Times New Roman" w:eastAsia="仿宋" w:cs="Times New Roman"/>
          <w:i/>
          <w:iCs/>
          <w:sz w:val="32"/>
        </w:rPr>
        <w:t>Elaphe dione</w:t>
      </w:r>
      <w:r>
        <w:rPr>
          <w:rFonts w:hint="eastAsia" w:ascii="Times New Roman" w:hAnsi="Times New Roman" w:eastAsia="仿宋" w:cs="Times New Roman"/>
          <w:sz w:val="32"/>
        </w:rPr>
        <w:t>）</w:t>
      </w:r>
      <w:r>
        <w:rPr>
          <w:rFonts w:ascii="Times New Roman" w:hAnsi="Times New Roman" w:eastAsia="仿宋" w:cs="Times New Roman"/>
          <w:sz w:val="32"/>
        </w:rPr>
        <w:t>等，在树丛绿化带上常有大山雀</w:t>
      </w:r>
      <w:r>
        <w:rPr>
          <w:rFonts w:hint="eastAsia" w:ascii="Times New Roman" w:hAnsi="Times New Roman" w:eastAsia="仿宋" w:cs="Times New Roman"/>
          <w:sz w:val="32"/>
        </w:rPr>
        <w:t>（</w:t>
      </w:r>
      <w:r>
        <w:rPr>
          <w:rFonts w:ascii="Times New Roman" w:hAnsi="Times New Roman" w:eastAsia="仿宋" w:cs="Times New Roman"/>
          <w:i/>
          <w:iCs/>
          <w:sz w:val="32"/>
        </w:rPr>
        <w:t>Parus major</w:t>
      </w:r>
      <w:r>
        <w:rPr>
          <w:rFonts w:hint="eastAsia" w:ascii="Times New Roman" w:hAnsi="Times New Roman" w:eastAsia="仿宋" w:cs="Times New Roman"/>
          <w:sz w:val="32"/>
        </w:rPr>
        <w:t>）</w:t>
      </w:r>
      <w:r>
        <w:rPr>
          <w:rFonts w:ascii="Times New Roman" w:hAnsi="Times New Roman" w:eastAsia="仿宋" w:cs="Times New Roman"/>
          <w:sz w:val="32"/>
        </w:rPr>
        <w:t>、白头鹎</w:t>
      </w:r>
      <w:r>
        <w:rPr>
          <w:rFonts w:hint="eastAsia" w:ascii="Times New Roman" w:hAnsi="Times New Roman" w:eastAsia="仿宋" w:cs="Times New Roman"/>
          <w:sz w:val="32"/>
        </w:rPr>
        <w:t>（</w:t>
      </w:r>
      <w:r>
        <w:rPr>
          <w:rFonts w:ascii="Times New Roman" w:hAnsi="Times New Roman" w:eastAsia="仿宋" w:cs="Times New Roman"/>
          <w:i/>
          <w:iCs/>
          <w:sz w:val="32"/>
        </w:rPr>
        <w:t>Pycnonotus sinensis</w:t>
      </w:r>
      <w:r>
        <w:rPr>
          <w:rFonts w:hint="eastAsia" w:ascii="Times New Roman" w:hAnsi="Times New Roman" w:eastAsia="仿宋" w:cs="Times New Roman"/>
          <w:sz w:val="32"/>
        </w:rPr>
        <w:t>）</w:t>
      </w:r>
      <w:r>
        <w:rPr>
          <w:rFonts w:ascii="Times New Roman" w:hAnsi="Times New Roman" w:eastAsia="仿宋" w:cs="Times New Roman"/>
          <w:sz w:val="32"/>
        </w:rPr>
        <w:t>、灰喜鹊</w:t>
      </w:r>
      <w:r>
        <w:rPr>
          <w:rFonts w:hint="eastAsia" w:ascii="Times New Roman" w:hAnsi="Times New Roman" w:eastAsia="仿宋" w:cs="Times New Roman"/>
          <w:sz w:val="32"/>
        </w:rPr>
        <w:t>（</w:t>
      </w:r>
      <w:r>
        <w:rPr>
          <w:rFonts w:ascii="Times New Roman" w:hAnsi="Times New Roman" w:eastAsia="仿宋" w:cs="Times New Roman"/>
          <w:i/>
          <w:iCs/>
          <w:sz w:val="32"/>
        </w:rPr>
        <w:t>Cyanopica cyanus kansuensis</w:t>
      </w:r>
      <w:r>
        <w:rPr>
          <w:rFonts w:hint="eastAsia" w:ascii="Times New Roman" w:hAnsi="Times New Roman" w:eastAsia="仿宋" w:cs="Times New Roman"/>
          <w:sz w:val="32"/>
        </w:rPr>
        <w:t>）</w:t>
      </w:r>
      <w:r>
        <w:rPr>
          <w:rFonts w:ascii="Times New Roman" w:hAnsi="Times New Roman" w:eastAsia="仿宋" w:cs="Times New Roman"/>
          <w:sz w:val="32"/>
        </w:rPr>
        <w:t>、灰椋鸟</w:t>
      </w:r>
      <w:r>
        <w:rPr>
          <w:rFonts w:hint="eastAsia" w:ascii="Times New Roman" w:hAnsi="Times New Roman" w:eastAsia="仿宋" w:cs="Times New Roman"/>
          <w:sz w:val="32"/>
        </w:rPr>
        <w:t>（</w:t>
      </w:r>
      <w:r>
        <w:rPr>
          <w:rFonts w:ascii="Times New Roman" w:hAnsi="Times New Roman" w:eastAsia="仿宋" w:cs="Times New Roman"/>
          <w:i/>
          <w:iCs/>
          <w:sz w:val="32"/>
        </w:rPr>
        <w:t>Spodiopsar cineraceus</w:t>
      </w:r>
      <w:r>
        <w:rPr>
          <w:rFonts w:hint="eastAsia" w:ascii="Times New Roman" w:hAnsi="Times New Roman" w:eastAsia="仿宋" w:cs="Times New Roman"/>
          <w:sz w:val="32"/>
        </w:rPr>
        <w:t>）</w:t>
      </w:r>
      <w:r>
        <w:rPr>
          <w:rFonts w:ascii="Times New Roman" w:hAnsi="Times New Roman" w:eastAsia="仿宋" w:cs="Times New Roman"/>
          <w:sz w:val="32"/>
        </w:rPr>
        <w:t>等活动</w:t>
      </w:r>
      <w:r>
        <w:rPr>
          <w:rFonts w:hint="eastAsia" w:ascii="Times New Roman" w:hAnsi="Times New Roman" w:eastAsia="仿宋" w:cs="Times New Roman"/>
          <w:sz w:val="32"/>
        </w:rPr>
        <w:t>。</w:t>
      </w:r>
      <w:r>
        <w:rPr>
          <w:rFonts w:ascii="Times New Roman" w:hAnsi="Times New Roman" w:eastAsia="仿宋" w:cs="Times New Roman"/>
          <w:sz w:val="32"/>
        </w:rPr>
        <w:t>北京温榆河公园朝阳段记录到野生动物573种，其中国家一级重点保护野生动物包括黄胸鹀</w:t>
      </w:r>
      <w:r>
        <w:rPr>
          <w:rFonts w:hint="eastAsia" w:ascii="Times New Roman" w:hAnsi="Times New Roman" w:eastAsia="仿宋" w:cs="Times New Roman"/>
          <w:sz w:val="32"/>
        </w:rPr>
        <w:t>（</w:t>
      </w:r>
      <w:r>
        <w:rPr>
          <w:rFonts w:ascii="Times New Roman" w:hAnsi="Times New Roman" w:eastAsia="仿宋" w:cs="Times New Roman"/>
          <w:i/>
          <w:iCs/>
          <w:sz w:val="32"/>
        </w:rPr>
        <w:t>Emberiza aureola</w:t>
      </w:r>
      <w:r>
        <w:rPr>
          <w:rFonts w:hint="eastAsia" w:ascii="Times New Roman" w:hAnsi="Times New Roman" w:eastAsia="仿宋" w:cs="Times New Roman"/>
          <w:sz w:val="32"/>
        </w:rPr>
        <w:t>）</w:t>
      </w:r>
      <w:r>
        <w:rPr>
          <w:rFonts w:ascii="Times New Roman" w:hAnsi="Times New Roman" w:eastAsia="仿宋" w:cs="Times New Roman"/>
          <w:sz w:val="32"/>
        </w:rPr>
        <w:t>，疣鼻天鹅</w:t>
      </w:r>
      <w:r>
        <w:rPr>
          <w:rFonts w:hint="eastAsia" w:ascii="Times New Roman" w:hAnsi="Times New Roman" w:eastAsia="仿宋" w:cs="Times New Roman"/>
          <w:sz w:val="32"/>
        </w:rPr>
        <w:t>（</w:t>
      </w:r>
      <w:r>
        <w:rPr>
          <w:rFonts w:ascii="Times New Roman" w:hAnsi="Times New Roman" w:eastAsia="仿宋" w:cs="Times New Roman"/>
          <w:i/>
          <w:iCs/>
          <w:sz w:val="32"/>
        </w:rPr>
        <w:t>Cygnus olor</w:t>
      </w:r>
      <w:r>
        <w:rPr>
          <w:rFonts w:hint="eastAsia" w:ascii="Times New Roman" w:hAnsi="Times New Roman" w:eastAsia="仿宋" w:cs="Times New Roman"/>
          <w:sz w:val="32"/>
        </w:rPr>
        <w:t>）</w:t>
      </w:r>
      <w:r>
        <w:rPr>
          <w:rFonts w:ascii="Times New Roman" w:hAnsi="Times New Roman" w:eastAsia="仿宋" w:cs="Times New Roman"/>
          <w:sz w:val="32"/>
        </w:rPr>
        <w:t>等国家二级重点保护野生动物24种</w:t>
      </w:r>
      <w:r>
        <w:rPr>
          <w:rFonts w:hint="eastAsia" w:ascii="Times New Roman" w:hAnsi="Times New Roman" w:eastAsia="仿宋" w:cs="Times New Roman"/>
          <w:sz w:val="32"/>
        </w:rPr>
        <w:t>。</w:t>
      </w:r>
    </w:p>
    <w:p w14:paraId="425A6AC3">
      <w:pPr>
        <w:ind w:firstLine="640" w:firstLineChars="200"/>
        <w:rPr>
          <w:rFonts w:ascii="Times New Roman" w:hAnsi="Times New Roman" w:eastAsia="仿宋" w:cs="Times New Roman"/>
          <w:sz w:val="32"/>
        </w:rPr>
      </w:pPr>
      <w:r>
        <w:rPr>
          <w:rFonts w:ascii="Times New Roman" w:hAnsi="Times New Roman" w:eastAsia="仿宋" w:cs="Times New Roman"/>
          <w:sz w:val="32"/>
        </w:rPr>
        <w:t>（2）植物资源</w:t>
      </w:r>
    </w:p>
    <w:p w14:paraId="2438ACF7">
      <w:pPr>
        <w:ind w:firstLine="640" w:firstLineChars="200"/>
        <w:rPr>
          <w:rFonts w:ascii="Times New Roman" w:hAnsi="Times New Roman" w:eastAsia="仿宋" w:cs="Times New Roman"/>
          <w:sz w:val="32"/>
        </w:rPr>
      </w:pPr>
      <w:r>
        <w:rPr>
          <w:rFonts w:ascii="Times New Roman" w:hAnsi="Times New Roman" w:eastAsia="仿宋" w:cs="Times New Roman"/>
          <w:sz w:val="32"/>
        </w:rPr>
        <w:t>由于朝阳区开发历史悠久，自然植被多被改造为农田</w:t>
      </w:r>
      <w:r>
        <w:rPr>
          <w:rFonts w:hint="eastAsia" w:ascii="Times New Roman" w:hAnsi="Times New Roman" w:eastAsia="仿宋" w:cs="Times New Roman"/>
          <w:sz w:val="32"/>
        </w:rPr>
        <w:t>（</w:t>
      </w:r>
      <w:r>
        <w:rPr>
          <w:rFonts w:ascii="Times New Roman" w:hAnsi="Times New Roman" w:eastAsia="仿宋" w:cs="Times New Roman"/>
          <w:sz w:val="32"/>
        </w:rPr>
        <w:t>包括防护人工林网</w:t>
      </w:r>
      <w:r>
        <w:rPr>
          <w:rFonts w:hint="eastAsia" w:ascii="Times New Roman" w:hAnsi="Times New Roman" w:eastAsia="仿宋" w:cs="Times New Roman"/>
          <w:sz w:val="32"/>
        </w:rPr>
        <w:t>）</w:t>
      </w:r>
      <w:r>
        <w:rPr>
          <w:rFonts w:ascii="Times New Roman" w:hAnsi="Times New Roman" w:eastAsia="仿宋" w:cs="Times New Roman"/>
          <w:sz w:val="32"/>
        </w:rPr>
        <w:t>和城镇</w:t>
      </w:r>
      <w:r>
        <w:rPr>
          <w:rFonts w:hint="eastAsia" w:ascii="Times New Roman" w:hAnsi="Times New Roman" w:eastAsia="仿宋" w:cs="Times New Roman"/>
          <w:sz w:val="32"/>
        </w:rPr>
        <w:t>（</w:t>
      </w:r>
      <w:r>
        <w:rPr>
          <w:rFonts w:ascii="Times New Roman" w:hAnsi="Times New Roman" w:eastAsia="仿宋" w:cs="Times New Roman"/>
          <w:sz w:val="32"/>
        </w:rPr>
        <w:t>包括绿化隔离带</w:t>
      </w:r>
      <w:r>
        <w:rPr>
          <w:rFonts w:hint="eastAsia" w:ascii="Times New Roman" w:hAnsi="Times New Roman" w:eastAsia="仿宋" w:cs="Times New Roman"/>
          <w:sz w:val="32"/>
        </w:rPr>
        <w:t>）</w:t>
      </w:r>
      <w:r>
        <w:rPr>
          <w:rFonts w:ascii="Times New Roman" w:hAnsi="Times New Roman" w:eastAsia="仿宋" w:cs="Times New Roman"/>
          <w:sz w:val="32"/>
        </w:rPr>
        <w:t>，仅有少量原生物种残遗，目前所见植物大多为人工栽培，其中相当部分物种为引进种。朝阳区地带性植被为半湿润落叶阔叶林。原生乔木物种主要有旱柳</w:t>
      </w:r>
      <w:r>
        <w:rPr>
          <w:rFonts w:hint="eastAsia" w:ascii="Times New Roman" w:hAnsi="Times New Roman" w:eastAsia="仿宋" w:cs="Times New Roman"/>
          <w:sz w:val="32"/>
        </w:rPr>
        <w:t>（</w:t>
      </w:r>
      <w:r>
        <w:rPr>
          <w:rFonts w:ascii="Times New Roman" w:hAnsi="Times New Roman" w:eastAsia="仿宋" w:cs="Times New Roman"/>
          <w:i/>
          <w:iCs/>
          <w:sz w:val="32"/>
        </w:rPr>
        <w:t xml:space="preserve">Salix matsudana </w:t>
      </w:r>
      <w:r>
        <w:rPr>
          <w:rFonts w:ascii="Times New Roman" w:hAnsi="Times New Roman" w:eastAsia="仿宋" w:cs="Times New Roman"/>
          <w:sz w:val="32"/>
        </w:rPr>
        <w:t>Koidz.</w:t>
      </w:r>
      <w:r>
        <w:rPr>
          <w:rFonts w:hint="eastAsia" w:ascii="Times New Roman" w:hAnsi="Times New Roman" w:eastAsia="仿宋" w:cs="Times New Roman"/>
          <w:sz w:val="32"/>
        </w:rPr>
        <w:t>）</w:t>
      </w:r>
      <w:r>
        <w:rPr>
          <w:rFonts w:ascii="Times New Roman" w:hAnsi="Times New Roman" w:eastAsia="仿宋" w:cs="Times New Roman"/>
          <w:sz w:val="32"/>
        </w:rPr>
        <w:t>、槭树、榆树</w:t>
      </w:r>
      <w:r>
        <w:rPr>
          <w:rFonts w:hint="eastAsia" w:ascii="Times New Roman" w:hAnsi="Times New Roman" w:eastAsia="仿宋" w:cs="Times New Roman"/>
          <w:sz w:val="32"/>
        </w:rPr>
        <w:t>（</w:t>
      </w:r>
      <w:r>
        <w:rPr>
          <w:rFonts w:ascii="Times New Roman" w:hAnsi="Times New Roman" w:eastAsia="仿宋" w:cs="Times New Roman"/>
          <w:i/>
          <w:iCs/>
          <w:sz w:val="32"/>
        </w:rPr>
        <w:t>Ulmus pumila</w:t>
      </w:r>
      <w:r>
        <w:rPr>
          <w:rFonts w:hint="eastAsia" w:ascii="Times New Roman" w:hAnsi="Times New Roman" w:eastAsia="仿宋" w:cs="Times New Roman"/>
          <w:sz w:val="32"/>
        </w:rPr>
        <w:t xml:space="preserve"> </w:t>
      </w:r>
      <w:r>
        <w:rPr>
          <w:rFonts w:ascii="Times New Roman" w:hAnsi="Times New Roman" w:eastAsia="仿宋" w:cs="Times New Roman"/>
          <w:sz w:val="32"/>
        </w:rPr>
        <w:t>L.</w:t>
      </w:r>
      <w:r>
        <w:rPr>
          <w:rFonts w:hint="eastAsia" w:ascii="Times New Roman" w:hAnsi="Times New Roman" w:eastAsia="仿宋" w:cs="Times New Roman"/>
          <w:sz w:val="32"/>
        </w:rPr>
        <w:t>）</w:t>
      </w:r>
      <w:r>
        <w:rPr>
          <w:rFonts w:ascii="Times New Roman" w:hAnsi="Times New Roman" w:eastAsia="仿宋" w:cs="Times New Roman"/>
          <w:sz w:val="32"/>
        </w:rPr>
        <w:t>、臭椿</w:t>
      </w:r>
      <w:r>
        <w:rPr>
          <w:rFonts w:hint="eastAsia" w:ascii="Times New Roman" w:hAnsi="Times New Roman" w:eastAsia="仿宋" w:cs="Times New Roman"/>
          <w:sz w:val="32"/>
        </w:rPr>
        <w:t>（</w:t>
      </w:r>
      <w:r>
        <w:rPr>
          <w:rFonts w:ascii="Times New Roman" w:hAnsi="Times New Roman" w:eastAsia="仿宋" w:cs="Times New Roman"/>
          <w:i/>
          <w:iCs/>
          <w:sz w:val="32"/>
        </w:rPr>
        <w:t>Ailanthus altissima</w:t>
      </w:r>
      <w:r>
        <w:rPr>
          <w:rFonts w:hint="eastAsia" w:ascii="Times New Roman" w:hAnsi="Times New Roman" w:eastAsia="仿宋" w:cs="Times New Roman"/>
          <w:sz w:val="32"/>
        </w:rPr>
        <w:t xml:space="preserve"> </w:t>
      </w:r>
      <w:r>
        <w:rPr>
          <w:rFonts w:ascii="Times New Roman" w:hAnsi="Times New Roman" w:eastAsia="仿宋" w:cs="Times New Roman"/>
          <w:sz w:val="32"/>
        </w:rPr>
        <w:t>(Mill.) Swingle</w:t>
      </w:r>
      <w:r>
        <w:rPr>
          <w:rFonts w:hint="eastAsia" w:ascii="Times New Roman" w:hAnsi="Times New Roman" w:eastAsia="仿宋" w:cs="Times New Roman"/>
          <w:sz w:val="32"/>
        </w:rPr>
        <w:t>）</w:t>
      </w:r>
      <w:r>
        <w:rPr>
          <w:rFonts w:ascii="Times New Roman" w:hAnsi="Times New Roman" w:eastAsia="仿宋" w:cs="Times New Roman"/>
          <w:sz w:val="32"/>
        </w:rPr>
        <w:t>、楸</w:t>
      </w:r>
      <w:r>
        <w:rPr>
          <w:rFonts w:hint="eastAsia" w:ascii="Times New Roman" w:hAnsi="Times New Roman" w:eastAsia="仿宋" w:cs="Times New Roman"/>
          <w:sz w:val="32"/>
        </w:rPr>
        <w:t>（</w:t>
      </w:r>
      <w:r>
        <w:rPr>
          <w:rFonts w:ascii="Times New Roman" w:hAnsi="Times New Roman" w:eastAsia="仿宋" w:cs="Times New Roman"/>
          <w:i/>
          <w:iCs/>
          <w:sz w:val="32"/>
        </w:rPr>
        <w:t>Catalpa bungei</w:t>
      </w:r>
      <w:r>
        <w:rPr>
          <w:rFonts w:hint="eastAsia" w:ascii="Times New Roman" w:hAnsi="Times New Roman" w:eastAsia="仿宋" w:cs="Times New Roman"/>
          <w:sz w:val="32"/>
        </w:rPr>
        <w:t xml:space="preserve"> </w:t>
      </w:r>
      <w:r>
        <w:rPr>
          <w:rFonts w:ascii="Times New Roman" w:hAnsi="Times New Roman" w:eastAsia="仿宋" w:cs="Times New Roman"/>
          <w:sz w:val="32"/>
        </w:rPr>
        <w:t>C. A. Mey.</w:t>
      </w:r>
      <w:r>
        <w:rPr>
          <w:rFonts w:hint="eastAsia" w:ascii="Times New Roman" w:hAnsi="Times New Roman" w:eastAsia="仿宋" w:cs="Times New Roman"/>
          <w:sz w:val="32"/>
        </w:rPr>
        <w:t>）</w:t>
      </w:r>
      <w:r>
        <w:rPr>
          <w:rFonts w:ascii="Times New Roman" w:hAnsi="Times New Roman" w:eastAsia="仿宋" w:cs="Times New Roman"/>
          <w:sz w:val="32"/>
        </w:rPr>
        <w:t>、槐</w:t>
      </w:r>
      <w:r>
        <w:rPr>
          <w:rFonts w:hint="eastAsia" w:ascii="Times New Roman" w:hAnsi="Times New Roman" w:eastAsia="仿宋" w:cs="Times New Roman"/>
          <w:sz w:val="32"/>
        </w:rPr>
        <w:t>（</w:t>
      </w:r>
      <w:r>
        <w:rPr>
          <w:rFonts w:ascii="Times New Roman" w:hAnsi="Times New Roman" w:eastAsia="仿宋" w:cs="Times New Roman"/>
          <w:i/>
          <w:iCs/>
          <w:sz w:val="32"/>
        </w:rPr>
        <w:t>Styphnolobium japonicum</w:t>
      </w:r>
      <w:r>
        <w:rPr>
          <w:rFonts w:hint="eastAsia" w:ascii="Times New Roman" w:hAnsi="Times New Roman" w:eastAsia="仿宋" w:cs="Times New Roman"/>
          <w:i/>
          <w:iCs/>
          <w:sz w:val="32"/>
        </w:rPr>
        <w:t xml:space="preserve"> </w:t>
      </w:r>
      <w:r>
        <w:rPr>
          <w:rFonts w:ascii="Times New Roman" w:hAnsi="Times New Roman" w:eastAsia="仿宋" w:cs="Times New Roman"/>
          <w:sz w:val="32"/>
        </w:rPr>
        <w:t>(L.) Schott</w:t>
      </w:r>
      <w:r>
        <w:rPr>
          <w:rFonts w:hint="eastAsia" w:ascii="Times New Roman" w:hAnsi="Times New Roman" w:eastAsia="仿宋" w:cs="Times New Roman"/>
          <w:sz w:val="32"/>
        </w:rPr>
        <w:t>）</w:t>
      </w:r>
      <w:r>
        <w:rPr>
          <w:rFonts w:ascii="Times New Roman" w:hAnsi="Times New Roman" w:eastAsia="仿宋" w:cs="Times New Roman"/>
          <w:sz w:val="32"/>
        </w:rPr>
        <w:t>等；原生灌木物种有虎榛</w:t>
      </w:r>
      <w:r>
        <w:rPr>
          <w:rFonts w:hint="eastAsia" w:ascii="Times New Roman" w:hAnsi="Times New Roman" w:eastAsia="仿宋" w:cs="Times New Roman"/>
          <w:sz w:val="32"/>
        </w:rPr>
        <w:t>子（</w:t>
      </w:r>
      <w:r>
        <w:rPr>
          <w:rFonts w:ascii="Times New Roman" w:hAnsi="Times New Roman" w:eastAsia="仿宋" w:cs="Times New Roman"/>
          <w:i/>
          <w:iCs/>
          <w:sz w:val="32"/>
        </w:rPr>
        <w:t>Ostryopsis davidiana</w:t>
      </w:r>
      <w:r>
        <w:rPr>
          <w:rFonts w:ascii="Times New Roman" w:hAnsi="Times New Roman" w:eastAsia="仿宋" w:cs="Times New Roman"/>
          <w:sz w:val="32"/>
        </w:rPr>
        <w:t xml:space="preserve"> Decne.</w:t>
      </w:r>
      <w:r>
        <w:rPr>
          <w:rFonts w:hint="eastAsia" w:ascii="Times New Roman" w:hAnsi="Times New Roman" w:eastAsia="仿宋" w:cs="Times New Roman"/>
          <w:sz w:val="32"/>
        </w:rPr>
        <w:t>）</w:t>
      </w:r>
      <w:r>
        <w:rPr>
          <w:rFonts w:ascii="Times New Roman" w:hAnsi="Times New Roman" w:eastAsia="仿宋" w:cs="Times New Roman"/>
          <w:sz w:val="32"/>
        </w:rPr>
        <w:t>、胡枝子</w:t>
      </w:r>
      <w:r>
        <w:rPr>
          <w:rFonts w:hint="eastAsia" w:ascii="Times New Roman" w:hAnsi="Times New Roman" w:eastAsia="仿宋" w:cs="Times New Roman"/>
          <w:sz w:val="32"/>
        </w:rPr>
        <w:t>（</w:t>
      </w:r>
      <w:r>
        <w:rPr>
          <w:rFonts w:ascii="Times New Roman" w:hAnsi="Times New Roman" w:eastAsia="仿宋" w:cs="Times New Roman"/>
          <w:i/>
          <w:iCs/>
          <w:sz w:val="32"/>
        </w:rPr>
        <w:t>Lespedeza bicolor</w:t>
      </w:r>
      <w:r>
        <w:rPr>
          <w:rFonts w:hint="eastAsia" w:ascii="Times New Roman" w:hAnsi="Times New Roman" w:eastAsia="仿宋" w:cs="Times New Roman"/>
          <w:i/>
          <w:iCs/>
          <w:sz w:val="32"/>
        </w:rPr>
        <w:t xml:space="preserve"> </w:t>
      </w:r>
      <w:r>
        <w:rPr>
          <w:rFonts w:ascii="Times New Roman" w:hAnsi="Times New Roman" w:eastAsia="仿宋" w:cs="Times New Roman"/>
          <w:sz w:val="32"/>
        </w:rPr>
        <w:t>Turcz.</w:t>
      </w:r>
      <w:r>
        <w:rPr>
          <w:rFonts w:hint="eastAsia" w:ascii="Times New Roman" w:hAnsi="Times New Roman" w:eastAsia="仿宋" w:cs="Times New Roman"/>
          <w:sz w:val="32"/>
        </w:rPr>
        <w:t>）</w:t>
      </w:r>
      <w:r>
        <w:rPr>
          <w:rFonts w:ascii="Times New Roman" w:hAnsi="Times New Roman" w:eastAsia="仿宋" w:cs="Times New Roman"/>
          <w:sz w:val="32"/>
        </w:rPr>
        <w:t>、北京忍冬</w:t>
      </w:r>
      <w:r>
        <w:rPr>
          <w:rFonts w:hint="eastAsia" w:ascii="Times New Roman" w:hAnsi="Times New Roman" w:eastAsia="仿宋" w:cs="Times New Roman"/>
          <w:sz w:val="32"/>
        </w:rPr>
        <w:t>（</w:t>
      </w:r>
      <w:r>
        <w:rPr>
          <w:rFonts w:ascii="Times New Roman" w:hAnsi="Times New Roman" w:eastAsia="仿宋" w:cs="Times New Roman"/>
          <w:i/>
          <w:iCs/>
          <w:sz w:val="32"/>
        </w:rPr>
        <w:t>Lonicera elisae</w:t>
      </w:r>
      <w:r>
        <w:rPr>
          <w:rFonts w:hint="eastAsia" w:ascii="Times New Roman" w:hAnsi="Times New Roman" w:eastAsia="仿宋" w:cs="Times New Roman"/>
          <w:i/>
          <w:iCs/>
          <w:sz w:val="32"/>
        </w:rPr>
        <w:t xml:space="preserve"> </w:t>
      </w:r>
      <w:r>
        <w:rPr>
          <w:rFonts w:ascii="Times New Roman" w:hAnsi="Times New Roman" w:eastAsia="仿宋" w:cs="Times New Roman"/>
          <w:sz w:val="32"/>
        </w:rPr>
        <w:t>Franch.</w:t>
      </w:r>
      <w:r>
        <w:rPr>
          <w:rFonts w:hint="eastAsia" w:ascii="Times New Roman" w:hAnsi="Times New Roman" w:eastAsia="仿宋" w:cs="Times New Roman"/>
          <w:sz w:val="32"/>
        </w:rPr>
        <w:t>）</w:t>
      </w:r>
      <w:r>
        <w:rPr>
          <w:rFonts w:ascii="Times New Roman" w:hAnsi="Times New Roman" w:eastAsia="仿宋" w:cs="Times New Roman"/>
          <w:sz w:val="32"/>
        </w:rPr>
        <w:t>等；草本植物有芦苇</w:t>
      </w:r>
      <w:r>
        <w:rPr>
          <w:rFonts w:hint="eastAsia" w:ascii="Times New Roman" w:hAnsi="Times New Roman" w:eastAsia="仿宋" w:cs="Times New Roman"/>
          <w:sz w:val="32"/>
        </w:rPr>
        <w:t>（</w:t>
      </w:r>
      <w:r>
        <w:rPr>
          <w:rFonts w:ascii="Times New Roman" w:hAnsi="Times New Roman" w:eastAsia="仿宋" w:cs="Times New Roman"/>
          <w:i/>
          <w:iCs/>
          <w:sz w:val="32"/>
        </w:rPr>
        <w:t>Phragmites australis</w:t>
      </w:r>
      <w:r>
        <w:rPr>
          <w:rFonts w:hint="eastAsia" w:ascii="Times New Roman" w:hAnsi="Times New Roman" w:eastAsia="仿宋" w:cs="Times New Roman"/>
          <w:i/>
          <w:iCs/>
          <w:sz w:val="32"/>
        </w:rPr>
        <w:t xml:space="preserve"> </w:t>
      </w:r>
      <w:r>
        <w:rPr>
          <w:rFonts w:ascii="Times New Roman" w:hAnsi="Times New Roman" w:eastAsia="仿宋" w:cs="Times New Roman"/>
          <w:sz w:val="32"/>
        </w:rPr>
        <w:t>(Cav.) Trin. ex Steud</w:t>
      </w:r>
      <w:r>
        <w:rPr>
          <w:rFonts w:hint="eastAsia" w:ascii="Times New Roman" w:hAnsi="Times New Roman" w:eastAsia="仿宋" w:cs="Times New Roman"/>
          <w:sz w:val="32"/>
        </w:rPr>
        <w:t>）</w:t>
      </w:r>
      <w:r>
        <w:rPr>
          <w:rFonts w:ascii="Times New Roman" w:hAnsi="Times New Roman" w:eastAsia="仿宋" w:cs="Times New Roman"/>
          <w:sz w:val="32"/>
        </w:rPr>
        <w:t>、黄背草</w:t>
      </w:r>
      <w:r>
        <w:rPr>
          <w:rFonts w:hint="eastAsia" w:ascii="Times New Roman" w:hAnsi="Times New Roman" w:eastAsia="仿宋" w:cs="Times New Roman"/>
          <w:sz w:val="32"/>
        </w:rPr>
        <w:t>（</w:t>
      </w:r>
      <w:r>
        <w:rPr>
          <w:rFonts w:ascii="Times New Roman" w:hAnsi="Times New Roman" w:eastAsia="仿宋" w:cs="Times New Roman"/>
          <w:i/>
          <w:iCs/>
          <w:sz w:val="32"/>
        </w:rPr>
        <w:t>Themeda triandra</w:t>
      </w:r>
      <w:r>
        <w:rPr>
          <w:rFonts w:hint="eastAsia" w:ascii="Times New Roman" w:hAnsi="Times New Roman" w:eastAsia="仿宋" w:cs="Times New Roman"/>
          <w:sz w:val="32"/>
        </w:rPr>
        <w:t xml:space="preserve"> </w:t>
      </w:r>
      <w:r>
        <w:rPr>
          <w:rFonts w:ascii="Times New Roman" w:hAnsi="Times New Roman" w:eastAsia="仿宋" w:cs="Times New Roman"/>
          <w:sz w:val="32"/>
        </w:rPr>
        <w:t>Forssk.</w:t>
      </w:r>
      <w:r>
        <w:rPr>
          <w:rFonts w:hint="eastAsia" w:ascii="Times New Roman" w:hAnsi="Times New Roman" w:eastAsia="仿宋" w:cs="Times New Roman"/>
          <w:sz w:val="32"/>
        </w:rPr>
        <w:t>）</w:t>
      </w:r>
      <w:r>
        <w:rPr>
          <w:rFonts w:ascii="Times New Roman" w:hAnsi="Times New Roman" w:eastAsia="仿宋" w:cs="Times New Roman"/>
          <w:sz w:val="32"/>
        </w:rPr>
        <w:t>、天南星</w:t>
      </w:r>
      <w:r>
        <w:rPr>
          <w:rFonts w:hint="eastAsia" w:ascii="Times New Roman" w:hAnsi="Times New Roman" w:eastAsia="仿宋" w:cs="Times New Roman"/>
          <w:sz w:val="32"/>
        </w:rPr>
        <w:t>（</w:t>
      </w:r>
      <w:r>
        <w:rPr>
          <w:rFonts w:ascii="Times New Roman" w:hAnsi="Times New Roman" w:eastAsia="仿宋" w:cs="Times New Roman"/>
          <w:i/>
          <w:iCs/>
          <w:sz w:val="32"/>
        </w:rPr>
        <w:t>Arisaema heterophyllum</w:t>
      </w:r>
      <w:r>
        <w:rPr>
          <w:rFonts w:hint="eastAsia" w:ascii="Times New Roman" w:hAnsi="Times New Roman" w:eastAsia="仿宋" w:cs="Times New Roman"/>
          <w:i/>
          <w:iCs/>
          <w:sz w:val="32"/>
        </w:rPr>
        <w:t xml:space="preserve"> </w:t>
      </w:r>
      <w:r>
        <w:rPr>
          <w:rFonts w:ascii="Times New Roman" w:hAnsi="Times New Roman" w:eastAsia="仿宋" w:cs="Times New Roman"/>
          <w:sz w:val="32"/>
        </w:rPr>
        <w:t>Blume</w:t>
      </w:r>
      <w:r>
        <w:rPr>
          <w:rFonts w:hint="eastAsia" w:ascii="Times New Roman" w:hAnsi="Times New Roman" w:eastAsia="仿宋" w:cs="Times New Roman"/>
          <w:sz w:val="32"/>
        </w:rPr>
        <w:t>）</w:t>
      </w:r>
      <w:r>
        <w:rPr>
          <w:rFonts w:ascii="Times New Roman" w:hAnsi="Times New Roman" w:eastAsia="仿宋" w:cs="Times New Roman"/>
          <w:sz w:val="32"/>
        </w:rPr>
        <w:t>等。</w:t>
      </w:r>
    </w:p>
    <w:p w14:paraId="7E4CAA6C">
      <w:pPr>
        <w:keepNext/>
        <w:keepLines/>
        <w:spacing w:before="260" w:after="260" w:line="416" w:lineRule="auto"/>
        <w:outlineLvl w:val="1"/>
        <w:rPr>
          <w:rFonts w:ascii="Times New Roman" w:hAnsi="Times New Roman" w:eastAsia="仿宋" w:cs="Times New Roman"/>
          <w:b/>
          <w:bCs/>
          <w:sz w:val="32"/>
          <w:szCs w:val="32"/>
        </w:rPr>
      </w:pPr>
      <w:bookmarkStart w:id="51" w:name="_Toc30253"/>
      <w:bookmarkStart w:id="52" w:name="_Toc240204669"/>
      <w:r>
        <w:rPr>
          <w:rFonts w:ascii="Times New Roman" w:hAnsi="Times New Roman" w:eastAsia="仿宋" w:cs="Times New Roman"/>
          <w:b/>
          <w:bCs/>
          <w:sz w:val="32"/>
          <w:szCs w:val="32"/>
        </w:rPr>
        <w:t>二、湿地问题分析</w:t>
      </w:r>
      <w:bookmarkEnd w:id="51"/>
      <w:bookmarkEnd w:id="52"/>
    </w:p>
    <w:p w14:paraId="5E32FACD">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（一）水体岸线自然化率低</w:t>
      </w:r>
    </w:p>
    <w:p w14:paraId="64CC7731">
      <w:pPr>
        <w:ind w:firstLine="640" w:firstLineChars="200"/>
        <w:rPr>
          <w:rFonts w:ascii="Times New Roman" w:hAnsi="Times New Roman" w:eastAsia="仿宋" w:cs="Times New Roman"/>
          <w:sz w:val="32"/>
        </w:rPr>
      </w:pPr>
      <w:r>
        <w:rPr>
          <w:rFonts w:ascii="Times New Roman" w:hAnsi="Times New Roman" w:eastAsia="仿宋" w:cs="Times New Roman"/>
          <w:sz w:val="32"/>
        </w:rPr>
        <w:t>区域现状河道多为硬质渠化断面、标准化堤防，部分河湖岸线硬质化，自然岸线比例低，以防洪安全、景观整洁为主要建设标准，人工干预程度极高，生态功能下降；受防洪安全规范、城市景观要求、现有工程设施限制，近自然岸线重塑、本土植被恢复、野生生境营造等内容不足。</w:t>
      </w:r>
    </w:p>
    <w:p w14:paraId="13058226">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（二）生境碎片化突出</w:t>
      </w:r>
    </w:p>
    <w:p w14:paraId="555E9C22">
      <w:pPr>
        <w:ind w:firstLine="640" w:firstLineChars="200"/>
        <w:rPr>
          <w:rFonts w:ascii="Times New Roman" w:hAnsi="Times New Roman" w:eastAsia="仿宋" w:cs="Times New Roman"/>
          <w:sz w:val="32"/>
        </w:rPr>
      </w:pPr>
      <w:r>
        <w:rPr>
          <w:rFonts w:ascii="Times New Roman" w:hAnsi="Times New Roman" w:eastAsia="仿宋" w:cs="Times New Roman"/>
          <w:sz w:val="32"/>
        </w:rPr>
        <w:t>现状湿地沿河道呈零散点状分布，城市道路、建筑堤防、市政管线等人工设施割裂水系脉络，导致湿地生境破碎化、水文连通性不足、生态廊道断裂，水系连通、湿地整合改造等系统性修复与连通实施阻力较大。</w:t>
      </w:r>
    </w:p>
    <w:p w14:paraId="2998A443">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（三）湿地生态稳定性维持压力大</w:t>
      </w:r>
    </w:p>
    <w:p w14:paraId="5FE264FF">
      <w:pPr>
        <w:ind w:firstLine="640" w:firstLineChars="200"/>
        <w:rPr>
          <w:rFonts w:ascii="Times New Roman" w:hAnsi="Times New Roman" w:eastAsia="仿宋" w:cs="Times New Roman"/>
          <w:sz w:val="32"/>
        </w:rPr>
      </w:pPr>
      <w:r>
        <w:rPr>
          <w:rFonts w:ascii="Times New Roman" w:hAnsi="Times New Roman" w:eastAsia="仿宋" w:cs="Times New Roman"/>
          <w:sz w:val="32"/>
        </w:rPr>
        <w:t>朝阳区地处北京平原区，水资源禀赋有限，天然降水不足，高温季节湿地水体蒸发量大，生态用水保障压力突出。城区人口密集、活动强度大，</w:t>
      </w:r>
      <w:r>
        <w:rPr>
          <w:rFonts w:hint="eastAsia" w:ascii="Times New Roman" w:hAnsi="Times New Roman" w:eastAsia="仿宋" w:cs="Times New Roman"/>
          <w:sz w:val="32"/>
        </w:rPr>
        <w:t>城市规划建设、滨水空间改造、</w:t>
      </w:r>
      <w:r>
        <w:rPr>
          <w:rFonts w:ascii="Times New Roman" w:hAnsi="Times New Roman" w:eastAsia="仿宋" w:cs="Times New Roman"/>
          <w:sz w:val="32"/>
        </w:rPr>
        <w:t>城市面源污染等问题持续存在，河道及湿地水质易出现波动，稳定达标压力较大。同时，人工湿地生态系统抗干扰能力较弱，水生植被退化、水体富营养化等风险长期存在，常态化水质维护、生态系统养护难度较高。</w:t>
      </w:r>
    </w:p>
    <w:p w14:paraId="0B496F7E">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（四）小微湿地建设零散</w:t>
      </w:r>
    </w:p>
    <w:p w14:paraId="1B46FAFC">
      <w:pPr>
        <w:ind w:firstLine="640" w:firstLineChars="200"/>
        <w:rPr>
          <w:rFonts w:ascii="Times New Roman" w:hAnsi="Times New Roman" w:eastAsia="仿宋" w:cs="Times New Roman"/>
          <w:sz w:val="32"/>
        </w:rPr>
      </w:pPr>
      <w:r>
        <w:rPr>
          <w:rFonts w:ascii="Times New Roman" w:hAnsi="Times New Roman" w:eastAsia="仿宋" w:cs="Times New Roman"/>
          <w:sz w:val="32"/>
        </w:rPr>
        <w:t>全域小微湿地数量多、分布散、体量小，多为依托城市更新、社区改造零散建设，缺乏统一的规划布局、建设标准和管控规范。同时，小微湿地普遍存在重建轻管问题，常态化养护、植被更新、水质维护、设施运维机制不完善，极易出现生态退化、功能失效等问题，难以形成持续稳定的生态效益。</w:t>
      </w:r>
    </w:p>
    <w:p w14:paraId="0D175098">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（五）湿地监测体系不足</w:t>
      </w:r>
    </w:p>
    <w:p w14:paraId="527B8FCA">
      <w:pPr>
        <w:ind w:firstLine="640" w:firstLineChars="200"/>
        <w:rPr>
          <w:rFonts w:ascii="Times New Roman" w:hAnsi="Times New Roman" w:eastAsia="仿宋" w:cs="Times New Roman"/>
          <w:sz w:val="32"/>
        </w:rPr>
      </w:pPr>
      <w:r>
        <w:rPr>
          <w:rFonts w:ascii="Times New Roman" w:hAnsi="Times New Roman" w:eastAsia="仿宋" w:cs="Times New Roman"/>
          <w:sz w:val="32"/>
        </w:rPr>
        <w:t>湿地保护管理缺乏系统、精准、动态的监测数据支撑。</w:t>
      </w:r>
      <w:r>
        <w:rPr>
          <w:rFonts w:hint="eastAsia" w:ascii="Times New Roman" w:hAnsi="Times New Roman" w:eastAsia="仿宋" w:cs="Times New Roman"/>
          <w:sz w:val="32"/>
        </w:rPr>
        <w:t>“</w:t>
      </w:r>
      <w:r>
        <w:rPr>
          <w:rFonts w:ascii="Times New Roman" w:hAnsi="Times New Roman" w:eastAsia="仿宋" w:cs="Times New Roman"/>
          <w:sz w:val="32"/>
        </w:rPr>
        <w:t>空天地一体化</w:t>
      </w:r>
      <w:r>
        <w:rPr>
          <w:rFonts w:hint="eastAsia" w:ascii="Times New Roman" w:hAnsi="Times New Roman" w:eastAsia="仿宋" w:cs="Times New Roman"/>
          <w:sz w:val="32"/>
        </w:rPr>
        <w:t>”</w:t>
      </w:r>
      <w:r>
        <w:rPr>
          <w:rFonts w:ascii="Times New Roman" w:hAnsi="Times New Roman" w:eastAsia="仿宋" w:cs="Times New Roman"/>
          <w:sz w:val="32"/>
        </w:rPr>
        <w:t>监测体系尚未全面建立，湿地资源本底数据更新不及时，水质、水文、生物多样性等专项监测存在断点和盲区。湿地生态系统服务功能缺乏定量评估方法，园林绿化、水务、生态环境等部门数据尚未有效整合共享，信息孤岛问题突出。</w:t>
      </w:r>
    </w:p>
    <w:p w14:paraId="6542B9AF">
      <w:pPr>
        <w:ind w:firstLine="640" w:firstLineChars="200"/>
        <w:rPr>
          <w:rFonts w:ascii="Times New Roman" w:hAnsi="Times New Roman" w:eastAsia="仿宋" w:cs="Times New Roman"/>
          <w:sz w:val="32"/>
        </w:rPr>
        <w:sectPr>
          <w:pgSz w:w="11906" w:h="16838"/>
          <w:pgMar w:top="1440" w:right="1800" w:bottom="1440" w:left="1800" w:header="851" w:footer="992" w:gutter="0"/>
          <w:cols w:space="425" w:num="1"/>
          <w:docGrid w:type="lines" w:linePitch="312" w:charSpace="0"/>
        </w:sectPr>
      </w:pPr>
    </w:p>
    <w:p w14:paraId="748DD330">
      <w:pPr>
        <w:keepNext/>
        <w:keepLines/>
        <w:spacing w:before="340" w:after="330" w:line="578" w:lineRule="auto"/>
        <w:jc w:val="center"/>
        <w:outlineLvl w:val="0"/>
        <w:rPr>
          <w:rFonts w:ascii="Times New Roman" w:hAnsi="Times New Roman" w:eastAsia="仿宋" w:cs="Times New Roman"/>
          <w:b/>
          <w:bCs/>
          <w:kern w:val="44"/>
          <w:sz w:val="36"/>
          <w:szCs w:val="36"/>
        </w:rPr>
      </w:pPr>
      <w:bookmarkStart w:id="53" w:name="_Toc150720910"/>
      <w:bookmarkStart w:id="54" w:name="_Toc240204670"/>
      <w:bookmarkStart w:id="55" w:name="_Toc3833"/>
      <w:r>
        <w:rPr>
          <w:rFonts w:ascii="Times New Roman" w:hAnsi="Times New Roman" w:eastAsia="仿宋" w:cs="Times New Roman"/>
          <w:b/>
          <w:bCs/>
          <w:kern w:val="44"/>
          <w:sz w:val="36"/>
          <w:szCs w:val="36"/>
        </w:rPr>
        <w:t>第四章 总体布局</w:t>
      </w:r>
      <w:bookmarkEnd w:id="53"/>
      <w:bookmarkEnd w:id="54"/>
      <w:bookmarkEnd w:id="55"/>
    </w:p>
    <w:p w14:paraId="7FEBC7DA">
      <w:pPr>
        <w:keepNext/>
        <w:keepLines/>
        <w:spacing w:before="260" w:after="260" w:line="416" w:lineRule="auto"/>
        <w:outlineLvl w:val="1"/>
        <w:rPr>
          <w:rFonts w:ascii="Times New Roman" w:hAnsi="Times New Roman" w:eastAsia="仿宋" w:cs="Times New Roman"/>
          <w:b/>
          <w:bCs/>
          <w:sz w:val="32"/>
          <w:szCs w:val="32"/>
        </w:rPr>
      </w:pPr>
      <w:bookmarkStart w:id="56" w:name="_Toc26863"/>
      <w:bookmarkStart w:id="57" w:name="_Toc240204671"/>
      <w:bookmarkStart w:id="58" w:name="_Toc150720911"/>
      <w:bookmarkStart w:id="59" w:name="_Toc91078478"/>
      <w:r>
        <w:rPr>
          <w:rFonts w:ascii="Times New Roman" w:hAnsi="Times New Roman" w:eastAsia="仿宋" w:cs="Times New Roman"/>
          <w:b/>
          <w:bCs/>
          <w:sz w:val="32"/>
          <w:szCs w:val="32"/>
        </w:rPr>
        <w:t>一、空间布局</w:t>
      </w:r>
      <w:bookmarkEnd w:id="56"/>
      <w:bookmarkEnd w:id="57"/>
      <w:bookmarkEnd w:id="58"/>
      <w:bookmarkEnd w:id="59"/>
    </w:p>
    <w:p w14:paraId="135EFA4C">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szCs w:val="32"/>
        </w:rPr>
        <w:t>参照《北京城市总体规划（2016年</w:t>
      </w:r>
      <w:r>
        <w:rPr>
          <w:rFonts w:ascii="Times New Roman" w:hAnsi="Times New Roman" w:eastAsia="仿宋" w:cs="Times New Roman"/>
          <w:sz w:val="32"/>
        </w:rPr>
        <w:t>—</w:t>
      </w:r>
      <w:r>
        <w:rPr>
          <w:rFonts w:ascii="Times New Roman" w:hAnsi="Times New Roman" w:eastAsia="仿宋" w:cs="Times New Roman"/>
          <w:sz w:val="32"/>
          <w:szCs w:val="32"/>
        </w:rPr>
        <w:t>2035年）》</w:t>
      </w:r>
      <w:r>
        <w:rPr>
          <w:rFonts w:hint="eastAsia" w:ascii="Times New Roman" w:hAnsi="Times New Roman" w:eastAsia="仿宋" w:cs="Times New Roman"/>
          <w:sz w:val="32"/>
          <w:szCs w:val="32"/>
        </w:rPr>
        <w:t>、</w:t>
      </w:r>
      <w:r>
        <w:rPr>
          <w:rFonts w:ascii="Times New Roman" w:hAnsi="Times New Roman" w:eastAsia="仿宋" w:cs="Times New Roman"/>
          <w:sz w:val="32"/>
          <w:szCs w:val="32"/>
        </w:rPr>
        <w:t>《北京市湿地保护发展规划（2021</w:t>
      </w:r>
      <w:r>
        <w:rPr>
          <w:rFonts w:ascii="Times New Roman" w:hAnsi="Times New Roman" w:eastAsia="仿宋" w:cs="Times New Roman"/>
          <w:sz w:val="32"/>
        </w:rPr>
        <w:t>—</w:t>
      </w:r>
      <w:r>
        <w:rPr>
          <w:rFonts w:ascii="Times New Roman" w:hAnsi="Times New Roman" w:eastAsia="仿宋" w:cs="Times New Roman"/>
          <w:sz w:val="32"/>
          <w:szCs w:val="32"/>
        </w:rPr>
        <w:t>2035年）》和《</w:t>
      </w:r>
      <w:r>
        <w:rPr>
          <w:rFonts w:hint="eastAsia" w:ascii="Times New Roman" w:hAnsi="Times New Roman" w:eastAsia="仿宋" w:cs="Times New Roman"/>
          <w:sz w:val="32"/>
          <w:szCs w:val="32"/>
        </w:rPr>
        <w:t>朝阳</w:t>
      </w:r>
      <w:r>
        <w:rPr>
          <w:rFonts w:ascii="Times New Roman" w:hAnsi="Times New Roman" w:eastAsia="仿宋" w:cs="Times New Roman"/>
          <w:sz w:val="32"/>
          <w:szCs w:val="32"/>
        </w:rPr>
        <w:t>分区规划（国土空间规划）（2017年</w:t>
      </w:r>
      <w:r>
        <w:rPr>
          <w:rFonts w:ascii="Times New Roman" w:hAnsi="Times New Roman" w:eastAsia="仿宋" w:cs="Times New Roman"/>
          <w:sz w:val="32"/>
        </w:rPr>
        <w:t>—</w:t>
      </w:r>
      <w:r>
        <w:rPr>
          <w:rFonts w:ascii="Times New Roman" w:hAnsi="Times New Roman" w:eastAsia="仿宋" w:cs="Times New Roman"/>
          <w:sz w:val="32"/>
          <w:szCs w:val="32"/>
        </w:rPr>
        <w:t>2035年）》的空间布局，按照</w:t>
      </w:r>
      <w:r>
        <w:rPr>
          <w:rFonts w:hint="eastAsia" w:ascii="Times New Roman" w:hAnsi="Times New Roman" w:eastAsia="仿宋" w:cs="Times New Roman"/>
          <w:sz w:val="32"/>
          <w:szCs w:val="32"/>
        </w:rPr>
        <w:t>朝阳</w:t>
      </w:r>
      <w:r>
        <w:rPr>
          <w:rFonts w:ascii="Times New Roman" w:hAnsi="Times New Roman" w:eastAsia="仿宋" w:cs="Times New Roman"/>
          <w:sz w:val="32"/>
          <w:szCs w:val="32"/>
        </w:rPr>
        <w:t>区生态文明建设的总体需求和城市发展目标，结合</w:t>
      </w:r>
      <w:r>
        <w:rPr>
          <w:rFonts w:hint="eastAsia" w:ascii="Times New Roman" w:hAnsi="Times New Roman" w:eastAsia="仿宋" w:cs="Times New Roman"/>
          <w:sz w:val="32"/>
          <w:szCs w:val="32"/>
        </w:rPr>
        <w:t>朝阳</w:t>
      </w:r>
      <w:r>
        <w:rPr>
          <w:rFonts w:ascii="Times New Roman" w:hAnsi="Times New Roman" w:eastAsia="仿宋" w:cs="Times New Roman"/>
          <w:sz w:val="32"/>
          <w:szCs w:val="32"/>
        </w:rPr>
        <w:t>区地形地貌、湿地资源和土地资源等特点，考虑城市发展对湿地资源的需求，构建</w:t>
      </w:r>
      <w:r>
        <w:rPr>
          <w:rFonts w:hint="eastAsia" w:ascii="Times New Roman" w:hAnsi="Times New Roman" w:eastAsia="仿宋" w:cs="Times New Roman"/>
          <w:sz w:val="32"/>
          <w:szCs w:val="32"/>
        </w:rPr>
        <w:t>“一纵四横三区多点”</w:t>
      </w:r>
      <w:r>
        <w:rPr>
          <w:rFonts w:ascii="Times New Roman" w:hAnsi="Times New Roman" w:eastAsia="仿宋" w:cs="Times New Roman"/>
          <w:sz w:val="32"/>
          <w:szCs w:val="32"/>
        </w:rPr>
        <w:t>的空间布局，其中，</w:t>
      </w:r>
      <w:r>
        <w:rPr>
          <w:rFonts w:hint="eastAsia" w:ascii="Times New Roman" w:hAnsi="Times New Roman" w:eastAsia="仿宋" w:cs="Times New Roman"/>
          <w:sz w:val="32"/>
          <w:szCs w:val="32"/>
        </w:rPr>
        <w:t>“</w:t>
      </w:r>
      <w:r>
        <w:rPr>
          <w:rFonts w:ascii="Times New Roman" w:hAnsi="Times New Roman" w:eastAsia="仿宋" w:cs="Times New Roman"/>
          <w:sz w:val="32"/>
        </w:rPr>
        <w:t>一</w:t>
      </w:r>
      <w:r>
        <w:rPr>
          <w:rFonts w:hint="eastAsia" w:ascii="Times New Roman" w:hAnsi="Times New Roman" w:eastAsia="仿宋" w:cs="Times New Roman"/>
          <w:sz w:val="32"/>
        </w:rPr>
        <w:t>纵</w:t>
      </w:r>
      <w:r>
        <w:rPr>
          <w:rFonts w:hint="eastAsia" w:ascii="Times New Roman" w:hAnsi="Times New Roman" w:eastAsia="仿宋" w:cs="Times New Roman"/>
          <w:sz w:val="32"/>
          <w:szCs w:val="32"/>
        </w:rPr>
        <w:t>”</w:t>
      </w:r>
      <w:r>
        <w:rPr>
          <w:rFonts w:ascii="Times New Roman" w:hAnsi="Times New Roman" w:eastAsia="仿宋" w:cs="Times New Roman"/>
          <w:sz w:val="32"/>
        </w:rPr>
        <w:t>为温榆河纵向</w:t>
      </w:r>
      <w:r>
        <w:rPr>
          <w:rFonts w:hint="eastAsia" w:ascii="Times New Roman" w:hAnsi="Times New Roman" w:eastAsia="仿宋" w:cs="Times New Roman"/>
          <w:sz w:val="32"/>
        </w:rPr>
        <w:t>湿地</w:t>
      </w:r>
      <w:r>
        <w:rPr>
          <w:rFonts w:ascii="Times New Roman" w:hAnsi="Times New Roman" w:eastAsia="仿宋" w:cs="Times New Roman"/>
          <w:sz w:val="32"/>
        </w:rPr>
        <w:t>主轴；</w:t>
      </w:r>
      <w:r>
        <w:rPr>
          <w:rFonts w:hint="eastAsia" w:ascii="Times New Roman" w:hAnsi="Times New Roman" w:eastAsia="仿宋" w:cs="Times New Roman"/>
          <w:sz w:val="32"/>
        </w:rPr>
        <w:t>“四横”分别</w:t>
      </w:r>
      <w:r>
        <w:rPr>
          <w:rFonts w:ascii="Times New Roman" w:hAnsi="Times New Roman" w:eastAsia="仿宋" w:cs="Times New Roman"/>
          <w:sz w:val="32"/>
        </w:rPr>
        <w:t>为</w:t>
      </w:r>
      <w:r>
        <w:rPr>
          <w:rFonts w:hint="eastAsia" w:ascii="Times New Roman" w:hAnsi="Times New Roman" w:eastAsia="仿宋" w:cs="Times New Roman"/>
          <w:sz w:val="32"/>
        </w:rPr>
        <w:t>清河横向湿地轴、坝河-北小河横向湿地轴、通惠河横向湿地轴、萧太后河横向湿地轴</w:t>
      </w:r>
      <w:r>
        <w:rPr>
          <w:rFonts w:ascii="Times New Roman" w:hAnsi="Times New Roman" w:eastAsia="仿宋" w:cs="Times New Roman"/>
          <w:sz w:val="32"/>
        </w:rPr>
        <w:t>；</w:t>
      </w:r>
      <w:r>
        <w:rPr>
          <w:rFonts w:hint="eastAsia" w:ascii="Times New Roman" w:hAnsi="Times New Roman" w:eastAsia="仿宋" w:cs="Times New Roman"/>
          <w:sz w:val="32"/>
        </w:rPr>
        <w:t>“三区”</w:t>
      </w:r>
      <w:r>
        <w:rPr>
          <w:rFonts w:ascii="Times New Roman" w:hAnsi="Times New Roman" w:eastAsia="仿宋" w:cs="Times New Roman"/>
          <w:sz w:val="32"/>
        </w:rPr>
        <w:t>为</w:t>
      </w:r>
      <w:r>
        <w:rPr>
          <w:rFonts w:hint="eastAsia" w:ascii="Times New Roman" w:hAnsi="Times New Roman" w:eastAsia="仿宋" w:cs="Times New Roman"/>
          <w:sz w:val="32"/>
        </w:rPr>
        <w:t>分别为北部生态保育区、</w:t>
      </w:r>
      <w:r>
        <w:rPr>
          <w:rFonts w:ascii="Times New Roman" w:hAnsi="Times New Roman" w:eastAsia="仿宋" w:cs="Times New Roman"/>
          <w:sz w:val="32"/>
        </w:rPr>
        <w:t>中部滨水提升区</w:t>
      </w:r>
      <w:r>
        <w:rPr>
          <w:rFonts w:hint="eastAsia" w:ascii="Times New Roman" w:hAnsi="Times New Roman" w:eastAsia="仿宋" w:cs="Times New Roman"/>
          <w:sz w:val="32"/>
        </w:rPr>
        <w:t>、</w:t>
      </w:r>
      <w:r>
        <w:rPr>
          <w:rFonts w:ascii="Times New Roman" w:hAnsi="Times New Roman" w:eastAsia="仿宋" w:cs="Times New Roman"/>
          <w:sz w:val="32"/>
        </w:rPr>
        <w:t>南部湿地修复区</w:t>
      </w:r>
      <w:r>
        <w:rPr>
          <w:rFonts w:hint="eastAsia" w:ascii="Times New Roman" w:hAnsi="Times New Roman" w:eastAsia="仿宋" w:cs="Times New Roman"/>
          <w:sz w:val="32"/>
        </w:rPr>
        <w:t>；“多点”为</w:t>
      </w:r>
      <w:r>
        <w:rPr>
          <w:rFonts w:ascii="Times New Roman" w:hAnsi="Times New Roman" w:eastAsia="仿宋" w:cs="Times New Roman"/>
          <w:sz w:val="32"/>
        </w:rPr>
        <w:t>全域散布各类小微湿地节点</w:t>
      </w:r>
      <w:r>
        <w:rPr>
          <w:rFonts w:hint="eastAsia" w:ascii="Times New Roman" w:hAnsi="Times New Roman" w:eastAsia="仿宋" w:cs="Times New Roman"/>
          <w:sz w:val="32"/>
        </w:rPr>
        <w:t>。</w:t>
      </w:r>
      <w:r>
        <w:rPr>
          <w:rFonts w:ascii="Times New Roman" w:hAnsi="Times New Roman" w:eastAsia="仿宋" w:cs="Times New Roman"/>
          <w:sz w:val="32"/>
        </w:rPr>
        <w:t>（图4.1）。</w:t>
      </w:r>
    </w:p>
    <w:p w14:paraId="3DB4F214">
      <w:pPr>
        <w:spacing w:line="360" w:lineRule="auto"/>
        <w:ind w:firstLine="420" w:firstLineChars="200"/>
        <w:jc w:val="center"/>
        <w:rPr>
          <w:rFonts w:ascii="Times New Roman" w:hAnsi="Times New Roman" w:eastAsia="仿宋" w:cs="Times New Roman"/>
          <w:sz w:val="32"/>
        </w:rPr>
      </w:pPr>
      <w:r>
        <w:rPr>
          <w14:ligatures w14:val="standardContextual"/>
        </w:rPr>
        <w:drawing>
          <wp:inline distT="0" distB="0" distL="0" distR="0">
            <wp:extent cx="4100830" cy="5928360"/>
            <wp:effectExtent l="0" t="0" r="0" b="0"/>
            <wp:docPr id="2024778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7820" name="图片 1"/>
                    <pic:cNvPicPr>
                      <a:picLocks noChangeAspect="1"/>
                    </pic:cNvPicPr>
                  </pic:nvPicPr>
                  <pic:blipFill>
                    <a:blip r:embed="rId9"/>
                    <a:stretch>
                      <a:fillRect/>
                    </a:stretch>
                  </pic:blipFill>
                  <pic:spPr>
                    <a:xfrm>
                      <a:off x="0" y="0"/>
                      <a:ext cx="4103879" cy="5932492"/>
                    </a:xfrm>
                    <a:prstGeom prst="rect">
                      <a:avLst/>
                    </a:prstGeom>
                  </pic:spPr>
                </pic:pic>
              </a:graphicData>
            </a:graphic>
          </wp:inline>
        </w:drawing>
      </w:r>
    </w:p>
    <w:p w14:paraId="7CD9A795">
      <w:pPr>
        <w:spacing w:line="360"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图4</w:t>
      </w:r>
      <w:r>
        <w:rPr>
          <w:rFonts w:hint="eastAsia" w:ascii="Times New Roman" w:hAnsi="Times New Roman" w:eastAsia="仿宋" w:cs="Times New Roman"/>
          <w:sz w:val="28"/>
          <w:szCs w:val="28"/>
        </w:rPr>
        <w:t>.</w:t>
      </w:r>
      <w:r>
        <w:rPr>
          <w:rFonts w:ascii="Times New Roman" w:hAnsi="Times New Roman" w:eastAsia="仿宋" w:cs="Times New Roman"/>
          <w:sz w:val="28"/>
          <w:szCs w:val="28"/>
        </w:rPr>
        <w:t>1 湿地规划总体布局</w:t>
      </w:r>
    </w:p>
    <w:p w14:paraId="61B7B325">
      <w:pPr>
        <w:keepNext/>
        <w:keepLines/>
        <w:spacing w:after="260" w:line="416" w:lineRule="auto"/>
        <w:ind w:firstLine="643" w:firstLineChars="200"/>
        <w:outlineLvl w:val="2"/>
        <w:rPr>
          <w:rFonts w:ascii="Times New Roman" w:hAnsi="Times New Roman" w:eastAsia="仿宋" w:cs="Times New Roman"/>
          <w:b/>
          <w:bCs/>
          <w:sz w:val="32"/>
          <w:szCs w:val="32"/>
        </w:rPr>
      </w:pPr>
      <w:bookmarkStart w:id="60" w:name="_Toc149802236"/>
      <w:r>
        <w:rPr>
          <w:rFonts w:ascii="Times New Roman" w:hAnsi="Times New Roman" w:eastAsia="仿宋" w:cs="Times New Roman"/>
          <w:b/>
          <w:bCs/>
          <w:sz w:val="32"/>
          <w:szCs w:val="32"/>
        </w:rPr>
        <w:t>（一）</w:t>
      </w:r>
      <w:bookmarkEnd w:id="60"/>
      <w:r>
        <w:rPr>
          <w:rFonts w:hint="eastAsia" w:ascii="Times New Roman" w:hAnsi="Times New Roman" w:eastAsia="仿宋" w:cs="Times New Roman"/>
          <w:b/>
          <w:bCs/>
          <w:sz w:val="32"/>
          <w:szCs w:val="32"/>
        </w:rPr>
        <w:t>一纵</w:t>
      </w:r>
    </w:p>
    <w:p w14:paraId="5F607006">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温榆河纵向湿地主轴</w:t>
      </w:r>
      <w:r>
        <w:rPr>
          <w:rFonts w:hint="eastAsia" w:ascii="Times New Roman" w:hAnsi="Times New Roman" w:eastAsia="仿宋" w:cs="Times New Roman"/>
          <w:sz w:val="32"/>
        </w:rPr>
        <w:t>，</w:t>
      </w:r>
      <w:r>
        <w:rPr>
          <w:rFonts w:ascii="Times New Roman" w:hAnsi="Times New Roman" w:eastAsia="仿宋" w:cs="Times New Roman"/>
          <w:sz w:val="32"/>
        </w:rPr>
        <w:t>位于朝阳区</w:t>
      </w:r>
      <w:r>
        <w:rPr>
          <w:rFonts w:hint="eastAsia" w:ascii="Times New Roman" w:hAnsi="Times New Roman" w:eastAsia="仿宋" w:cs="Times New Roman"/>
          <w:sz w:val="32"/>
        </w:rPr>
        <w:t>东</w:t>
      </w:r>
      <w:r>
        <w:rPr>
          <w:rFonts w:ascii="Times New Roman" w:hAnsi="Times New Roman" w:eastAsia="仿宋" w:cs="Times New Roman"/>
          <w:sz w:val="32"/>
        </w:rPr>
        <w:t>北部边缘，是全区湿地生态体系的核心主脉、生态脊梁，位于中心城区上游，连通清河、坝河等多条横向水系。作为朝阳区最重要的大型河流型湿地廊道、城市东北部生态屏障与水源涵养关键带，承担流域雨洪调蓄、水质净化、生物栖息地维系核心职能，串联温榆河公园等大面积湿地斑块，是区域水鸟迁徙重要通道。</w:t>
      </w:r>
    </w:p>
    <w:p w14:paraId="11B6915D">
      <w:pPr>
        <w:keepNext/>
        <w:keepLines/>
        <w:spacing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四横</w:t>
      </w:r>
    </w:p>
    <w:p w14:paraId="23F367F1">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四条横向湿地轴横贯朝阳东西，横向串联城市组团、承接</w:t>
      </w:r>
      <w:r>
        <w:rPr>
          <w:rFonts w:hint="eastAsia" w:ascii="Times New Roman" w:hAnsi="Times New Roman" w:eastAsia="仿宋" w:cs="Times New Roman"/>
          <w:sz w:val="32"/>
        </w:rPr>
        <w:t>“</w:t>
      </w:r>
      <w:r>
        <w:rPr>
          <w:rFonts w:ascii="Times New Roman" w:hAnsi="Times New Roman" w:eastAsia="仿宋" w:cs="Times New Roman"/>
          <w:sz w:val="32"/>
        </w:rPr>
        <w:t>一纵</w:t>
      </w:r>
      <w:r>
        <w:rPr>
          <w:rFonts w:hint="eastAsia" w:ascii="Times New Roman" w:hAnsi="Times New Roman" w:eastAsia="仿宋" w:cs="Times New Roman"/>
          <w:sz w:val="32"/>
        </w:rPr>
        <w:t>”</w:t>
      </w:r>
      <w:r>
        <w:rPr>
          <w:rFonts w:ascii="Times New Roman" w:hAnsi="Times New Roman" w:eastAsia="仿宋" w:cs="Times New Roman"/>
          <w:sz w:val="32"/>
        </w:rPr>
        <w:t>主轴，利用朝阳区天然河渠横切纵向主轴的格局，形成东西向生态联络通道，实现湿地网络全域贯通。</w:t>
      </w:r>
      <w:r>
        <w:rPr>
          <w:rFonts w:hint="eastAsia" w:ascii="Times New Roman" w:hAnsi="Times New Roman" w:eastAsia="仿宋" w:cs="Times New Roman"/>
          <w:sz w:val="32"/>
        </w:rPr>
        <w:t>主要涉及：1）清河</w:t>
      </w:r>
      <w:r>
        <w:rPr>
          <w:rFonts w:ascii="Times New Roman" w:hAnsi="Times New Roman" w:eastAsia="仿宋" w:cs="Times New Roman"/>
          <w:sz w:val="32"/>
        </w:rPr>
        <w:t>横向湿地轴</w:t>
      </w:r>
      <w:r>
        <w:rPr>
          <w:rFonts w:hint="eastAsia" w:ascii="Times New Roman" w:hAnsi="Times New Roman" w:eastAsia="仿宋" w:cs="Times New Roman"/>
          <w:sz w:val="32"/>
        </w:rPr>
        <w:t>，</w:t>
      </w:r>
      <w:r>
        <w:rPr>
          <w:rFonts w:ascii="Times New Roman" w:hAnsi="Times New Roman" w:eastAsia="仿宋" w:cs="Times New Roman"/>
          <w:sz w:val="32"/>
        </w:rPr>
        <w:t>沿清河朝阳段东西布局，地处朝阳区北部，紧邻海淀、昌平交界</w:t>
      </w:r>
      <w:r>
        <w:rPr>
          <w:rFonts w:hint="eastAsia" w:ascii="Times New Roman" w:hAnsi="Times New Roman" w:eastAsia="仿宋" w:cs="Times New Roman"/>
          <w:sz w:val="32"/>
        </w:rPr>
        <w:t>以及</w:t>
      </w:r>
      <w:r>
        <w:rPr>
          <w:rFonts w:ascii="Times New Roman" w:hAnsi="Times New Roman" w:eastAsia="仿宋" w:cs="Times New Roman"/>
          <w:sz w:val="32"/>
        </w:rPr>
        <w:t>温榆河上游交汇区域</w:t>
      </w:r>
      <w:r>
        <w:rPr>
          <w:rFonts w:hint="eastAsia" w:ascii="Times New Roman" w:hAnsi="Times New Roman" w:eastAsia="仿宋" w:cs="Times New Roman"/>
          <w:sz w:val="32"/>
        </w:rPr>
        <w:t>；2）</w:t>
      </w:r>
      <w:r>
        <w:rPr>
          <w:rFonts w:ascii="Times New Roman" w:hAnsi="Times New Roman" w:eastAsia="仿宋" w:cs="Times New Roman"/>
          <w:sz w:val="32"/>
        </w:rPr>
        <w:t>坝河</w:t>
      </w:r>
      <w:r>
        <w:rPr>
          <w:rFonts w:hint="eastAsia" w:ascii="Times New Roman" w:hAnsi="Times New Roman" w:eastAsia="仿宋" w:cs="Times New Roman"/>
          <w:sz w:val="32"/>
        </w:rPr>
        <w:t>—</w:t>
      </w:r>
      <w:r>
        <w:rPr>
          <w:rFonts w:ascii="Times New Roman" w:hAnsi="Times New Roman" w:eastAsia="仿宋" w:cs="Times New Roman"/>
          <w:sz w:val="32"/>
        </w:rPr>
        <w:t>北小河横向湿地轴</w:t>
      </w:r>
      <w:r>
        <w:rPr>
          <w:rFonts w:hint="eastAsia" w:ascii="Times New Roman" w:hAnsi="Times New Roman" w:eastAsia="仿宋" w:cs="Times New Roman"/>
          <w:sz w:val="32"/>
        </w:rPr>
        <w:t>，</w:t>
      </w:r>
      <w:r>
        <w:rPr>
          <w:rFonts w:ascii="Times New Roman" w:hAnsi="Times New Roman" w:eastAsia="仿宋" w:cs="Times New Roman"/>
          <w:sz w:val="32"/>
        </w:rPr>
        <w:t>由坝河干流及支流北小河</w:t>
      </w:r>
      <w:r>
        <w:rPr>
          <w:rFonts w:hint="eastAsia" w:ascii="Times New Roman" w:hAnsi="Times New Roman" w:eastAsia="仿宋" w:cs="Times New Roman"/>
          <w:sz w:val="32"/>
        </w:rPr>
        <w:t>、亮马河等</w:t>
      </w:r>
      <w:r>
        <w:rPr>
          <w:rFonts w:ascii="Times New Roman" w:hAnsi="Times New Roman" w:eastAsia="仿宋" w:cs="Times New Roman"/>
          <w:sz w:val="32"/>
        </w:rPr>
        <w:t>共同组成，横穿朝阳中北部，串联望京、东坝、酒仙桥等城市组团</w:t>
      </w:r>
      <w:r>
        <w:rPr>
          <w:rFonts w:hint="eastAsia" w:ascii="Times New Roman" w:hAnsi="Times New Roman" w:eastAsia="仿宋" w:cs="Times New Roman"/>
          <w:sz w:val="32"/>
        </w:rPr>
        <w:t>；3）</w:t>
      </w:r>
      <w:r>
        <w:rPr>
          <w:rFonts w:ascii="Times New Roman" w:hAnsi="Times New Roman" w:eastAsia="仿宋" w:cs="Times New Roman"/>
          <w:sz w:val="32"/>
        </w:rPr>
        <w:t>通惠河横向湿地轴</w:t>
      </w:r>
      <w:r>
        <w:rPr>
          <w:rFonts w:hint="eastAsia" w:ascii="Times New Roman" w:hAnsi="Times New Roman" w:eastAsia="仿宋" w:cs="Times New Roman"/>
          <w:sz w:val="32"/>
        </w:rPr>
        <w:t>，</w:t>
      </w:r>
      <w:r>
        <w:rPr>
          <w:rFonts w:ascii="Times New Roman" w:hAnsi="Times New Roman" w:eastAsia="仿宋" w:cs="Times New Roman"/>
          <w:sz w:val="32"/>
        </w:rPr>
        <w:t>地处朝阳中部，属于大运河文化重要水系廊道</w:t>
      </w:r>
      <w:r>
        <w:rPr>
          <w:rFonts w:hint="eastAsia" w:ascii="Times New Roman" w:hAnsi="Times New Roman" w:eastAsia="仿宋" w:cs="Times New Roman"/>
          <w:sz w:val="32"/>
        </w:rPr>
        <w:t>；4）</w:t>
      </w:r>
      <w:r>
        <w:rPr>
          <w:rFonts w:ascii="Times New Roman" w:hAnsi="Times New Roman" w:eastAsia="仿宋" w:cs="Times New Roman"/>
          <w:sz w:val="32"/>
        </w:rPr>
        <w:t>萧太后河横向湿地轴</w:t>
      </w:r>
      <w:r>
        <w:rPr>
          <w:rFonts w:hint="eastAsia" w:ascii="Times New Roman" w:hAnsi="Times New Roman" w:eastAsia="仿宋" w:cs="Times New Roman"/>
          <w:sz w:val="32"/>
        </w:rPr>
        <w:t>，</w:t>
      </w:r>
      <w:r>
        <w:rPr>
          <w:rFonts w:ascii="Times New Roman" w:hAnsi="Times New Roman" w:eastAsia="仿宋" w:cs="Times New Roman"/>
          <w:sz w:val="32"/>
        </w:rPr>
        <w:t>沿萧太后河自西向东贯穿朝阳区南部，紧邻通州副中心，是南部最重要骨干横向水脉。</w:t>
      </w:r>
    </w:p>
    <w:p w14:paraId="4BE74325">
      <w:pPr>
        <w:keepNext/>
        <w:keepLines/>
        <w:spacing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三区</w:t>
      </w:r>
    </w:p>
    <w:p w14:paraId="0207BDEF">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依据朝阳区北、中、南</w:t>
      </w:r>
      <w:r>
        <w:rPr>
          <w:rFonts w:hint="eastAsia" w:ascii="Times New Roman" w:hAnsi="Times New Roman" w:eastAsia="仿宋" w:cs="Times New Roman"/>
          <w:sz w:val="32"/>
        </w:rPr>
        <w:t>各地区</w:t>
      </w:r>
      <w:r>
        <w:rPr>
          <w:rFonts w:ascii="Times New Roman" w:hAnsi="Times New Roman" w:eastAsia="仿宋" w:cs="Times New Roman"/>
          <w:sz w:val="32"/>
        </w:rPr>
        <w:t>湿地资源禀赋，实行分区施策、分类管控，实现湿地保护与城市发展精准匹配。</w:t>
      </w:r>
      <w:r>
        <w:rPr>
          <w:rFonts w:hint="eastAsia" w:ascii="Times New Roman" w:hAnsi="Times New Roman" w:eastAsia="仿宋" w:cs="Times New Roman"/>
          <w:sz w:val="32"/>
        </w:rPr>
        <w:t>包括：1）</w:t>
      </w:r>
      <w:r>
        <w:rPr>
          <w:rFonts w:ascii="Times New Roman" w:hAnsi="Times New Roman" w:eastAsia="仿宋" w:cs="Times New Roman"/>
          <w:sz w:val="32"/>
        </w:rPr>
        <w:t>北部生态保育区</w:t>
      </w:r>
      <w:r>
        <w:rPr>
          <w:rFonts w:hint="eastAsia" w:ascii="Times New Roman" w:hAnsi="Times New Roman" w:eastAsia="仿宋" w:cs="Times New Roman"/>
          <w:sz w:val="32"/>
        </w:rPr>
        <w:t>，主要涉及</w:t>
      </w:r>
      <w:r>
        <w:rPr>
          <w:rFonts w:ascii="Times New Roman" w:hAnsi="Times New Roman" w:eastAsia="仿宋" w:cs="Times New Roman"/>
          <w:sz w:val="32"/>
        </w:rPr>
        <w:t>朝阳区北部，温榆河沿线及二道绿隔北部区域</w:t>
      </w:r>
      <w:r>
        <w:rPr>
          <w:rFonts w:hint="eastAsia" w:ascii="Times New Roman" w:hAnsi="Times New Roman" w:eastAsia="仿宋" w:cs="Times New Roman"/>
          <w:sz w:val="32"/>
        </w:rPr>
        <w:t>，该区域</w:t>
      </w:r>
      <w:r>
        <w:rPr>
          <w:rFonts w:ascii="Times New Roman" w:hAnsi="Times New Roman" w:eastAsia="仿宋" w:cs="Times New Roman"/>
          <w:sz w:val="32"/>
        </w:rPr>
        <w:t>湿地资源禀赋优越、建设密度较低，以生态保护为首要目标，优先保护原生湿地斑块、鸟类栖息地；适度开展低干扰生态科普活动，最大限度维持湿地生态系统完整性，构筑朝阳区北部生态安全屏障</w:t>
      </w:r>
      <w:r>
        <w:rPr>
          <w:rFonts w:hint="eastAsia" w:ascii="Times New Roman" w:hAnsi="Times New Roman" w:eastAsia="仿宋" w:cs="Times New Roman"/>
          <w:sz w:val="32"/>
        </w:rPr>
        <w:t>；2）</w:t>
      </w:r>
      <w:r>
        <w:rPr>
          <w:rFonts w:ascii="Times New Roman" w:hAnsi="Times New Roman" w:eastAsia="仿宋" w:cs="Times New Roman"/>
          <w:sz w:val="32"/>
        </w:rPr>
        <w:t>中部滨水提升区</w:t>
      </w:r>
      <w:r>
        <w:rPr>
          <w:rFonts w:hint="eastAsia" w:ascii="Times New Roman" w:hAnsi="Times New Roman" w:eastAsia="仿宋" w:cs="Times New Roman"/>
          <w:sz w:val="32"/>
        </w:rPr>
        <w:t>，主要涉及</w:t>
      </w:r>
      <w:r>
        <w:rPr>
          <w:rFonts w:ascii="Times New Roman" w:hAnsi="Times New Roman" w:eastAsia="仿宋" w:cs="Times New Roman"/>
          <w:sz w:val="32"/>
        </w:rPr>
        <w:t>朝阳中心城区，坝河、通惠河沿线城市集中建设区域</w:t>
      </w:r>
      <w:r>
        <w:rPr>
          <w:rFonts w:hint="eastAsia" w:ascii="Times New Roman" w:hAnsi="Times New Roman" w:eastAsia="仿宋" w:cs="Times New Roman"/>
          <w:sz w:val="32"/>
        </w:rPr>
        <w:t>，该</w:t>
      </w:r>
      <w:r>
        <w:rPr>
          <w:rFonts w:ascii="Times New Roman" w:hAnsi="Times New Roman" w:eastAsia="仿宋" w:cs="Times New Roman"/>
          <w:sz w:val="32"/>
        </w:rPr>
        <w:t>区域人口密集、建成度高，天然湿地</w:t>
      </w:r>
      <w:r>
        <w:rPr>
          <w:rFonts w:hint="eastAsia" w:ascii="Times New Roman" w:hAnsi="Times New Roman" w:eastAsia="仿宋" w:cs="Times New Roman"/>
          <w:sz w:val="32"/>
        </w:rPr>
        <w:t>及自然岸线</w:t>
      </w:r>
      <w:r>
        <w:rPr>
          <w:rFonts w:ascii="Times New Roman" w:hAnsi="Times New Roman" w:eastAsia="仿宋" w:cs="Times New Roman"/>
          <w:sz w:val="32"/>
        </w:rPr>
        <w:t>稀缺，重点实施现有河道滨水空间提质、打造可达性强、景观优美的都市滨水湿地，满足居民日常亲水需求</w:t>
      </w:r>
      <w:r>
        <w:rPr>
          <w:rFonts w:hint="eastAsia" w:ascii="Times New Roman" w:hAnsi="Times New Roman" w:eastAsia="仿宋" w:cs="Times New Roman"/>
          <w:sz w:val="32"/>
        </w:rPr>
        <w:t>；3）</w:t>
      </w:r>
      <w:r>
        <w:rPr>
          <w:rFonts w:ascii="Times New Roman" w:hAnsi="Times New Roman" w:eastAsia="仿宋" w:cs="Times New Roman"/>
          <w:sz w:val="32"/>
        </w:rPr>
        <w:t>南部湿地修复区</w:t>
      </w:r>
      <w:r>
        <w:rPr>
          <w:rFonts w:hint="eastAsia" w:ascii="Times New Roman" w:hAnsi="Times New Roman" w:eastAsia="仿宋" w:cs="Times New Roman"/>
          <w:sz w:val="32"/>
        </w:rPr>
        <w:t>，主要涉及</w:t>
      </w:r>
      <w:r>
        <w:rPr>
          <w:rFonts w:ascii="Times New Roman" w:hAnsi="Times New Roman" w:eastAsia="仿宋" w:cs="Times New Roman"/>
          <w:sz w:val="32"/>
        </w:rPr>
        <w:t>朝阳区南部，萧太后河沿线及东南部城乡结合部</w:t>
      </w:r>
      <w:r>
        <w:rPr>
          <w:rFonts w:hint="eastAsia" w:ascii="Times New Roman" w:hAnsi="Times New Roman" w:eastAsia="仿宋" w:cs="Times New Roman"/>
          <w:sz w:val="32"/>
        </w:rPr>
        <w:t>，</w:t>
      </w:r>
      <w:r>
        <w:rPr>
          <w:rFonts w:ascii="Times New Roman" w:hAnsi="Times New Roman" w:eastAsia="仿宋" w:cs="Times New Roman"/>
          <w:sz w:val="32"/>
        </w:rPr>
        <w:t>区域历史水环境压力较大，湿地碎片化突出。以流域水环境改善为核心，系统开展受损湿地生态重建</w:t>
      </w:r>
      <w:r>
        <w:rPr>
          <w:rFonts w:hint="eastAsia" w:ascii="Times New Roman" w:hAnsi="Times New Roman" w:eastAsia="仿宋" w:cs="Times New Roman"/>
          <w:sz w:val="32"/>
        </w:rPr>
        <w:t>，</w:t>
      </w:r>
      <w:r>
        <w:rPr>
          <w:rFonts w:ascii="Times New Roman" w:hAnsi="Times New Roman" w:eastAsia="仿宋" w:cs="Times New Roman"/>
          <w:sz w:val="32"/>
        </w:rPr>
        <w:t>逐步恢复动植物群落，补齐南部湿地短板，构建南部连片湿地生态带</w:t>
      </w:r>
      <w:r>
        <w:rPr>
          <w:rFonts w:hint="eastAsia" w:ascii="Times New Roman" w:hAnsi="Times New Roman" w:eastAsia="仿宋" w:cs="Times New Roman"/>
          <w:sz w:val="32"/>
        </w:rPr>
        <w:t>。</w:t>
      </w:r>
    </w:p>
    <w:p w14:paraId="7E0E24FB">
      <w:pPr>
        <w:keepNext/>
        <w:keepLines/>
        <w:spacing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四</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多点</w:t>
      </w:r>
    </w:p>
    <w:p w14:paraId="7FADA300">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多点</w:t>
      </w:r>
      <w:r>
        <w:rPr>
          <w:rFonts w:hint="eastAsia" w:ascii="Times New Roman" w:hAnsi="Times New Roman" w:eastAsia="仿宋" w:cs="Times New Roman"/>
          <w:sz w:val="32"/>
        </w:rPr>
        <w:t>”</w:t>
      </w:r>
      <w:r>
        <w:rPr>
          <w:rFonts w:ascii="Times New Roman" w:hAnsi="Times New Roman" w:eastAsia="仿宋" w:cs="Times New Roman"/>
          <w:sz w:val="32"/>
        </w:rPr>
        <w:t>是湿地网络的重要补充，指遍布全区、大小结合、类型多样的湿地斑块，形成大湿地引领、小微湿地密布的层级体系。包含城市公园内景观湿地、郊野公园塘沼湿地、社区小微湿地</w:t>
      </w:r>
      <w:r>
        <w:rPr>
          <w:rFonts w:hint="eastAsia" w:ascii="Times New Roman" w:hAnsi="Times New Roman" w:eastAsia="仿宋" w:cs="Times New Roman"/>
          <w:sz w:val="32"/>
        </w:rPr>
        <w:t>等。</w:t>
      </w:r>
    </w:p>
    <w:p w14:paraId="43532478">
      <w:pPr>
        <w:keepNext/>
        <w:keepLines/>
        <w:spacing w:before="260" w:after="260" w:line="416" w:lineRule="auto"/>
        <w:outlineLvl w:val="1"/>
        <w:rPr>
          <w:rFonts w:ascii="Times New Roman" w:hAnsi="Times New Roman" w:eastAsia="仿宋" w:cs="Times New Roman"/>
          <w:b/>
          <w:bCs/>
          <w:sz w:val="32"/>
          <w:szCs w:val="32"/>
        </w:rPr>
      </w:pPr>
      <w:bookmarkStart w:id="61" w:name="_Toc240204672"/>
      <w:bookmarkStart w:id="62" w:name="_Toc27372"/>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布局内容</w:t>
      </w:r>
      <w:bookmarkEnd w:id="61"/>
      <w:bookmarkEnd w:id="62"/>
    </w:p>
    <w:p w14:paraId="67AAF7F7">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w:t>
      </w:r>
      <w:r>
        <w:rPr>
          <w:rFonts w:ascii="Times New Roman" w:hAnsi="Times New Roman" w:eastAsia="仿宋" w:cs="Times New Roman"/>
          <w:b/>
          <w:bCs/>
          <w:sz w:val="32"/>
          <w:szCs w:val="32"/>
        </w:rPr>
        <w:t>温榆河纵向湿地主轴</w:t>
      </w:r>
    </w:p>
    <w:p w14:paraId="24F7BFE9">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4F8A06D0">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温榆河是朝阳区</w:t>
      </w:r>
      <w:r>
        <w:rPr>
          <w:rFonts w:hint="eastAsia" w:ascii="Times New Roman" w:hAnsi="Times New Roman" w:eastAsia="仿宋" w:cs="Times New Roman"/>
          <w:sz w:val="32"/>
        </w:rPr>
        <w:t>“</w:t>
      </w:r>
      <w:r>
        <w:rPr>
          <w:rFonts w:ascii="Times New Roman" w:hAnsi="Times New Roman" w:eastAsia="仿宋" w:cs="Times New Roman"/>
          <w:sz w:val="32"/>
        </w:rPr>
        <w:t>两环六楔、五河十园</w:t>
      </w:r>
      <w:r>
        <w:rPr>
          <w:rFonts w:hint="eastAsia" w:ascii="Times New Roman" w:hAnsi="Times New Roman" w:eastAsia="仿宋" w:cs="Times New Roman"/>
          <w:sz w:val="32"/>
        </w:rPr>
        <w:t>”绿色空间结构</w:t>
      </w:r>
      <w:r>
        <w:rPr>
          <w:rFonts w:ascii="Times New Roman" w:hAnsi="Times New Roman" w:eastAsia="仿宋" w:cs="Times New Roman"/>
          <w:sz w:val="32"/>
        </w:rPr>
        <w:t>中的关键一环，</w:t>
      </w:r>
      <w:r>
        <w:rPr>
          <w:rFonts w:hint="eastAsia" w:ascii="Times New Roman" w:hAnsi="Times New Roman" w:eastAsia="仿宋" w:cs="Times New Roman"/>
          <w:sz w:val="32"/>
        </w:rPr>
        <w:t>是</w:t>
      </w:r>
      <w:r>
        <w:rPr>
          <w:rFonts w:ascii="Times New Roman" w:hAnsi="Times New Roman" w:eastAsia="仿宋" w:cs="Times New Roman"/>
          <w:sz w:val="32"/>
        </w:rPr>
        <w:t>朝阳区全域湿地生态体系核心主脉与区域生态脊梁，是全域唯一南北向贯通的大型河流湿地廊道。承担全域水源涵养、雨洪调蓄、水质净化、生物栖息维系及候鸟迁徙通道核心功能，串联全域各大横向水系湿地廊道，是统筹全区水生态安全、构筑北部生态屏障、维系区域湿地生态系统完整性的核心载体，也是朝阳区规模最大、原生基底最好、生态承载力最强的带状湿地功能带。</w:t>
      </w:r>
    </w:p>
    <w:p w14:paraId="7D344A1A">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（2）现状问题</w:t>
      </w:r>
    </w:p>
    <w:p w14:paraId="5A0BC0E7">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温榆河湿地整体生态基底较好，但局部河段湿地空间连续性不足，水系与周边横向湿地廊道连通性不足，存在生态断点；局部人为活动干扰较大，核心栖息地保护范围不够明晰，湿地生态系统稳定性仍有提升空间。</w:t>
      </w:r>
      <w:r>
        <w:rPr>
          <w:rFonts w:hint="eastAsia" w:ascii="Times New Roman" w:hAnsi="Times New Roman" w:eastAsia="仿宋" w:cs="Times New Roman"/>
          <w:sz w:val="32"/>
        </w:rPr>
        <w:t>同时缺乏大型开敞空间，河道两侧存在大面积围栏，湿地开放性尚需提高；科普宣教设施不完善，难以支撑湿地科普宣教功能的发挥。</w:t>
      </w:r>
    </w:p>
    <w:p w14:paraId="0FF448B2">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（3）规划策略</w:t>
      </w:r>
    </w:p>
    <w:p w14:paraId="299581EC">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坚持生态保育优先、自然修复为主的原则，全面梳理温榆河沿线湿地空间，恢复河道自然蜿蜒形态与水陆交错生态带，重构滩涂、浅沼、林地复合湿地群落。补齐廊道断点，构建连续贯通的纵向生态主脉。严格划定核心生态保育范围，严控高强度开发与无序人为干扰，分区管控生态活动强度。统筹湿地生态净化、雨洪蓄滞、生物栖息、生态科普多元功能，依托温榆河公园、沙子营湿地等重点斑块打造规模化、系统化、近自然化的主干湿地生态带，筑牢全区生态安全底线。</w:t>
      </w:r>
    </w:p>
    <w:p w14:paraId="67A6097B">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清河横向湿地轴</w:t>
      </w:r>
    </w:p>
    <w:p w14:paraId="67C6B036">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4C630379">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清河</w:t>
      </w:r>
      <w:r>
        <w:rPr>
          <w:rFonts w:hint="eastAsia" w:ascii="Times New Roman" w:hAnsi="Times New Roman" w:eastAsia="仿宋" w:cs="Times New Roman"/>
          <w:sz w:val="32"/>
        </w:rPr>
        <w:t>是</w:t>
      </w:r>
      <w:r>
        <w:rPr>
          <w:rFonts w:ascii="Times New Roman" w:hAnsi="Times New Roman" w:eastAsia="仿宋" w:cs="Times New Roman"/>
          <w:sz w:val="32"/>
        </w:rPr>
        <w:t>朝阳区北部重要东西向生态湿地廊道，紧邻温榆河上游交汇区域，是北部片区</w:t>
      </w:r>
      <w:r>
        <w:rPr>
          <w:rFonts w:hint="eastAsia" w:ascii="Times New Roman" w:hAnsi="Times New Roman" w:eastAsia="仿宋" w:cs="Times New Roman"/>
          <w:sz w:val="32"/>
        </w:rPr>
        <w:t>水质</w:t>
      </w:r>
      <w:r>
        <w:rPr>
          <w:rFonts w:ascii="Times New Roman" w:hAnsi="Times New Roman" w:eastAsia="仿宋" w:cs="Times New Roman"/>
          <w:sz w:val="32"/>
        </w:rPr>
        <w:t>净化、雨洪缓冲、滨水生态服务的核心载体。主要服务北部居住与科教片区，承担上游来水水质净化、区域径流消纳、北部滨水生态空间营造功能，是衔接北部生态保育区与中心城区的重要生态过渡带，对平衡北部片区水生态环境、完善全域湿地横向网格体系具有重要支撑作用。</w:t>
      </w:r>
    </w:p>
    <w:p w14:paraId="0D891C77">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（2）现状问题</w:t>
      </w:r>
    </w:p>
    <w:p w14:paraId="6015BD19">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现状清河沿线滨水空间建设较为零散，湿地斑块规模偏小、分布不均，连续湿地廊道未成体系；部分河段护岸硬质化严重，水陆生态交换能力弱，水生植被单一，自然净化能力有限；城市面源污染对河道水质存在持续影响，小微净化湿地布局不足；滨水生态空间开放性、连续性较差，亲水空间与生态空间融合度不高，生态服务功能未能充分发挥。</w:t>
      </w:r>
    </w:p>
    <w:p w14:paraId="3D0446F1">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（3）规划策略</w:t>
      </w:r>
    </w:p>
    <w:p w14:paraId="682263BD">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依托清河河道基底，系统推进河道生态化改造，实施硬质护岸软化、生态化修复，构建连续滨河湿地绿带。结合河道低洼空间、沿线绿地闲置地块，布局人工净化湿地、滨水草甸与塘沼湿地，强化上游来水净化与初期雨水截留消纳能力。联动清河营郊野公园等蓝绿空间，整合零散湿地斑块，构建连续贯通的横向湿地廊道。优化滨水空间功能布局，平衡生态保护与市民亲水休闲需求，打造兼具水质净化、雨洪调蓄、生态缓冲、便民游憩功能的北部复合型湿地廊道。</w:t>
      </w:r>
    </w:p>
    <w:p w14:paraId="0A5941D9">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坝河-北小河横向湿地轴</w:t>
      </w:r>
    </w:p>
    <w:p w14:paraId="1D3FE2CC">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36EC7218">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坝河及其支流北小河、亮马河等</w:t>
      </w:r>
      <w:r>
        <w:rPr>
          <w:rFonts w:ascii="Times New Roman" w:hAnsi="Times New Roman" w:eastAsia="仿宋" w:cs="Times New Roman"/>
          <w:sz w:val="32"/>
        </w:rPr>
        <w:t>贯穿朝阳中北部城市建成区，覆盖望京、东坝、酒仙桥等高密度城市组团，是中心城区核心都市型湿地廊道</w:t>
      </w:r>
      <w:r>
        <w:rPr>
          <w:rFonts w:hint="eastAsia" w:ascii="Times New Roman" w:hAnsi="Times New Roman" w:eastAsia="仿宋" w:cs="Times New Roman"/>
          <w:sz w:val="32"/>
        </w:rPr>
        <w:t>，</w:t>
      </w:r>
      <w:r>
        <w:rPr>
          <w:rFonts w:ascii="Times New Roman" w:hAnsi="Times New Roman" w:eastAsia="仿宋" w:cs="Times New Roman"/>
          <w:sz w:val="32"/>
        </w:rPr>
        <w:t>也是朝阳区</w:t>
      </w:r>
      <w:r>
        <w:rPr>
          <w:rFonts w:hint="eastAsia" w:ascii="Times New Roman" w:hAnsi="Times New Roman" w:eastAsia="仿宋" w:cs="Times New Roman"/>
          <w:sz w:val="32"/>
        </w:rPr>
        <w:t>“</w:t>
      </w:r>
      <w:r>
        <w:rPr>
          <w:rFonts w:ascii="Times New Roman" w:hAnsi="Times New Roman" w:eastAsia="仿宋" w:cs="Times New Roman"/>
          <w:sz w:val="32"/>
        </w:rPr>
        <w:t>两河一带</w:t>
      </w:r>
      <w:r>
        <w:rPr>
          <w:rFonts w:hint="eastAsia" w:ascii="Times New Roman" w:hAnsi="Times New Roman" w:eastAsia="仿宋" w:cs="Times New Roman"/>
          <w:sz w:val="32"/>
        </w:rPr>
        <w:t>”</w:t>
      </w:r>
      <w:r>
        <w:rPr>
          <w:rFonts w:ascii="Times New Roman" w:hAnsi="Times New Roman" w:eastAsia="仿宋" w:cs="Times New Roman"/>
          <w:sz w:val="32"/>
        </w:rPr>
        <w:t>世界级滨水经济区的核心骨架</w:t>
      </w:r>
      <w:r>
        <w:rPr>
          <w:rFonts w:hint="eastAsia" w:ascii="Times New Roman" w:hAnsi="Times New Roman" w:eastAsia="仿宋" w:cs="Times New Roman"/>
          <w:sz w:val="32"/>
        </w:rPr>
        <w:t>。</w:t>
      </w:r>
      <w:r>
        <w:rPr>
          <w:rFonts w:ascii="Times New Roman" w:hAnsi="Times New Roman" w:eastAsia="仿宋" w:cs="Times New Roman"/>
          <w:sz w:val="32"/>
        </w:rPr>
        <w:t>承担城区防洪排涝、水环境改善、城市面源污染治理、滨水景观提升、市民亲水游憩多重功能，是实现城市建成区与湿地生态系统深度融合的关键纽带。</w:t>
      </w:r>
    </w:p>
    <w:p w14:paraId="27E1CF39">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（2）现状问题</w:t>
      </w:r>
    </w:p>
    <w:p w14:paraId="1CD782A5">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区域</w:t>
      </w:r>
      <w:r>
        <w:rPr>
          <w:rFonts w:ascii="Times New Roman" w:hAnsi="Times New Roman" w:eastAsia="仿宋" w:cs="Times New Roman"/>
          <w:sz w:val="32"/>
        </w:rPr>
        <w:t>城市建设密度高，原生湿地资源稀缺，湿地空间拓展难度大；河道以行洪、排水功能为主，生态湿地功能薄弱，滨水空间碎片化严重，水系连通性不足；城市面源污染、合流制溢流影响河道水质，现有湿地净化体系不足；滨水空间景观同质化，生态功能与景观功能、民生功能衔接不够，都市湿地生态效能未能充分释放。</w:t>
      </w:r>
    </w:p>
    <w:p w14:paraId="12BBAB9E">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（3）规划策略</w:t>
      </w:r>
    </w:p>
    <w:p w14:paraId="44B37E4D">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充分利用河道沿线边角空间、绿地洼地、闲置小微地块，增补</w:t>
      </w:r>
      <w:r>
        <w:rPr>
          <w:rFonts w:hint="eastAsia" w:ascii="Times New Roman" w:hAnsi="Times New Roman" w:eastAsia="仿宋" w:cs="Times New Roman"/>
          <w:sz w:val="32"/>
        </w:rPr>
        <w:t>蓄滞径流和净化水质型</w:t>
      </w:r>
      <w:r>
        <w:rPr>
          <w:rFonts w:ascii="Times New Roman" w:hAnsi="Times New Roman" w:eastAsia="仿宋" w:cs="Times New Roman"/>
          <w:sz w:val="32"/>
        </w:rPr>
        <w:t>小微湿地。优化坝河蓄滞洪空间生态化改造，实现防洪安全与生态修复协同推进。打通河段水系连通节点，修复水陆生态系统，提升城区径流净化、雨洪调蓄能力。整合亮马河、坝河、北小河滨水资源，打造生态品质优良、可达性高、功能性强的都市滨水湿地廊道。</w:t>
      </w:r>
    </w:p>
    <w:p w14:paraId="350128C4">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（四）</w:t>
      </w:r>
      <w:r>
        <w:rPr>
          <w:rFonts w:ascii="Times New Roman" w:hAnsi="Times New Roman" w:eastAsia="仿宋" w:cs="Times New Roman"/>
          <w:b/>
          <w:bCs/>
          <w:sz w:val="32"/>
          <w:szCs w:val="32"/>
        </w:rPr>
        <w:t>通惠河横向湿地轴</w:t>
      </w:r>
    </w:p>
    <w:p w14:paraId="0885A40C">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09F326B8">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通惠河位于朝阳区城市核心中部，是兼具生态修复、历史文化传承、城市形象展示的复合型滨水湿地廊道。轴线串联CBD、高碑店等核心功能片区，依托大运河历史水系资源，承担中心城区水环境提质、滨水生态更新、运河文化彰显、城市生态形象提升的重要职能，是中部滨水提升区的核心生态支撑廊道。</w:t>
      </w:r>
    </w:p>
    <w:p w14:paraId="502129D3">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w:t>
      </w:r>
      <w:r>
        <w:rPr>
          <w:rFonts w:ascii="Times New Roman" w:hAnsi="Times New Roman" w:eastAsia="仿宋" w:cs="Times New Roman"/>
          <w:sz w:val="32"/>
        </w:rPr>
        <w:t>现状问题</w:t>
      </w:r>
    </w:p>
    <w:p w14:paraId="234E5A59">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通惠河沿线城市开发成熟，河道生态结构单一，</w:t>
      </w:r>
      <w:r>
        <w:rPr>
          <w:rFonts w:hint="eastAsia" w:ascii="Times New Roman" w:hAnsi="Times New Roman" w:eastAsia="仿宋" w:cs="Times New Roman"/>
          <w:sz w:val="32"/>
        </w:rPr>
        <w:t>自然岸线率低、</w:t>
      </w:r>
      <w:r>
        <w:rPr>
          <w:rFonts w:ascii="Times New Roman" w:hAnsi="Times New Roman" w:eastAsia="仿宋" w:cs="Times New Roman"/>
          <w:sz w:val="32"/>
        </w:rPr>
        <w:t>水生生态系统完整性不足；湿地生态修复与运河文化融合度较低，水生态、水文化、水景观联动不足；核心片区人流密集，生态空间承载压力大，湿地长效管护机制有待完善。</w:t>
      </w:r>
    </w:p>
    <w:p w14:paraId="0FECC1E1">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规划策略</w:t>
      </w:r>
    </w:p>
    <w:p w14:paraId="08D69B66">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增补滨水湿地、景观净化湿地，修复河道滨水生态带，提升河道自然净化能力。深度融合大运河历史文化资源，将湿地生态景观与运河文化节点、滨水公共空间有机结合，打造生态底蕴深厚、文化特色鲜明的复合型湿地廊道。优化核心片区滨水空间管控，完善湿地日常管护体系，实现城市核心区水生态、水景观、水文化协同提升。</w:t>
      </w:r>
    </w:p>
    <w:p w14:paraId="2C14568C">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（五）</w:t>
      </w:r>
      <w:r>
        <w:rPr>
          <w:rFonts w:ascii="Times New Roman" w:hAnsi="Times New Roman" w:eastAsia="仿宋" w:cs="Times New Roman"/>
          <w:b/>
          <w:bCs/>
          <w:sz w:val="32"/>
          <w:szCs w:val="32"/>
        </w:rPr>
        <w:t>萧太后河横向湿地轴</w:t>
      </w:r>
    </w:p>
    <w:p w14:paraId="2348FF12">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426E1095">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萧太后河是千年古河道，也是北京乃至全球唯一以皇太后命名的河流，始挖于辽代，为北京最早人工运河，曾是军事民生要道与皇家漕运航道，助推古时经济发展、民生改善</w:t>
      </w:r>
      <w:r>
        <w:rPr>
          <w:rFonts w:hint="eastAsia" w:ascii="Times New Roman" w:hAnsi="Times New Roman" w:eastAsia="仿宋" w:cs="Times New Roman"/>
          <w:sz w:val="32"/>
        </w:rPr>
        <w:t>，是</w:t>
      </w:r>
      <w:r>
        <w:rPr>
          <w:rFonts w:ascii="Times New Roman" w:hAnsi="Times New Roman" w:eastAsia="仿宋" w:cs="Times New Roman"/>
          <w:sz w:val="32"/>
        </w:rPr>
        <w:t>辽代漕运枢纽</w:t>
      </w:r>
      <w:r>
        <w:rPr>
          <w:rFonts w:hint="eastAsia" w:ascii="Times New Roman" w:hAnsi="Times New Roman" w:eastAsia="仿宋" w:cs="Times New Roman"/>
          <w:sz w:val="32"/>
        </w:rPr>
        <w:t>、</w:t>
      </w:r>
      <w:r>
        <w:rPr>
          <w:rFonts w:ascii="Times New Roman" w:hAnsi="Times New Roman" w:eastAsia="仿宋" w:cs="Times New Roman"/>
          <w:sz w:val="32"/>
        </w:rPr>
        <w:t>千年文脉的流动骨架</w:t>
      </w:r>
      <w:r>
        <w:rPr>
          <w:rFonts w:hint="eastAsia" w:ascii="Times New Roman" w:hAnsi="Times New Roman" w:eastAsia="仿宋" w:cs="Times New Roman"/>
          <w:sz w:val="32"/>
        </w:rPr>
        <w:t>，也是</w:t>
      </w:r>
      <w:r>
        <w:rPr>
          <w:rFonts w:ascii="Times New Roman" w:hAnsi="Times New Roman" w:eastAsia="仿宋" w:cs="Times New Roman"/>
          <w:sz w:val="32"/>
        </w:rPr>
        <w:t>首都核心区与城市副中心之间的绿色廊道</w:t>
      </w:r>
      <w:r>
        <w:rPr>
          <w:rFonts w:hint="eastAsia" w:ascii="Times New Roman" w:hAnsi="Times New Roman" w:eastAsia="仿宋" w:cs="Times New Roman"/>
          <w:sz w:val="32"/>
        </w:rPr>
        <w:t>。</w:t>
      </w:r>
    </w:p>
    <w:p w14:paraId="137F0311">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w:t>
      </w:r>
      <w:r>
        <w:rPr>
          <w:rFonts w:ascii="Times New Roman" w:hAnsi="Times New Roman" w:eastAsia="仿宋" w:cs="Times New Roman"/>
          <w:sz w:val="32"/>
        </w:rPr>
        <w:t>现状问题</w:t>
      </w:r>
    </w:p>
    <w:p w14:paraId="0AA55BFA">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湿地生态基底薄弱；湿地空间碎片化严重，连片湿地规模不足，生态系统完整性较差；面源污染防控体系不完善，河道水质稳定性不足</w:t>
      </w:r>
      <w:r>
        <w:rPr>
          <w:rFonts w:hint="eastAsia" w:ascii="Times New Roman" w:hAnsi="Times New Roman" w:eastAsia="仿宋" w:cs="Times New Roman"/>
          <w:sz w:val="32"/>
        </w:rPr>
        <w:t>。</w:t>
      </w:r>
    </w:p>
    <w:p w14:paraId="04C62D29">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规划策略</w:t>
      </w:r>
    </w:p>
    <w:p w14:paraId="41BF3F3B">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以萧太后河水环境综合治理为基础，持续推进河道生态修复与滨水湿地重建，以马家湾湿地公园为核心辐射带动，沿河布局规模化带状湿地、滨水草甸与净化湿地。</w:t>
      </w:r>
    </w:p>
    <w:p w14:paraId="60E9A342">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（五）</w:t>
      </w:r>
      <w:r>
        <w:rPr>
          <w:rFonts w:ascii="Times New Roman" w:hAnsi="Times New Roman" w:eastAsia="仿宋" w:cs="Times New Roman"/>
          <w:b/>
          <w:bCs/>
          <w:sz w:val="32"/>
          <w:szCs w:val="32"/>
        </w:rPr>
        <w:t>北部生态保育区</w:t>
      </w:r>
    </w:p>
    <w:p w14:paraId="7E28F93C">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04EE5FF9">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北部生态保育区覆盖朝阳区北部温榆河沿线及二道绿隔北部区域，是全区湿地生态基底最优、原生湿地最集中、生态承载力最强的核心生态保育片区。区域以生态保护、水源涵养、生物栖息维系为核心功能，是朝阳区最重要的城市生态屏障与湿地资源储备区，承担保障全域生态安全、维系湿地生物多样性、保护原生湿地生态系统的战略职能。</w:t>
      </w:r>
    </w:p>
    <w:p w14:paraId="47E47998">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（2）现状问题</w:t>
      </w:r>
    </w:p>
    <w:p w14:paraId="2319A785">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北部区域整体生态基底优良，但部分原生湿地存在植被退化、水系淤堵、栖息地碎片化现象；湿地保护管控边界不够清晰，保育与利用边界模糊；低干扰生态科普、生态价值转化不足，生态保护成果未能有效服务城市生态发展。</w:t>
      </w:r>
    </w:p>
    <w:p w14:paraId="2A3C50FD">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规划策略</w:t>
      </w:r>
    </w:p>
    <w:p w14:paraId="66FBD22C">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以自然恢复为主要手段，辅以适度人工干预，</w:t>
      </w:r>
      <w:r>
        <w:rPr>
          <w:rFonts w:hint="eastAsia" w:ascii="Times New Roman" w:hAnsi="Times New Roman" w:eastAsia="仿宋" w:cs="Times New Roman"/>
          <w:sz w:val="32"/>
        </w:rPr>
        <w:t>连</w:t>
      </w:r>
      <w:r>
        <w:rPr>
          <w:rFonts w:ascii="Times New Roman" w:hAnsi="Times New Roman" w:eastAsia="仿宋" w:cs="Times New Roman"/>
          <w:sz w:val="32"/>
        </w:rPr>
        <w:t>通湿地水系、修复退化植被、完善湿地生境结构，最大限度维持湿地生态系统原生性与完整性。分区管控人类活动强度，规范生态科普、近郊休闲等低干扰活动，打造高标准、高稳定性的北部生态保育屏障，筑牢全区湿地生态安全底线。</w:t>
      </w:r>
    </w:p>
    <w:p w14:paraId="65BAE123">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（六）</w:t>
      </w:r>
      <w:r>
        <w:rPr>
          <w:rFonts w:ascii="Times New Roman" w:hAnsi="Times New Roman" w:eastAsia="仿宋" w:cs="Times New Roman"/>
          <w:b/>
          <w:bCs/>
          <w:sz w:val="32"/>
          <w:szCs w:val="32"/>
        </w:rPr>
        <w:t>中部滨水提升区</w:t>
      </w:r>
    </w:p>
    <w:p w14:paraId="4D5BDEEB">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5883CA17">
      <w:pPr>
        <w:ind w:firstLine="640" w:firstLineChars="200"/>
        <w:rPr>
          <w:rFonts w:ascii="Times New Roman" w:hAnsi="Times New Roman" w:eastAsia="仿宋" w:cs="Times New Roman"/>
          <w:sz w:val="32"/>
        </w:rPr>
      </w:pPr>
      <w:r>
        <w:rPr>
          <w:rFonts w:ascii="Times New Roman" w:hAnsi="Times New Roman" w:eastAsia="仿宋" w:cs="Times New Roman"/>
          <w:sz w:val="32"/>
        </w:rPr>
        <w:t>中部滨水提升区覆盖朝阳中心城区坝河、通惠河沿线高密度建成区域，是城市核心区湿地提质、滨水空间更新、生态惠民服务的核心功能片区。片区以城水融合、提质增效、生态便民为核心导向，依托城市现有水系与绿地空间，打造都市型高品质湿地生态系统，承担城区水环境改善、雨洪海绵调节、滨水景观提升、居民亲水休闲服务功能，是城市生态宜居品质提升的核心承载区。</w:t>
      </w:r>
    </w:p>
    <w:p w14:paraId="52ECC3B3">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（2）现状问题</w:t>
      </w:r>
    </w:p>
    <w:p w14:paraId="601C80B8">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城市硬化下垫面占比高，雨水蓄滞、净化能力不足，城市内涝与面源污染压力较大；滨水空间功能单一，生态功能、景观功能、民生功能融合不足；小微湿地布局零散、不成体系，生态连通性差，难以形成规模化生态效益。</w:t>
      </w:r>
    </w:p>
    <w:p w14:paraId="4082F2C1">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规划策略</w:t>
      </w:r>
    </w:p>
    <w:p w14:paraId="7AA79CC4">
      <w:pPr>
        <w:ind w:firstLine="640" w:firstLineChars="200"/>
        <w:rPr>
          <w:rFonts w:ascii="Times New Roman" w:hAnsi="Times New Roman" w:eastAsia="仿宋" w:cs="Times New Roman"/>
          <w:sz w:val="32"/>
        </w:rPr>
      </w:pPr>
      <w:r>
        <w:rPr>
          <w:rFonts w:ascii="Times New Roman" w:hAnsi="Times New Roman" w:eastAsia="仿宋" w:cs="Times New Roman"/>
          <w:sz w:val="32"/>
        </w:rPr>
        <w:t>充分利用城市边角绿地、道路洼地、公园闲置空间、河道滨水空间，系统性增补小微湿地、雨水花园、生态塘等都市型湿地载体。打通城区水系微循环节点，提升城市雨洪调蓄、径流净化、水源涵养能力。推进滨水空间生态化、景观化、便民化提质改造，构建可达性强、景观优美、功能复合的都市滨水湿地体系。</w:t>
      </w:r>
    </w:p>
    <w:p w14:paraId="0B36166C">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（七）</w:t>
      </w:r>
      <w:r>
        <w:rPr>
          <w:rFonts w:ascii="Times New Roman" w:hAnsi="Times New Roman" w:eastAsia="仿宋" w:cs="Times New Roman"/>
          <w:b/>
          <w:bCs/>
          <w:sz w:val="32"/>
          <w:szCs w:val="32"/>
        </w:rPr>
        <w:t>南部湿地修复区</w:t>
      </w:r>
    </w:p>
    <w:p w14:paraId="3506F398">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66BBD732">
      <w:pPr>
        <w:ind w:firstLine="640" w:firstLineChars="200"/>
        <w:rPr>
          <w:rFonts w:ascii="Times New Roman" w:hAnsi="Times New Roman" w:eastAsia="仿宋" w:cs="Times New Roman"/>
          <w:sz w:val="32"/>
        </w:rPr>
      </w:pPr>
      <w:r>
        <w:rPr>
          <w:rFonts w:ascii="Times New Roman" w:hAnsi="Times New Roman" w:eastAsia="仿宋" w:cs="Times New Roman"/>
          <w:sz w:val="32"/>
        </w:rPr>
        <w:t>南部湿地修复区涵盖朝阳区南部及东南部城乡结合部、萧太后河沿线全域，是全区湿地生态短板补齐、水环境系统治理、城乡生态统筹发展的重点片区。片区核心定位为受损湿地系统修复重建、区域水环境提质、南部生态功能重塑，通过系统性湿地重建与生态修复，补齐全域湿地生态薄弱环节，实现朝阳区南北湿地生态均衡协同发展。</w:t>
      </w:r>
    </w:p>
    <w:p w14:paraId="4F3B9638">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（2）现状问题</w:t>
      </w:r>
    </w:p>
    <w:p w14:paraId="3BFEC241">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南部区域城乡交错特征明显，前期开发建设导致湿地生态系统受损严重，湿地斑块破碎、连通性差、功能退化；水系淤堵、水体自净能力弱，水环境稳定性不足；湿地植被群落单一、生物栖息地匮乏，生物多样性水平偏低；城乡建设与生态保护矛盾突出，湿地保护修复系统性不足，整体生态效能薄弱。</w:t>
      </w:r>
    </w:p>
    <w:p w14:paraId="376EFE46">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规划策略</w:t>
      </w:r>
    </w:p>
    <w:p w14:paraId="381D81EC">
      <w:pPr>
        <w:ind w:firstLine="640" w:firstLineChars="200"/>
        <w:rPr>
          <w:rFonts w:ascii="Times New Roman" w:hAnsi="Times New Roman" w:eastAsia="仿宋" w:cs="Times New Roman"/>
          <w:sz w:val="32"/>
        </w:rPr>
      </w:pPr>
      <w:r>
        <w:rPr>
          <w:rFonts w:ascii="Times New Roman" w:hAnsi="Times New Roman" w:eastAsia="仿宋" w:cs="Times New Roman"/>
          <w:sz w:val="32"/>
        </w:rPr>
        <w:t>全面开展受损湿地修复与生态重构，疏通区域水系脉络，打通湿地连通通道。规模化建设带状湿地、湿地公园与塘沼湿地集群，构建多级水质净化湿地体系，有效拦截面源污染、提升水体自净能力。系统恢复湿地动植物群落，重塑南部完整湿地生态系统，打造连片贯通、功能稳定的南部湿地生态带，有效缩小南北区域生态差距，实现全域湿地生态均衡提质。</w:t>
      </w:r>
    </w:p>
    <w:p w14:paraId="5F0E00F1">
      <w:pPr>
        <w:keepNext/>
        <w:keepLines/>
        <w:spacing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（八）城市湿地公园与小微湿地节点</w:t>
      </w:r>
    </w:p>
    <w:p w14:paraId="3746FEF5">
      <w:pPr>
        <w:ind w:firstLine="640" w:firstLineChars="200"/>
        <w:rPr>
          <w:rFonts w:ascii="Times New Roman" w:hAnsi="Times New Roman" w:eastAsia="仿宋" w:cs="Times New Roman"/>
          <w:sz w:val="32"/>
        </w:rPr>
      </w:pPr>
      <w:r>
        <w:rPr>
          <w:rFonts w:ascii="Times New Roman" w:hAnsi="Times New Roman" w:eastAsia="仿宋" w:cs="Times New Roman"/>
          <w:sz w:val="32"/>
        </w:rPr>
        <w:t>（1）</w:t>
      </w:r>
      <w:r>
        <w:rPr>
          <w:rFonts w:hint="eastAsia" w:ascii="Times New Roman" w:hAnsi="Times New Roman" w:eastAsia="仿宋" w:cs="Times New Roman"/>
          <w:sz w:val="32"/>
        </w:rPr>
        <w:t>布局定位</w:t>
      </w:r>
    </w:p>
    <w:p w14:paraId="39AFDBF0">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城市湿地公园与</w:t>
      </w:r>
      <w:r>
        <w:rPr>
          <w:rFonts w:ascii="Times New Roman" w:hAnsi="Times New Roman" w:eastAsia="仿宋" w:cs="Times New Roman"/>
          <w:sz w:val="32"/>
        </w:rPr>
        <w:t>小微湿地节点是朝阳区全域湿地网络的基础单元与重要补充，遍布全区城乡各类零散生态空间，形成</w:t>
      </w:r>
      <w:r>
        <w:rPr>
          <w:rFonts w:hint="eastAsia" w:ascii="Times New Roman" w:hAnsi="Times New Roman" w:eastAsia="仿宋" w:cs="Times New Roman"/>
          <w:sz w:val="32"/>
        </w:rPr>
        <w:t>“</w:t>
      </w:r>
      <w:r>
        <w:rPr>
          <w:rFonts w:ascii="Times New Roman" w:hAnsi="Times New Roman" w:eastAsia="仿宋" w:cs="Times New Roman"/>
          <w:sz w:val="32"/>
        </w:rPr>
        <w:t>主干廊道为骨架、小微节点为肌理</w:t>
      </w:r>
      <w:r>
        <w:rPr>
          <w:rFonts w:hint="eastAsia" w:ascii="Times New Roman" w:hAnsi="Times New Roman" w:eastAsia="仿宋" w:cs="Times New Roman"/>
          <w:sz w:val="32"/>
        </w:rPr>
        <w:t>”</w:t>
      </w:r>
      <w:r>
        <w:rPr>
          <w:rFonts w:ascii="Times New Roman" w:hAnsi="Times New Roman" w:eastAsia="仿宋" w:cs="Times New Roman"/>
          <w:sz w:val="32"/>
        </w:rPr>
        <w:t>的全域湿地层级体系。</w:t>
      </w:r>
    </w:p>
    <w:p w14:paraId="2A956559">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（2）现状问题</w:t>
      </w:r>
    </w:p>
    <w:p w14:paraId="405DD508">
      <w:pPr>
        <w:ind w:firstLine="640" w:firstLineChars="200"/>
        <w:rPr>
          <w:rFonts w:ascii="Times New Roman" w:hAnsi="Times New Roman" w:eastAsia="仿宋" w:cs="Times New Roman"/>
          <w:sz w:val="32"/>
        </w:rPr>
      </w:pPr>
      <w:r>
        <w:rPr>
          <w:rFonts w:ascii="Times New Roman" w:hAnsi="Times New Roman" w:eastAsia="仿宋" w:cs="Times New Roman"/>
          <w:sz w:val="32"/>
        </w:rPr>
        <w:t>多数小微湿地功能单一，仅具备景观效果，生态净化、雨洪调蓄、生物栖息功能不足；建设标准不统一，植被配置、水系设计规范性欠缺；日常管护体系不完善，部分小微湿地存在水体滞留、植被杂乱、功能退化等问题，整体生态效益未能系统发挥。</w:t>
      </w:r>
    </w:p>
    <w:p w14:paraId="6AC27B9B">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规划策略</w:t>
      </w:r>
    </w:p>
    <w:p w14:paraId="420CD222">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结合海绵城市建设、城市更新、公园绿地提升、街巷环境整治，在社区、公园、道路、河道沿线、城乡闲置地块系统化布局各类小微湿地节点。优化水系结构、植被配置与生态功能设计，强化雨水蓄滞、径流净化、微型生境营造功能。加密城区湿地生态网格，补齐片区生态空白，形成大小结合、层级清晰、功能互补、全域贯通的完整湿地生态网络。</w:t>
      </w:r>
    </w:p>
    <w:p w14:paraId="6F49D3FE">
      <w:pPr>
        <w:pStyle w:val="2"/>
        <w:ind w:firstLine="464"/>
        <w:rPr>
          <w:rFonts w:hint="eastAsia"/>
        </w:rPr>
      </w:pPr>
    </w:p>
    <w:p w14:paraId="2AF129C3">
      <w:pPr>
        <w:spacing w:line="360" w:lineRule="auto"/>
        <w:ind w:firstLine="640" w:firstLineChars="200"/>
        <w:rPr>
          <w:rFonts w:ascii="Times New Roman" w:hAnsi="Times New Roman" w:eastAsia="仿宋" w:cs="Times New Roman"/>
          <w:sz w:val="32"/>
        </w:rPr>
        <w:sectPr>
          <w:pgSz w:w="11906" w:h="16838"/>
          <w:pgMar w:top="1440" w:right="1800" w:bottom="1440" w:left="1800" w:header="851" w:footer="992" w:gutter="0"/>
          <w:cols w:space="425" w:num="1"/>
          <w:docGrid w:type="lines" w:linePitch="312" w:charSpace="0"/>
        </w:sectPr>
      </w:pPr>
    </w:p>
    <w:p w14:paraId="6070D26B">
      <w:pPr>
        <w:keepNext/>
        <w:keepLines/>
        <w:spacing w:before="340" w:after="330" w:line="578" w:lineRule="auto"/>
        <w:jc w:val="center"/>
        <w:outlineLvl w:val="0"/>
        <w:rPr>
          <w:rFonts w:ascii="Times New Roman" w:hAnsi="Times New Roman" w:eastAsia="仿宋" w:cs="Times New Roman"/>
          <w:b/>
          <w:bCs/>
          <w:kern w:val="44"/>
          <w:sz w:val="36"/>
          <w:szCs w:val="36"/>
        </w:rPr>
      </w:pPr>
      <w:bookmarkStart w:id="63" w:name="_Toc32388"/>
      <w:bookmarkStart w:id="64" w:name="_Toc91078480"/>
      <w:bookmarkStart w:id="65" w:name="_Toc150720913"/>
      <w:bookmarkStart w:id="66" w:name="_Toc240204673"/>
      <w:r>
        <w:rPr>
          <w:rFonts w:ascii="Times New Roman" w:hAnsi="Times New Roman" w:eastAsia="仿宋" w:cs="Times New Roman"/>
          <w:b/>
          <w:bCs/>
          <w:kern w:val="44"/>
          <w:sz w:val="36"/>
          <w:szCs w:val="36"/>
        </w:rPr>
        <w:t>第</w:t>
      </w:r>
      <w:r>
        <w:rPr>
          <w:rFonts w:hint="eastAsia" w:ascii="Times New Roman" w:hAnsi="Times New Roman" w:eastAsia="仿宋" w:cs="Times New Roman"/>
          <w:b/>
          <w:bCs/>
          <w:kern w:val="44"/>
          <w:sz w:val="36"/>
          <w:szCs w:val="36"/>
        </w:rPr>
        <w:t>五</w:t>
      </w:r>
      <w:r>
        <w:rPr>
          <w:rFonts w:ascii="Times New Roman" w:hAnsi="Times New Roman" w:eastAsia="仿宋" w:cs="Times New Roman"/>
          <w:b/>
          <w:bCs/>
          <w:kern w:val="44"/>
          <w:sz w:val="36"/>
          <w:szCs w:val="36"/>
        </w:rPr>
        <w:t>章 规划内容</w:t>
      </w:r>
      <w:bookmarkEnd w:id="63"/>
      <w:bookmarkEnd w:id="64"/>
      <w:bookmarkEnd w:id="65"/>
      <w:bookmarkEnd w:id="66"/>
      <w:bookmarkStart w:id="67" w:name="_Hlk85986647"/>
    </w:p>
    <w:bookmarkEnd w:id="67"/>
    <w:p w14:paraId="63452E0F">
      <w:pPr>
        <w:keepNext/>
        <w:keepLines/>
        <w:spacing w:before="260" w:after="260" w:line="416" w:lineRule="auto"/>
        <w:outlineLvl w:val="1"/>
        <w:rPr>
          <w:rFonts w:ascii="Times New Roman" w:hAnsi="Times New Roman" w:eastAsia="仿宋" w:cs="Times New Roman"/>
          <w:b/>
          <w:bCs/>
          <w:sz w:val="32"/>
          <w:szCs w:val="32"/>
        </w:rPr>
      </w:pPr>
      <w:bookmarkStart w:id="68" w:name="_Toc91078481"/>
      <w:bookmarkStart w:id="69" w:name="_Toc240204674"/>
      <w:bookmarkStart w:id="70" w:name="_Toc150720914"/>
      <w:bookmarkStart w:id="71" w:name="_Toc23426"/>
      <w:r>
        <w:rPr>
          <w:rFonts w:ascii="Times New Roman" w:hAnsi="Times New Roman" w:eastAsia="仿宋" w:cs="Times New Roman"/>
          <w:b/>
          <w:bCs/>
          <w:sz w:val="32"/>
          <w:szCs w:val="32"/>
        </w:rPr>
        <w:t>一、湿地保护</w:t>
      </w:r>
      <w:bookmarkEnd w:id="68"/>
      <w:bookmarkEnd w:id="69"/>
      <w:bookmarkEnd w:id="70"/>
      <w:bookmarkEnd w:id="71"/>
      <w:bookmarkStart w:id="72" w:name="_Hlk85986922"/>
    </w:p>
    <w:bookmarkEnd w:id="72"/>
    <w:p w14:paraId="7004D175">
      <w:pPr>
        <w:keepNext/>
        <w:keepLines/>
        <w:spacing w:before="260" w:after="260" w:line="416" w:lineRule="auto"/>
        <w:ind w:firstLine="643" w:firstLineChars="200"/>
        <w:outlineLvl w:val="2"/>
        <w:rPr>
          <w:rFonts w:ascii="Times New Roman" w:hAnsi="Times New Roman" w:eastAsia="仿宋" w:cs="Times New Roman"/>
          <w:bCs/>
          <w:sz w:val="32"/>
          <w:szCs w:val="32"/>
        </w:rPr>
      </w:pPr>
      <w:bookmarkStart w:id="73" w:name="_Toc149802246"/>
      <w:r>
        <w:rPr>
          <w:rFonts w:ascii="Times New Roman" w:hAnsi="Times New Roman" w:eastAsia="仿宋" w:cs="Times New Roman"/>
          <w:b/>
          <w:bCs/>
          <w:sz w:val="32"/>
          <w:szCs w:val="32"/>
        </w:rPr>
        <w:t>（一）</w:t>
      </w:r>
      <w:bookmarkEnd w:id="73"/>
      <w:bookmarkStart w:id="74" w:name="_Hlk85986927"/>
      <w:r>
        <w:rPr>
          <w:rFonts w:hint="eastAsia" w:ascii="Times New Roman" w:hAnsi="Times New Roman" w:eastAsia="仿宋" w:cs="Times New Roman"/>
          <w:b/>
          <w:bCs/>
          <w:sz w:val="32"/>
          <w:szCs w:val="32"/>
        </w:rPr>
        <w:t>严守湿地总量刚性管控</w:t>
      </w:r>
    </w:p>
    <w:bookmarkEnd w:id="74"/>
    <w:p w14:paraId="03E477CF">
      <w:pPr>
        <w:spacing w:line="360" w:lineRule="auto"/>
        <w:ind w:firstLine="640" w:firstLineChars="200"/>
        <w:rPr>
          <w:rFonts w:ascii="Times New Roman" w:hAnsi="Times New Roman" w:eastAsia="仿宋" w:cs="Times New Roman"/>
          <w:sz w:val="32"/>
          <w:szCs w:val="32"/>
        </w:rPr>
      </w:pPr>
      <w:r>
        <w:rPr>
          <w:rFonts w:hint="eastAsia" w:ascii="华文楷体" w:hAnsi="华文楷体" w:eastAsia="华文楷体" w:cs="华文楷体"/>
          <w:sz w:val="32"/>
          <w:szCs w:val="32"/>
        </w:rPr>
        <w:t>落实湿地保有量目标管理。</w:t>
      </w:r>
      <w:r>
        <w:rPr>
          <w:rFonts w:hint="eastAsia" w:ascii="Times New Roman" w:hAnsi="Times New Roman" w:eastAsia="仿宋" w:cs="Times New Roman"/>
          <w:sz w:val="32"/>
          <w:szCs w:val="32"/>
        </w:rPr>
        <w:t>严格落实</w:t>
      </w:r>
      <w:r>
        <w:rPr>
          <w:rFonts w:ascii="Times New Roman" w:hAnsi="Times New Roman" w:eastAsia="仿宋" w:cs="Times New Roman"/>
          <w:sz w:val="32"/>
          <w:szCs w:val="32"/>
        </w:rPr>
        <w:t>湿地面积总量管控制度</w:t>
      </w:r>
      <w:r>
        <w:rPr>
          <w:rFonts w:hint="eastAsia" w:ascii="Times New Roman" w:hAnsi="Times New Roman" w:eastAsia="仿宋" w:cs="Times New Roman"/>
          <w:sz w:val="32"/>
          <w:szCs w:val="32"/>
        </w:rPr>
        <w:t>，</w:t>
      </w:r>
      <w:r>
        <w:rPr>
          <w:rFonts w:ascii="Times New Roman" w:hAnsi="Times New Roman" w:eastAsia="仿宋" w:cs="Times New Roman"/>
          <w:sz w:val="32"/>
          <w:szCs w:val="32"/>
        </w:rPr>
        <w:t>确保湿地面积总量不减少，坚持区域湿地总量稳定、湿地规模只增不减，守住湿地资源底线。将湿地保有量指标纳入朝阳区国土空间规划、生态文明建设考核体系，建立湿地面积常态化管控机制</w:t>
      </w:r>
      <w:r>
        <w:rPr>
          <w:rFonts w:hint="eastAsia" w:ascii="Times New Roman" w:hAnsi="Times New Roman" w:eastAsia="仿宋" w:cs="Times New Roman"/>
          <w:sz w:val="32"/>
          <w:szCs w:val="32"/>
        </w:rPr>
        <w:t>。</w:t>
      </w:r>
    </w:p>
    <w:p w14:paraId="6ED4EEE1">
      <w:pPr>
        <w:spacing w:line="360" w:lineRule="auto"/>
        <w:ind w:firstLine="640" w:firstLineChars="200"/>
        <w:rPr>
          <w:rFonts w:ascii="Times New Roman" w:hAnsi="Times New Roman" w:eastAsia="仿宋" w:cs="Times New Roman"/>
          <w:sz w:val="32"/>
          <w:szCs w:val="32"/>
        </w:rPr>
      </w:pPr>
      <w:r>
        <w:rPr>
          <w:rFonts w:hint="eastAsia" w:ascii="华文楷体" w:hAnsi="华文楷体" w:eastAsia="华文楷体" w:cs="华文楷体"/>
          <w:sz w:val="32"/>
          <w:szCs w:val="32"/>
        </w:rPr>
        <w:t>严守</w:t>
      </w:r>
      <w:r>
        <w:rPr>
          <w:rFonts w:ascii="华文楷体" w:hAnsi="华文楷体" w:eastAsia="华文楷体" w:cs="华文楷体"/>
          <w:sz w:val="32"/>
          <w:szCs w:val="32"/>
        </w:rPr>
        <w:t>生态保护红线刚性约束</w:t>
      </w:r>
      <w:r>
        <w:rPr>
          <w:rFonts w:hint="eastAsia" w:ascii="华文楷体" w:hAnsi="华文楷体" w:eastAsia="华文楷体" w:cs="华文楷体"/>
          <w:sz w:val="32"/>
          <w:szCs w:val="32"/>
        </w:rPr>
        <w:t>。</w:t>
      </w:r>
      <w:r>
        <w:rPr>
          <w:rFonts w:hint="eastAsia" w:ascii="Times New Roman" w:hAnsi="Times New Roman" w:eastAsia="仿宋" w:cs="Times New Roman"/>
          <w:sz w:val="32"/>
          <w:szCs w:val="32"/>
        </w:rPr>
        <w:t>将</w:t>
      </w:r>
      <w:r>
        <w:rPr>
          <w:rFonts w:ascii="Times New Roman" w:hAnsi="Times New Roman" w:eastAsia="仿宋" w:cs="Times New Roman"/>
          <w:sz w:val="32"/>
          <w:szCs w:val="32"/>
        </w:rPr>
        <w:t>生态保护红线面积作为刚性约束长期坚守</w:t>
      </w:r>
      <w:r>
        <w:rPr>
          <w:rFonts w:hint="eastAsia" w:ascii="Times New Roman" w:hAnsi="Times New Roman" w:eastAsia="仿宋" w:cs="Times New Roman"/>
          <w:sz w:val="32"/>
          <w:szCs w:val="32"/>
        </w:rPr>
        <w:t>，</w:t>
      </w:r>
      <w:r>
        <w:rPr>
          <w:rFonts w:ascii="Times New Roman" w:hAnsi="Times New Roman" w:eastAsia="仿宋" w:cs="Times New Roman"/>
          <w:sz w:val="32"/>
          <w:szCs w:val="32"/>
        </w:rPr>
        <w:t>重要湿地依法划入生态保护红线，确保红线范围内湿地面积不减少、生态功能不降低、性质不改变。</w:t>
      </w:r>
    </w:p>
    <w:p w14:paraId="79DD0DCB">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遏制湿地碎片化与隐性退化</w:t>
      </w:r>
      <w:r>
        <w:rPr>
          <w:rFonts w:hint="eastAsia" w:ascii="华文楷体" w:hAnsi="华文楷体" w:eastAsia="华文楷体" w:cs="华文楷体"/>
          <w:sz w:val="32"/>
          <w:szCs w:val="32"/>
        </w:rPr>
        <w:t>。</w:t>
      </w:r>
      <w:r>
        <w:rPr>
          <w:rFonts w:ascii="Times New Roman" w:hAnsi="Times New Roman" w:eastAsia="仿宋" w:cs="Times New Roman"/>
          <w:sz w:val="32"/>
          <w:szCs w:val="32"/>
        </w:rPr>
        <w:t>加强滨水湿地、小微湿地常态化管控，防范河道过度渠化、滨岸全线硬化、湿地斑块分割等问题，保障水陆过渡带、浅滩沼泽等湿地生境不被侵占，防止湿地生态功能持续衰减。</w:t>
      </w:r>
    </w:p>
    <w:p w14:paraId="30671FDB">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建立湿地总量监测预警机制</w:t>
      </w:r>
      <w:r>
        <w:rPr>
          <w:rFonts w:hint="eastAsia" w:ascii="Times New Roman" w:hAnsi="Times New Roman" w:eastAsia="仿宋" w:cs="Times New Roman"/>
          <w:sz w:val="32"/>
          <w:szCs w:val="32"/>
        </w:rPr>
        <w:t>。</w:t>
      </w:r>
      <w:r>
        <w:rPr>
          <w:rFonts w:ascii="Times New Roman" w:hAnsi="Times New Roman" w:eastAsia="仿宋" w:cs="Times New Roman"/>
          <w:sz w:val="32"/>
          <w:szCs w:val="32"/>
        </w:rPr>
        <w:t>运用遥感监测、实地核查相结合方式，定期比对湿地现状与规划管控范围，动态跟踪湿地增减变化。对出现湿地面积缩减、斑块消失的区域及时预警，迅速核查成因并落实整改，做到湿地流失早发现、早制止、早修复。</w:t>
      </w:r>
    </w:p>
    <w:p w14:paraId="7F3DD8D1">
      <w:pPr>
        <w:keepNext/>
        <w:keepLines/>
        <w:spacing w:before="260" w:after="260" w:line="416" w:lineRule="auto"/>
        <w:ind w:firstLine="643" w:firstLineChars="200"/>
        <w:outlineLvl w:val="2"/>
        <w:rPr>
          <w:rFonts w:ascii="Times New Roman" w:hAnsi="Times New Roman" w:eastAsia="仿宋" w:cs="Times New Roman"/>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）完善湿地分级分类保护</w:t>
      </w:r>
    </w:p>
    <w:p w14:paraId="47A9EB97">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健全湿地名录动态管控机制</w:t>
      </w:r>
      <w:r>
        <w:rPr>
          <w:rFonts w:hint="eastAsia" w:ascii="Times New Roman" w:hAnsi="Times New Roman" w:eastAsia="仿宋" w:cs="Times New Roman"/>
          <w:sz w:val="32"/>
          <w:szCs w:val="32"/>
        </w:rPr>
        <w:t>。健全</w:t>
      </w:r>
      <w:r>
        <w:rPr>
          <w:rFonts w:ascii="Times New Roman" w:hAnsi="Times New Roman" w:eastAsia="仿宋" w:cs="Times New Roman"/>
          <w:sz w:val="32"/>
          <w:szCs w:val="32"/>
        </w:rPr>
        <w:t>朝阳区湿地资源名录管理制度，对国家重要湿地、市级</w:t>
      </w:r>
      <w:r>
        <w:rPr>
          <w:rFonts w:hint="eastAsia" w:ascii="Times New Roman" w:hAnsi="Times New Roman" w:eastAsia="仿宋" w:cs="Times New Roman"/>
          <w:sz w:val="32"/>
          <w:szCs w:val="32"/>
        </w:rPr>
        <w:t>重要</w:t>
      </w:r>
      <w:r>
        <w:rPr>
          <w:rFonts w:ascii="Times New Roman" w:hAnsi="Times New Roman" w:eastAsia="仿宋" w:cs="Times New Roman"/>
          <w:sz w:val="32"/>
          <w:szCs w:val="32"/>
        </w:rPr>
        <w:t>湿地和</w:t>
      </w:r>
      <w:r>
        <w:rPr>
          <w:rFonts w:hint="eastAsia" w:ascii="Times New Roman" w:hAnsi="Times New Roman" w:eastAsia="仿宋" w:cs="Times New Roman"/>
          <w:sz w:val="32"/>
          <w:szCs w:val="32"/>
        </w:rPr>
        <w:t>一般湿地</w:t>
      </w:r>
      <w:r>
        <w:rPr>
          <w:rFonts w:ascii="Times New Roman" w:hAnsi="Times New Roman" w:eastAsia="仿宋" w:cs="Times New Roman"/>
          <w:sz w:val="32"/>
          <w:szCs w:val="32"/>
        </w:rPr>
        <w:t>实行名录管理</w:t>
      </w:r>
      <w:r>
        <w:rPr>
          <w:rFonts w:hint="eastAsia" w:ascii="Times New Roman" w:hAnsi="Times New Roman" w:eastAsia="仿宋" w:cs="Times New Roman"/>
          <w:sz w:val="32"/>
          <w:szCs w:val="32"/>
        </w:rPr>
        <w:t>；</w:t>
      </w:r>
      <w:r>
        <w:rPr>
          <w:rFonts w:ascii="Times New Roman" w:hAnsi="Times New Roman" w:eastAsia="仿宋" w:cs="Times New Roman"/>
          <w:sz w:val="32"/>
          <w:szCs w:val="32"/>
        </w:rPr>
        <w:t>建立湿地名录动态更新机制，定期增补新增湿地、更新湿地现状信息，确保湿地名录真实、准确、完整。</w:t>
      </w:r>
    </w:p>
    <w:p w14:paraId="02B3B5FA">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建立湿地分级保护体系</w:t>
      </w:r>
      <w:r>
        <w:rPr>
          <w:rFonts w:hint="eastAsia" w:ascii="Times New Roman" w:hAnsi="Times New Roman" w:eastAsia="仿宋" w:cs="Times New Roman"/>
          <w:sz w:val="32"/>
          <w:szCs w:val="32"/>
        </w:rPr>
        <w:t>。</w:t>
      </w:r>
      <w:r>
        <w:rPr>
          <w:rFonts w:ascii="Times New Roman" w:hAnsi="Times New Roman" w:eastAsia="仿宋" w:cs="Times New Roman"/>
          <w:sz w:val="32"/>
          <w:szCs w:val="32"/>
        </w:rPr>
        <w:t>依据湿地生态价值、功能重要性、资源禀赋及区位条件，全域划分</w:t>
      </w:r>
      <w:r>
        <w:rPr>
          <w:rFonts w:hint="eastAsia" w:ascii="Times New Roman" w:hAnsi="Times New Roman" w:eastAsia="仿宋" w:cs="Times New Roman"/>
          <w:sz w:val="32"/>
          <w:szCs w:val="32"/>
        </w:rPr>
        <w:t>国家重要湿地、市级重要湿地和</w:t>
      </w:r>
      <w:r>
        <w:rPr>
          <w:rFonts w:ascii="Times New Roman" w:hAnsi="Times New Roman" w:eastAsia="仿宋" w:cs="Times New Roman"/>
          <w:sz w:val="32"/>
          <w:szCs w:val="32"/>
        </w:rPr>
        <w:t>一般湿地，构建</w:t>
      </w:r>
      <w:r>
        <w:rPr>
          <w:rFonts w:hint="eastAsia" w:ascii="Times New Roman" w:hAnsi="Times New Roman" w:eastAsia="仿宋" w:cs="Times New Roman"/>
          <w:sz w:val="32"/>
          <w:szCs w:val="32"/>
        </w:rPr>
        <w:t>“</w:t>
      </w:r>
      <w:r>
        <w:rPr>
          <w:rFonts w:ascii="Times New Roman" w:hAnsi="Times New Roman" w:eastAsia="仿宋" w:cs="Times New Roman"/>
          <w:sz w:val="32"/>
          <w:szCs w:val="32"/>
        </w:rPr>
        <w:t>重</w:t>
      </w:r>
      <w:r>
        <w:rPr>
          <w:rFonts w:hint="eastAsia" w:ascii="Times New Roman" w:hAnsi="Times New Roman" w:eastAsia="仿宋" w:cs="Times New Roman"/>
          <w:sz w:val="32"/>
          <w:szCs w:val="32"/>
        </w:rPr>
        <w:t>要</w:t>
      </w:r>
      <w:r>
        <w:rPr>
          <w:rFonts w:ascii="Times New Roman" w:hAnsi="Times New Roman" w:eastAsia="仿宋" w:cs="Times New Roman"/>
          <w:sz w:val="32"/>
          <w:szCs w:val="32"/>
        </w:rPr>
        <w:t>湿地严格保护、一般湿地规范管控</w:t>
      </w:r>
      <w:r>
        <w:rPr>
          <w:rFonts w:hint="eastAsia" w:ascii="Times New Roman" w:hAnsi="Times New Roman" w:eastAsia="仿宋" w:cs="Times New Roman"/>
          <w:sz w:val="32"/>
          <w:szCs w:val="32"/>
        </w:rPr>
        <w:t>”</w:t>
      </w:r>
      <w:r>
        <w:rPr>
          <w:rFonts w:ascii="Times New Roman" w:hAnsi="Times New Roman" w:eastAsia="仿宋" w:cs="Times New Roman"/>
          <w:sz w:val="32"/>
          <w:szCs w:val="32"/>
        </w:rPr>
        <w:t>的分级保护体系，实现全域湿地分级全覆盖、管控力度精准匹配。</w:t>
      </w:r>
    </w:p>
    <w:p w14:paraId="44E018F0">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落实重</w:t>
      </w:r>
      <w:r>
        <w:rPr>
          <w:rFonts w:hint="eastAsia" w:ascii="华文楷体" w:hAnsi="华文楷体" w:eastAsia="华文楷体" w:cs="华文楷体"/>
          <w:sz w:val="32"/>
          <w:szCs w:val="32"/>
        </w:rPr>
        <w:t>要</w:t>
      </w:r>
      <w:r>
        <w:rPr>
          <w:rFonts w:ascii="华文楷体" w:hAnsi="华文楷体" w:eastAsia="华文楷体" w:cs="华文楷体"/>
          <w:sz w:val="32"/>
          <w:szCs w:val="32"/>
        </w:rPr>
        <w:t>湿地专项管控</w:t>
      </w:r>
      <w:r>
        <w:rPr>
          <w:rFonts w:hint="eastAsia" w:ascii="Times New Roman" w:hAnsi="Times New Roman" w:eastAsia="仿宋" w:cs="Times New Roman"/>
          <w:sz w:val="32"/>
          <w:szCs w:val="32"/>
        </w:rPr>
        <w:t>。</w:t>
      </w:r>
      <w:r>
        <w:rPr>
          <w:rFonts w:ascii="Times New Roman" w:hAnsi="Times New Roman" w:eastAsia="仿宋" w:cs="Times New Roman"/>
          <w:sz w:val="32"/>
          <w:szCs w:val="32"/>
        </w:rPr>
        <w:t>针对生态区位重要、生物多样性丰富的区域（如温榆河核心生态保育区），实行严格管控，核心区域限制人为活动，明确管控边界与负面清单。严格控制人为活动强度，规范科研监测、自然科普、生态巡查等低干扰活动，最大限度保留重</w:t>
      </w:r>
      <w:r>
        <w:rPr>
          <w:rFonts w:hint="eastAsia" w:ascii="Times New Roman" w:hAnsi="Times New Roman" w:eastAsia="仿宋" w:cs="Times New Roman"/>
          <w:sz w:val="32"/>
          <w:szCs w:val="32"/>
        </w:rPr>
        <w:t>要</w:t>
      </w:r>
      <w:r>
        <w:rPr>
          <w:rFonts w:ascii="Times New Roman" w:hAnsi="Times New Roman" w:eastAsia="仿宋" w:cs="Times New Roman"/>
          <w:sz w:val="32"/>
          <w:szCs w:val="32"/>
        </w:rPr>
        <w:t>湿地原生生态特征，持续维系区域核心生态安全格局。</w:t>
      </w:r>
    </w:p>
    <w:p w14:paraId="64299A7C">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规范一般湿地常态化管护</w:t>
      </w:r>
      <w:r>
        <w:rPr>
          <w:rFonts w:hint="eastAsia" w:ascii="Times New Roman" w:hAnsi="Times New Roman" w:eastAsia="仿宋" w:cs="Times New Roman"/>
          <w:sz w:val="32"/>
          <w:szCs w:val="32"/>
        </w:rPr>
        <w:t>。</w:t>
      </w:r>
      <w:r>
        <w:rPr>
          <w:rFonts w:ascii="Times New Roman" w:hAnsi="Times New Roman" w:eastAsia="仿宋" w:cs="Times New Roman"/>
          <w:sz w:val="32"/>
          <w:szCs w:val="32"/>
        </w:rPr>
        <w:t>针对一般湿地，坚持保护为主、适度利用的原则，规范日常管护标准。结合城市更新、海绵城市运维、河湖日常管护，常态化开展植被养</w:t>
      </w:r>
      <w:r>
        <w:rPr>
          <w:rFonts w:hint="eastAsia" w:ascii="Times New Roman" w:hAnsi="Times New Roman" w:eastAsia="仿宋" w:cs="Times New Roman"/>
          <w:sz w:val="32"/>
          <w:szCs w:val="32"/>
        </w:rPr>
        <w:t>滨水空间改造、</w:t>
      </w:r>
      <w:r>
        <w:rPr>
          <w:rFonts w:ascii="Times New Roman" w:hAnsi="Times New Roman" w:eastAsia="仿宋" w:cs="Times New Roman"/>
          <w:sz w:val="32"/>
          <w:szCs w:val="32"/>
        </w:rPr>
        <w:t>护、水系疏通、水质维护、生境保育，保障一般湿地持续发挥水质净化、雨洪调蓄、生态补绿、便民亲水的基础功能</w:t>
      </w:r>
      <w:r>
        <w:rPr>
          <w:rFonts w:hint="eastAsia" w:ascii="Times New Roman" w:hAnsi="Times New Roman" w:eastAsia="仿宋" w:cs="Times New Roman"/>
          <w:sz w:val="32"/>
          <w:szCs w:val="32"/>
        </w:rPr>
        <w:t>。</w:t>
      </w:r>
    </w:p>
    <w:p w14:paraId="2B186515">
      <w:pPr>
        <w:keepNext/>
        <w:keepLines/>
        <w:spacing w:before="260" w:after="260" w:line="416" w:lineRule="auto"/>
        <w:ind w:firstLine="643" w:firstLineChars="200"/>
        <w:outlineLvl w:val="2"/>
        <w:rPr>
          <w:rFonts w:ascii="Times New Roman" w:hAnsi="Times New Roman" w:eastAsia="仿宋" w:cs="Times New Roman"/>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加强湿地资源保护</w:t>
      </w:r>
    </w:p>
    <w:p w14:paraId="03445FFC">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重点保护湿地生物栖息地</w:t>
      </w:r>
      <w:r>
        <w:rPr>
          <w:rFonts w:hint="eastAsia" w:ascii="Times New Roman" w:hAnsi="Times New Roman" w:eastAsia="仿宋" w:cs="Times New Roman"/>
          <w:sz w:val="32"/>
          <w:szCs w:val="32"/>
        </w:rPr>
        <w:t>。</w:t>
      </w:r>
      <w:r>
        <w:rPr>
          <w:rFonts w:ascii="Times New Roman" w:hAnsi="Times New Roman" w:eastAsia="仿宋" w:cs="Times New Roman"/>
          <w:sz w:val="32"/>
          <w:szCs w:val="32"/>
        </w:rPr>
        <w:t>优先保护温榆河等区域水鸟集中分布区、本土水生植物集中生长区，划定湿地核心栖息保育区域，实施低扰动管理。在大型湿地内合理设置生态留野区域，减少步道、人工设施过度侵入，营造近自然湿地生境。</w:t>
      </w:r>
    </w:p>
    <w:p w14:paraId="71230363">
      <w:pPr>
        <w:spacing w:line="360" w:lineRule="auto"/>
        <w:ind w:firstLine="640" w:firstLineChars="200"/>
        <w:rPr>
          <w:rFonts w:ascii="Times New Roman" w:hAnsi="Times New Roman" w:eastAsia="仿宋" w:cs="Times New Roman"/>
          <w:sz w:val="32"/>
          <w:szCs w:val="32"/>
        </w:rPr>
      </w:pPr>
      <w:r>
        <w:rPr>
          <w:rFonts w:hint="eastAsia" w:ascii="华文楷体" w:hAnsi="华文楷体" w:eastAsia="华文楷体" w:cs="华文楷体"/>
          <w:sz w:val="32"/>
          <w:szCs w:val="32"/>
        </w:rPr>
        <w:t>加强湿地动植物资源保护</w:t>
      </w:r>
      <w:r>
        <w:rPr>
          <w:rFonts w:hint="eastAsia" w:ascii="Times New Roman" w:hAnsi="Times New Roman" w:eastAsia="仿宋" w:cs="Times New Roman"/>
          <w:sz w:val="32"/>
        </w:rPr>
        <w:t>。</w:t>
      </w:r>
      <w:r>
        <w:rPr>
          <w:rFonts w:ascii="Times New Roman" w:hAnsi="Times New Roman" w:eastAsia="仿宋" w:cs="Times New Roman"/>
          <w:sz w:val="32"/>
          <w:szCs w:val="32"/>
        </w:rPr>
        <w:t>构建湿地野生动植物巡查救助、联合执法联动机制</w:t>
      </w:r>
      <w:r>
        <w:rPr>
          <w:rFonts w:hint="eastAsia" w:ascii="Times New Roman" w:hAnsi="Times New Roman" w:eastAsia="仿宋" w:cs="Times New Roman"/>
          <w:sz w:val="32"/>
          <w:szCs w:val="32"/>
        </w:rPr>
        <w:t>，</w:t>
      </w:r>
      <w:r>
        <w:rPr>
          <w:rFonts w:ascii="Times New Roman" w:hAnsi="Times New Roman" w:eastAsia="仿宋" w:cs="Times New Roman"/>
          <w:sz w:val="32"/>
          <w:szCs w:val="32"/>
        </w:rPr>
        <w:t>针对奥林匹克森林公园湿地、朝阳公园湿地等游人密集区域加大日常管护力度，规范公众行为，减少人为扰动野生动物。完善应急处置流程，强化人兽冲突、野生动物伤病等突发事件管理，做好信息发布与舆情防控</w:t>
      </w:r>
      <w:r>
        <w:rPr>
          <w:rFonts w:hint="eastAsia" w:ascii="Times New Roman" w:hAnsi="Times New Roman" w:eastAsia="仿宋" w:cs="Times New Roman"/>
          <w:sz w:val="32"/>
          <w:szCs w:val="32"/>
        </w:rPr>
        <w:t>。</w:t>
      </w:r>
      <w:r>
        <w:rPr>
          <w:rFonts w:ascii="Times New Roman" w:hAnsi="Times New Roman" w:eastAsia="仿宋" w:cs="Times New Roman"/>
          <w:sz w:val="32"/>
          <w:szCs w:val="32"/>
        </w:rPr>
        <w:t>加强湿地原生湿生、水生植物保护，严控外来入侵水生植物扩散，定期开展外来物种清理。</w:t>
      </w:r>
    </w:p>
    <w:p w14:paraId="39490FE2">
      <w:pPr>
        <w:pStyle w:val="2"/>
        <w:ind w:firstLine="707" w:firstLineChars="221"/>
        <w:rPr>
          <w:rFonts w:hint="eastAsia"/>
        </w:rPr>
      </w:pPr>
      <w:r>
        <w:rPr>
          <w:rFonts w:hint="eastAsia" w:ascii="华文楷体" w:hAnsi="华文楷体" w:eastAsia="华文楷体" w:cs="华文楷体"/>
          <w:sz w:val="32"/>
          <w:szCs w:val="32"/>
        </w:rPr>
        <w:t>加强湿地范围内古树名木保护。</w:t>
      </w:r>
      <w:r>
        <w:rPr>
          <w:rFonts w:ascii="Times New Roman" w:hAnsi="Times New Roman" w:eastAsia="仿宋" w:cs="Times New Roman"/>
          <w:sz w:val="32"/>
          <w:szCs w:val="32"/>
        </w:rPr>
        <w:t>湿地范围内分布的古树、名木</w:t>
      </w:r>
      <w:r>
        <w:rPr>
          <w:rFonts w:hint="eastAsia" w:ascii="Times New Roman" w:hAnsi="Times New Roman" w:eastAsia="仿宋" w:cs="Times New Roman"/>
          <w:sz w:val="32"/>
          <w:szCs w:val="32"/>
        </w:rPr>
        <w:t>资源</w:t>
      </w:r>
      <w:r>
        <w:rPr>
          <w:rFonts w:ascii="Times New Roman" w:hAnsi="Times New Roman" w:eastAsia="仿宋" w:cs="Times New Roman"/>
          <w:sz w:val="32"/>
          <w:szCs w:val="32"/>
        </w:rPr>
        <w:t>，严格遵循《北京市古树名木保护条例》相关规定，落实古树名木专项保护管控要求。开展湿地生态修复、建设及管护活动时，应优先避让古树名木保护范围；确需在保护管控区域周边实施工程的，须提前开展现状评估，制定专项保护方案，同步做好树木生长环境维持、土壤、水文扰动防控等保护措施，实现湿地生态保护与古树名木保护有机衔接、协同管控</w:t>
      </w:r>
      <w:r>
        <w:rPr>
          <w:rFonts w:hint="eastAsia" w:ascii="Times New Roman" w:hAnsi="Times New Roman" w:eastAsia="仿宋" w:cs="Times New Roman"/>
          <w:sz w:val="32"/>
          <w:szCs w:val="32"/>
        </w:rPr>
        <w:t>。</w:t>
      </w:r>
    </w:p>
    <w:p w14:paraId="6745D9B0">
      <w:pPr>
        <w:keepNext/>
        <w:keepLines/>
        <w:spacing w:before="260" w:after="260" w:line="416" w:lineRule="auto"/>
        <w:ind w:firstLine="643" w:firstLineChars="200"/>
        <w:outlineLvl w:val="2"/>
        <w:rPr>
          <w:rFonts w:ascii="Times New Roman" w:hAnsi="Times New Roman" w:eastAsia="仿宋" w:cs="Times New Roman"/>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四</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健全湿地调查监测评估体系</w:t>
      </w:r>
    </w:p>
    <w:p w14:paraId="7DBD14EB">
      <w:pPr>
        <w:spacing w:line="360" w:lineRule="auto"/>
        <w:ind w:firstLine="640" w:firstLineChars="200"/>
        <w:rPr>
          <w:rFonts w:ascii="Times New Roman" w:hAnsi="Times New Roman" w:eastAsia="仿宋" w:cs="Times New Roman"/>
          <w:sz w:val="32"/>
          <w:szCs w:val="32"/>
        </w:rPr>
      </w:pPr>
      <w:r>
        <w:rPr>
          <w:rFonts w:hint="eastAsia" w:ascii="华文楷体" w:hAnsi="华文楷体" w:eastAsia="华文楷体" w:cs="华文楷体"/>
          <w:sz w:val="32"/>
          <w:szCs w:val="32"/>
        </w:rPr>
        <w:t>建立湿地资源常态化调查监测体系</w:t>
      </w:r>
      <w:r>
        <w:rPr>
          <w:rFonts w:hint="eastAsia" w:ascii="Times New Roman" w:hAnsi="Times New Roman" w:eastAsia="仿宋" w:cs="Times New Roman"/>
          <w:sz w:val="32"/>
        </w:rPr>
        <w:t>。</w:t>
      </w:r>
      <w:r>
        <w:rPr>
          <w:rFonts w:ascii="Times New Roman" w:hAnsi="Times New Roman" w:eastAsia="仿宋" w:cs="Times New Roman"/>
          <w:sz w:val="32"/>
          <w:szCs w:val="32"/>
        </w:rPr>
        <w:t>建立全区湿地资源常态化调查机制，定期开展湿地类型、面积、水文水质、植被群落、生态功能调查，更新湿地资源数据库。在重</w:t>
      </w:r>
      <w:r>
        <w:rPr>
          <w:rFonts w:hint="eastAsia" w:ascii="Times New Roman" w:hAnsi="Times New Roman" w:eastAsia="仿宋" w:cs="Times New Roman"/>
          <w:sz w:val="32"/>
          <w:szCs w:val="32"/>
        </w:rPr>
        <w:t>要</w:t>
      </w:r>
      <w:r>
        <w:rPr>
          <w:rFonts w:ascii="Times New Roman" w:hAnsi="Times New Roman" w:eastAsia="仿宋" w:cs="Times New Roman"/>
          <w:sz w:val="32"/>
          <w:szCs w:val="32"/>
        </w:rPr>
        <w:t>湿地布设水文、水质、生物多样性监测点位，定期开展湿地生态健康评估，实现湿地生态状况动态跟踪与风险预警</w:t>
      </w:r>
      <w:r>
        <w:rPr>
          <w:rFonts w:hint="eastAsia" w:ascii="Times New Roman" w:hAnsi="Times New Roman" w:eastAsia="仿宋" w:cs="Times New Roman"/>
          <w:sz w:val="32"/>
          <w:szCs w:val="32"/>
        </w:rPr>
        <w:t>。</w:t>
      </w:r>
    </w:p>
    <w:p w14:paraId="59D86F5C">
      <w:pPr>
        <w:spacing w:line="360" w:lineRule="auto"/>
        <w:ind w:firstLine="640" w:firstLineChars="200"/>
        <w:rPr>
          <w:rFonts w:ascii="Times New Roman" w:hAnsi="Times New Roman" w:eastAsia="仿宋" w:cs="Times New Roman"/>
          <w:sz w:val="32"/>
          <w:szCs w:val="32"/>
        </w:rPr>
      </w:pPr>
      <w:r>
        <w:rPr>
          <w:rFonts w:ascii="华文楷体" w:hAnsi="华文楷体" w:eastAsia="华文楷体" w:cs="华文楷体"/>
          <w:sz w:val="32"/>
          <w:szCs w:val="32"/>
        </w:rPr>
        <w:t>健全生物多样性监测评估机制</w:t>
      </w:r>
      <w:r>
        <w:rPr>
          <w:rFonts w:hint="eastAsia" w:ascii="Times New Roman" w:hAnsi="Times New Roman" w:eastAsia="仿宋" w:cs="Times New Roman"/>
          <w:sz w:val="32"/>
        </w:rPr>
        <w:t>。在</w:t>
      </w:r>
      <w:r>
        <w:rPr>
          <w:rFonts w:ascii="Times New Roman" w:hAnsi="Times New Roman" w:eastAsia="仿宋" w:cs="Times New Roman"/>
          <w:sz w:val="32"/>
          <w:szCs w:val="32"/>
        </w:rPr>
        <w:t>温榆河</w:t>
      </w:r>
      <w:r>
        <w:rPr>
          <w:rFonts w:hint="eastAsia" w:ascii="Times New Roman" w:hAnsi="Times New Roman" w:eastAsia="仿宋" w:cs="Times New Roman"/>
          <w:sz w:val="32"/>
          <w:szCs w:val="32"/>
        </w:rPr>
        <w:t>、</w:t>
      </w:r>
      <w:r>
        <w:rPr>
          <w:rFonts w:ascii="Times New Roman" w:hAnsi="Times New Roman" w:eastAsia="仿宋" w:cs="Times New Roman"/>
          <w:sz w:val="32"/>
          <w:szCs w:val="32"/>
        </w:rPr>
        <w:t>奥林匹克森林公园等重点区域开展昆虫、鱼类、两栖类、爬行类、鸟类等</w:t>
      </w:r>
      <w:r>
        <w:rPr>
          <w:rFonts w:hint="eastAsia" w:ascii="Times New Roman" w:hAnsi="Times New Roman" w:eastAsia="仿宋" w:cs="Times New Roman"/>
          <w:sz w:val="32"/>
          <w:szCs w:val="32"/>
        </w:rPr>
        <w:t>生物多样性监测，</w:t>
      </w:r>
      <w:r>
        <w:rPr>
          <w:rFonts w:ascii="Times New Roman" w:hAnsi="Times New Roman" w:eastAsia="仿宋" w:cs="Times New Roman"/>
          <w:sz w:val="32"/>
          <w:szCs w:val="32"/>
        </w:rPr>
        <w:t>建立生物多样性数据库，构建城市生物多样性监测网络，对生物多样性综合状况进行评估，对重点生态修复工程成效进行跟踪评估</w:t>
      </w:r>
      <w:r>
        <w:rPr>
          <w:rFonts w:hint="eastAsia" w:ascii="Times New Roman" w:hAnsi="Times New Roman" w:eastAsia="仿宋" w:cs="Times New Roman"/>
          <w:sz w:val="32"/>
          <w:szCs w:val="32"/>
        </w:rPr>
        <w:t>。</w:t>
      </w:r>
    </w:p>
    <w:p w14:paraId="5F34FD27">
      <w:pPr>
        <w:keepNext/>
        <w:keepLines/>
        <w:spacing w:before="260" w:after="260" w:line="416" w:lineRule="auto"/>
        <w:outlineLvl w:val="1"/>
        <w:rPr>
          <w:rFonts w:ascii="Times New Roman" w:hAnsi="Times New Roman" w:eastAsia="仿宋" w:cs="Times New Roman"/>
          <w:b/>
          <w:bCs/>
          <w:sz w:val="32"/>
          <w:szCs w:val="32"/>
        </w:rPr>
      </w:pPr>
      <w:bookmarkStart w:id="75" w:name="_Toc91078482"/>
      <w:bookmarkStart w:id="76" w:name="_Toc150720915"/>
      <w:bookmarkStart w:id="77" w:name="_Toc4072"/>
      <w:bookmarkStart w:id="78" w:name="_Toc240204675"/>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、湿地</w:t>
      </w:r>
      <w:bookmarkEnd w:id="75"/>
      <w:r>
        <w:rPr>
          <w:rFonts w:hint="eastAsia" w:ascii="Times New Roman" w:hAnsi="Times New Roman" w:eastAsia="仿宋" w:cs="Times New Roman"/>
          <w:b/>
          <w:bCs/>
          <w:sz w:val="32"/>
          <w:szCs w:val="32"/>
        </w:rPr>
        <w:t>修复</w:t>
      </w:r>
      <w:bookmarkEnd w:id="76"/>
      <w:bookmarkEnd w:id="77"/>
      <w:bookmarkEnd w:id="78"/>
    </w:p>
    <w:p w14:paraId="0EE0AE1E">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w:t>
      </w:r>
      <w:r>
        <w:rPr>
          <w:rFonts w:ascii="Times New Roman" w:hAnsi="Times New Roman" w:eastAsia="仿宋" w:cs="Times New Roman"/>
          <w:b/>
          <w:bCs/>
          <w:sz w:val="32"/>
          <w:szCs w:val="32"/>
        </w:rPr>
        <w:t>骨干水系湿地廊道系统修复</w:t>
      </w:r>
    </w:p>
    <w:p w14:paraId="5C846C6B">
      <w:pPr>
        <w:spacing w:line="360" w:lineRule="auto"/>
        <w:ind w:firstLine="640" w:firstLineChars="200"/>
        <w:rPr>
          <w:rFonts w:ascii="Times New Roman" w:hAnsi="Times New Roman" w:eastAsia="仿宋" w:cs="Times New Roman"/>
          <w:sz w:val="32"/>
        </w:rPr>
      </w:pPr>
      <w:r>
        <w:rPr>
          <w:rFonts w:hint="eastAsia" w:ascii="华文楷体" w:hAnsi="华文楷体" w:eastAsia="华文楷体" w:cs="华文楷体"/>
          <w:sz w:val="32"/>
          <w:szCs w:val="32"/>
        </w:rPr>
        <w:t>骨干水系湿地</w:t>
      </w:r>
      <w:r>
        <w:rPr>
          <w:rFonts w:ascii="华文楷体" w:hAnsi="华文楷体" w:eastAsia="华文楷体" w:cs="华文楷体"/>
          <w:sz w:val="32"/>
          <w:szCs w:val="32"/>
        </w:rPr>
        <w:t>廊道生态基底修复</w:t>
      </w:r>
      <w:r>
        <w:rPr>
          <w:rFonts w:hint="eastAsia" w:ascii="Times New Roman" w:hAnsi="Times New Roman" w:eastAsia="仿宋" w:cs="Times New Roman"/>
          <w:sz w:val="32"/>
        </w:rPr>
        <w:t>。</w:t>
      </w:r>
      <w:r>
        <w:rPr>
          <w:rFonts w:ascii="Times New Roman" w:hAnsi="Times New Roman" w:eastAsia="仿宋" w:cs="Times New Roman"/>
          <w:sz w:val="32"/>
        </w:rPr>
        <w:t>重点针对温榆河、清河、坝河</w:t>
      </w:r>
      <w:r>
        <w:rPr>
          <w:rFonts w:hint="eastAsia" w:ascii="Times New Roman" w:hAnsi="Times New Roman" w:eastAsia="仿宋" w:cs="Times New Roman"/>
          <w:sz w:val="32"/>
        </w:rPr>
        <w:t>、亮马河、</w:t>
      </w:r>
      <w:r>
        <w:rPr>
          <w:rFonts w:ascii="Times New Roman" w:hAnsi="Times New Roman" w:eastAsia="仿宋" w:cs="Times New Roman"/>
          <w:sz w:val="32"/>
        </w:rPr>
        <w:t>北小河、通惠河、萧太后河</w:t>
      </w:r>
      <w:r>
        <w:rPr>
          <w:rFonts w:hint="eastAsia" w:ascii="Times New Roman" w:hAnsi="Times New Roman" w:eastAsia="仿宋" w:cs="Times New Roman"/>
          <w:sz w:val="32"/>
        </w:rPr>
        <w:t>等</w:t>
      </w:r>
      <w:r>
        <w:rPr>
          <w:rFonts w:ascii="Times New Roman" w:hAnsi="Times New Roman" w:eastAsia="仿宋" w:cs="Times New Roman"/>
          <w:sz w:val="32"/>
        </w:rPr>
        <w:t>朝阳区骨干水系廊道破损、退化、碎片化生态基底实施修复，全面重塑湿地廊道自然生态本底，重塑河道自然蜿蜒形态、深浅错落断面及缓坡滩涂地貌，恢复连续完整的水陆交错生态带</w:t>
      </w:r>
      <w:r>
        <w:rPr>
          <w:rFonts w:hint="eastAsia" w:ascii="Times New Roman" w:hAnsi="Times New Roman" w:eastAsia="仿宋" w:cs="Times New Roman"/>
          <w:sz w:val="32"/>
        </w:rPr>
        <w:t>，</w:t>
      </w:r>
      <w:r>
        <w:rPr>
          <w:rFonts w:ascii="Times New Roman" w:hAnsi="Times New Roman" w:eastAsia="仿宋" w:cs="Times New Roman"/>
          <w:sz w:val="32"/>
        </w:rPr>
        <w:t>修复河湖湿地自然水文连通体系</w:t>
      </w:r>
      <w:r>
        <w:rPr>
          <w:rFonts w:hint="eastAsia" w:ascii="Times New Roman" w:hAnsi="Times New Roman" w:eastAsia="仿宋" w:cs="Times New Roman"/>
          <w:sz w:val="32"/>
        </w:rPr>
        <w:t>，</w:t>
      </w:r>
      <w:r>
        <w:rPr>
          <w:rFonts w:ascii="Times New Roman" w:hAnsi="Times New Roman" w:eastAsia="仿宋" w:cs="Times New Roman"/>
          <w:sz w:val="32"/>
        </w:rPr>
        <w:t>重构连续贯通的带状湿地空间格局。</w:t>
      </w:r>
    </w:p>
    <w:p w14:paraId="5F403590">
      <w:pPr>
        <w:spacing w:line="360" w:lineRule="auto"/>
        <w:ind w:firstLine="640" w:firstLineChars="200"/>
        <w:rPr>
          <w:rFonts w:ascii="Times New Roman" w:hAnsi="Times New Roman" w:eastAsia="仿宋" w:cs="Times New Roman"/>
          <w:sz w:val="32"/>
        </w:rPr>
      </w:pPr>
      <w:r>
        <w:rPr>
          <w:rFonts w:hint="eastAsia" w:ascii="华文楷体" w:hAnsi="华文楷体" w:eastAsia="华文楷体" w:cs="华文楷体"/>
          <w:sz w:val="32"/>
          <w:szCs w:val="32"/>
        </w:rPr>
        <w:t>骨干水系湿地</w:t>
      </w:r>
      <w:r>
        <w:rPr>
          <w:rFonts w:ascii="华文楷体" w:hAnsi="华文楷体" w:eastAsia="华文楷体" w:cs="华文楷体"/>
          <w:sz w:val="32"/>
          <w:szCs w:val="32"/>
        </w:rPr>
        <w:t>廊道生态</w:t>
      </w:r>
      <w:r>
        <w:rPr>
          <w:rFonts w:hint="eastAsia" w:ascii="华文楷体" w:hAnsi="华文楷体" w:eastAsia="华文楷体" w:cs="华文楷体"/>
          <w:sz w:val="32"/>
          <w:szCs w:val="32"/>
        </w:rPr>
        <w:t>功能提升</w:t>
      </w:r>
      <w:r>
        <w:rPr>
          <w:rFonts w:hint="eastAsia" w:ascii="Times New Roman" w:hAnsi="Times New Roman" w:eastAsia="仿宋" w:cs="Times New Roman"/>
          <w:sz w:val="32"/>
        </w:rPr>
        <w:t>。</w:t>
      </w:r>
      <w:r>
        <w:rPr>
          <w:rFonts w:ascii="Times New Roman" w:hAnsi="Times New Roman" w:eastAsia="仿宋" w:cs="Times New Roman"/>
          <w:sz w:val="32"/>
        </w:rPr>
        <w:t>立足各骨干水系廊道差异化功能定位，精准开展湿地生态功能提质修复，全面激活廊道水质净化、雨洪调蓄、生物栖息、生态维系核心功能。科学配置沉水、浮叶、挺水乡土水生湿生植被，构建多层级、稳定性强、净化效能高的复合型植被体系，提升生态稳定性。因地制宜修复优化湿地生境，营造浅滩、深潭、沼泽、滨水林地等多元栖息空间，恢复水鸟迁徙、水生生物繁衍的生态条件，提升廊道生物多样性维系功能，兼顾滨水生态景观与公共游憩功能，实现骨干水系湿地廊道生态功能</w:t>
      </w:r>
      <w:r>
        <w:rPr>
          <w:rFonts w:hint="eastAsia" w:ascii="Times New Roman" w:hAnsi="Times New Roman" w:eastAsia="仿宋" w:cs="Times New Roman"/>
          <w:sz w:val="32"/>
        </w:rPr>
        <w:t>提升</w:t>
      </w:r>
      <w:r>
        <w:rPr>
          <w:rFonts w:ascii="Times New Roman" w:hAnsi="Times New Roman" w:eastAsia="仿宋" w:cs="Times New Roman"/>
          <w:sz w:val="32"/>
        </w:rPr>
        <w:t>。</w:t>
      </w:r>
    </w:p>
    <w:p w14:paraId="3D53B658">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湿地岸线生态修复与硬质改造</w:t>
      </w:r>
    </w:p>
    <w:p w14:paraId="4F87306D">
      <w:pPr>
        <w:spacing w:line="360" w:lineRule="auto"/>
        <w:ind w:firstLine="640" w:firstLineChars="200"/>
        <w:rPr>
          <w:rFonts w:ascii="Times New Roman" w:hAnsi="Times New Roman" w:eastAsia="仿宋" w:cs="Times New Roman"/>
          <w:sz w:val="32"/>
        </w:rPr>
      </w:pPr>
      <w:r>
        <w:rPr>
          <w:rFonts w:ascii="华文楷体" w:hAnsi="华文楷体" w:eastAsia="华文楷体" w:cs="华文楷体"/>
          <w:sz w:val="32"/>
          <w:szCs w:val="32"/>
        </w:rPr>
        <w:t>开展硬质岸线生态化改造</w:t>
      </w:r>
      <w:r>
        <w:rPr>
          <w:rFonts w:hint="eastAsia" w:ascii="Times New Roman" w:hAnsi="Times New Roman" w:eastAsia="仿宋" w:cs="Times New Roman"/>
          <w:sz w:val="32"/>
        </w:rPr>
        <w:t>。</w:t>
      </w:r>
      <w:r>
        <w:rPr>
          <w:rFonts w:ascii="Times New Roman" w:hAnsi="Times New Roman" w:eastAsia="仿宋" w:cs="Times New Roman"/>
          <w:sz w:val="32"/>
        </w:rPr>
        <w:t>对现状刚性、直立、封闭式硬质岸线实施生态化与近自然改造，替换为生态缓坡、植被固坡、卵石滩涂、透水柔性护岸等生态化结构，恢复岸线透水、透气、滤水功能，打通水陆之间物质交换、能量流通与生物迁徙通道，解决传统渠化岸线阻隔生态连通的问题。</w:t>
      </w:r>
    </w:p>
    <w:p w14:paraId="10599300">
      <w:pPr>
        <w:spacing w:line="360" w:lineRule="auto"/>
        <w:ind w:firstLine="640" w:firstLineChars="200"/>
        <w:rPr>
          <w:rFonts w:ascii="Times New Roman" w:hAnsi="Times New Roman" w:eastAsia="仿宋" w:cs="Times New Roman"/>
          <w:sz w:val="32"/>
        </w:rPr>
      </w:pPr>
      <w:r>
        <w:rPr>
          <w:rFonts w:ascii="华文楷体" w:hAnsi="华文楷体" w:eastAsia="华文楷体" w:cs="华文楷体"/>
          <w:sz w:val="32"/>
          <w:szCs w:val="32"/>
        </w:rPr>
        <w:t>系统恢复水陆交错缓冲带</w:t>
      </w:r>
      <w:r>
        <w:rPr>
          <w:rFonts w:hint="eastAsia" w:ascii="Times New Roman" w:hAnsi="Times New Roman" w:eastAsia="仿宋" w:cs="Times New Roman"/>
          <w:sz w:val="32"/>
        </w:rPr>
        <w:t>。</w:t>
      </w:r>
      <w:r>
        <w:rPr>
          <w:rFonts w:ascii="Times New Roman" w:hAnsi="Times New Roman" w:eastAsia="仿宋" w:cs="Times New Roman"/>
          <w:sz w:val="32"/>
        </w:rPr>
        <w:t>依托岸线改造工程，全面修复湿地水陆交错生态缓冲带，在临水区域构建连续性滨水植被带、湿生草甸带与过渡性林带。构建“水体—浅滩—湿生植被—滨水绿地”梯度式水陆过渡体系，充分发挥岸线缓冲带截留面源污染、涵养水土、稳定水体、保育生境的生态功能。</w:t>
      </w:r>
    </w:p>
    <w:p w14:paraId="576932D4">
      <w:pPr>
        <w:spacing w:line="360" w:lineRule="auto"/>
        <w:ind w:firstLine="640" w:firstLineChars="200"/>
        <w:rPr>
          <w:rFonts w:ascii="Times New Roman" w:hAnsi="Times New Roman" w:eastAsia="仿宋" w:cs="Times New Roman"/>
          <w:sz w:val="32"/>
        </w:rPr>
      </w:pPr>
      <w:r>
        <w:rPr>
          <w:rFonts w:hint="eastAsia" w:ascii="华文楷体" w:hAnsi="华文楷体" w:eastAsia="华文楷体" w:cs="华文楷体"/>
          <w:sz w:val="32"/>
          <w:szCs w:val="32"/>
        </w:rPr>
        <w:t>重塑自然曲折岸线与柔性岸带</w:t>
      </w:r>
      <w:r>
        <w:rPr>
          <w:rFonts w:hint="eastAsia" w:ascii="Times New Roman" w:hAnsi="Times New Roman" w:eastAsia="仿宋" w:cs="Times New Roman"/>
          <w:sz w:val="32"/>
        </w:rPr>
        <w:t>。</w:t>
      </w:r>
      <w:r>
        <w:rPr>
          <w:rFonts w:ascii="Times New Roman" w:hAnsi="Times New Roman" w:eastAsia="仿宋" w:cs="Times New Roman"/>
          <w:sz w:val="32"/>
        </w:rPr>
        <w:t>针对人工裁弯取直、平直单调的渠化河段，适度修复河道自然蜿蜒形态，营造深浅交错、高低错落的岸线地貌。通过微地形改造，恢复浅滩、深潭、滩涂、临水洼地等多样化岸线空间，丰富湿地岸线地貌类型，为水生、湿生、鸟类生物提供差异化栖息生境，提升岸线生态多样性与自然风貌。</w:t>
      </w:r>
    </w:p>
    <w:p w14:paraId="79CFC1F5">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湿地植被群落系统性修复</w:t>
      </w:r>
    </w:p>
    <w:p w14:paraId="3250D721">
      <w:pPr>
        <w:spacing w:line="360" w:lineRule="auto"/>
        <w:ind w:firstLine="640" w:firstLineChars="200"/>
        <w:rPr>
          <w:rFonts w:ascii="Times New Roman" w:hAnsi="Times New Roman" w:eastAsia="仿宋" w:cs="Times New Roman"/>
          <w:sz w:val="32"/>
        </w:rPr>
      </w:pPr>
      <w:r>
        <w:rPr>
          <w:rFonts w:hint="eastAsia" w:ascii="华文楷体" w:hAnsi="华文楷体" w:eastAsia="华文楷体" w:cs="华文楷体"/>
          <w:sz w:val="32"/>
          <w:szCs w:val="32"/>
        </w:rPr>
        <w:t>构建乡土湿地植被体系</w:t>
      </w:r>
      <w:r>
        <w:rPr>
          <w:rFonts w:hint="eastAsia" w:ascii="Times New Roman" w:hAnsi="Times New Roman" w:eastAsia="仿宋" w:cs="Times New Roman"/>
          <w:sz w:val="32"/>
        </w:rPr>
        <w:t>。</w:t>
      </w:r>
      <w:r>
        <w:rPr>
          <w:rFonts w:ascii="Times New Roman" w:hAnsi="Times New Roman" w:eastAsia="仿宋" w:cs="Times New Roman"/>
          <w:sz w:val="32"/>
        </w:rPr>
        <w:t>坚持适地适生、本土优先原则，采用区域原生湿生、水生植物开展植被修复，构建稳定性强、抗逆性好、管护成本低的本土湿地植被群落，提升湿地生态系统自我维持能力</w:t>
      </w:r>
      <w:r>
        <w:rPr>
          <w:rFonts w:hint="eastAsia" w:ascii="Times New Roman" w:hAnsi="Times New Roman" w:eastAsia="仿宋" w:cs="Times New Roman"/>
          <w:sz w:val="32"/>
        </w:rPr>
        <w:t>。</w:t>
      </w:r>
    </w:p>
    <w:p w14:paraId="6259E208">
      <w:pPr>
        <w:spacing w:line="360" w:lineRule="auto"/>
        <w:ind w:firstLine="640" w:firstLineChars="200"/>
        <w:rPr>
          <w:rFonts w:ascii="Times New Roman" w:hAnsi="Times New Roman" w:eastAsia="仿宋" w:cs="Times New Roman"/>
          <w:sz w:val="32"/>
        </w:rPr>
      </w:pPr>
      <w:r>
        <w:rPr>
          <w:rFonts w:ascii="华文楷体" w:hAnsi="华文楷体" w:eastAsia="华文楷体" w:cs="华文楷体"/>
          <w:sz w:val="32"/>
          <w:szCs w:val="32"/>
        </w:rPr>
        <w:t>优化植被群落结构</w:t>
      </w:r>
      <w:r>
        <w:rPr>
          <w:rFonts w:hint="eastAsia" w:ascii="Times New Roman" w:hAnsi="Times New Roman" w:eastAsia="仿宋" w:cs="Times New Roman"/>
          <w:sz w:val="32"/>
        </w:rPr>
        <w:t>。</w:t>
      </w:r>
      <w:r>
        <w:rPr>
          <w:rFonts w:ascii="Times New Roman" w:hAnsi="Times New Roman" w:eastAsia="仿宋" w:cs="Times New Roman"/>
          <w:sz w:val="32"/>
        </w:rPr>
        <w:t>构建多层级、复合型湿地植被体系</w:t>
      </w:r>
      <w:r>
        <w:rPr>
          <w:rFonts w:hint="eastAsia" w:ascii="Times New Roman" w:hAnsi="Times New Roman" w:eastAsia="仿宋" w:cs="Times New Roman"/>
          <w:sz w:val="32"/>
        </w:rPr>
        <w:t>，</w:t>
      </w:r>
      <w:r>
        <w:rPr>
          <w:rFonts w:ascii="Times New Roman" w:hAnsi="Times New Roman" w:eastAsia="仿宋" w:cs="Times New Roman"/>
          <w:sz w:val="32"/>
        </w:rPr>
        <w:t>形成完整的湿地立体植被结构，提升群落多样性与生态稳定性</w:t>
      </w:r>
      <w:r>
        <w:rPr>
          <w:rFonts w:hint="eastAsia" w:ascii="Times New Roman" w:hAnsi="Times New Roman" w:eastAsia="仿宋" w:cs="Times New Roman"/>
          <w:sz w:val="32"/>
        </w:rPr>
        <w:t>，</w:t>
      </w:r>
      <w:r>
        <w:rPr>
          <w:rFonts w:ascii="Times New Roman" w:hAnsi="Times New Roman" w:eastAsia="仿宋" w:cs="Times New Roman"/>
          <w:sz w:val="32"/>
        </w:rPr>
        <w:t>通过多品种混植、梯度配置、自然留野，提升植被群落结构复杂度与生态韧性，增强湿地抵御病虫害、水质波动、极端天气的自我调节能力</w:t>
      </w:r>
      <w:r>
        <w:rPr>
          <w:rFonts w:hint="eastAsia" w:ascii="Times New Roman" w:hAnsi="Times New Roman" w:eastAsia="仿宋" w:cs="Times New Roman"/>
          <w:sz w:val="32"/>
        </w:rPr>
        <w:t>。</w:t>
      </w:r>
    </w:p>
    <w:p w14:paraId="2D412CF7">
      <w:pPr>
        <w:spacing w:line="360" w:lineRule="auto"/>
        <w:ind w:firstLine="640" w:firstLineChars="200"/>
        <w:rPr>
          <w:rFonts w:ascii="Times New Roman" w:hAnsi="Times New Roman" w:eastAsia="仿宋" w:cs="Times New Roman"/>
          <w:sz w:val="32"/>
        </w:rPr>
      </w:pPr>
      <w:r>
        <w:rPr>
          <w:rFonts w:ascii="华文楷体" w:hAnsi="华文楷体" w:eastAsia="华文楷体" w:cs="华文楷体"/>
          <w:sz w:val="32"/>
          <w:szCs w:val="32"/>
        </w:rPr>
        <w:t>强化湿地水质净化型植被配置</w:t>
      </w:r>
      <w:r>
        <w:rPr>
          <w:rFonts w:hint="eastAsia" w:ascii="Times New Roman" w:hAnsi="Times New Roman" w:eastAsia="仿宋" w:cs="Times New Roman"/>
          <w:sz w:val="32"/>
        </w:rPr>
        <w:t>。</w:t>
      </w:r>
      <w:r>
        <w:rPr>
          <w:rFonts w:ascii="Times New Roman" w:hAnsi="Times New Roman" w:eastAsia="仿宋" w:cs="Times New Roman"/>
          <w:sz w:val="32"/>
        </w:rPr>
        <w:t>在骨干水系沿线、支流入口、雨水汇流节点、小微净化湿地内集中布设高净化功能植被，强化对氮、磷、悬浮物的吸附降解能力，提升湿地原位水质净化功能。通过规模化净水植被配置，辅助削减城市面源污染，改善河道富营养化状态，巩固区域水环境治理成效</w:t>
      </w:r>
      <w:r>
        <w:rPr>
          <w:rFonts w:hint="eastAsia" w:ascii="Times New Roman" w:hAnsi="Times New Roman" w:eastAsia="仿宋" w:cs="Times New Roman"/>
          <w:sz w:val="32"/>
        </w:rPr>
        <w:t>。</w:t>
      </w:r>
    </w:p>
    <w:p w14:paraId="3866D453">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（四）</w:t>
      </w:r>
      <w:r>
        <w:rPr>
          <w:rFonts w:ascii="Times New Roman" w:hAnsi="Times New Roman" w:eastAsia="仿宋" w:cs="Times New Roman"/>
          <w:b/>
          <w:bCs/>
          <w:sz w:val="32"/>
          <w:szCs w:val="32"/>
        </w:rPr>
        <w:t>湿地生物栖息地修复与多样性提升</w:t>
      </w:r>
    </w:p>
    <w:p w14:paraId="5BEC50C3">
      <w:pPr>
        <w:spacing w:line="360" w:lineRule="auto"/>
        <w:ind w:firstLine="640" w:firstLineChars="200"/>
        <w:rPr>
          <w:rFonts w:ascii="Times New Roman" w:hAnsi="Times New Roman" w:eastAsia="仿宋" w:cs="Times New Roman"/>
          <w:sz w:val="32"/>
        </w:rPr>
      </w:pPr>
      <w:r>
        <w:rPr>
          <w:rFonts w:hint="eastAsia" w:ascii="华文楷体" w:hAnsi="华文楷体" w:eastAsia="华文楷体" w:cs="华文楷体"/>
          <w:sz w:val="32"/>
          <w:szCs w:val="32"/>
        </w:rPr>
        <w:t>系统修复湿地生物栖息环境</w:t>
      </w:r>
      <w:r>
        <w:rPr>
          <w:rFonts w:hint="eastAsia" w:ascii="Times New Roman" w:hAnsi="Times New Roman" w:eastAsia="仿宋" w:cs="Times New Roman"/>
          <w:sz w:val="32"/>
        </w:rPr>
        <w:t>。</w:t>
      </w:r>
      <w:r>
        <w:rPr>
          <w:rFonts w:ascii="Times New Roman" w:hAnsi="Times New Roman" w:eastAsia="仿宋" w:cs="Times New Roman"/>
          <w:sz w:val="32"/>
        </w:rPr>
        <w:t>依托河道及湿地微地形改造，营造浅滩、深潭、缓坡、沼泽、草甸、洼塘等复合型地貌形态，构建差异化、多样化的基础生境条件，满足鸟类、水生生物、两栖类、底栖生物不同生存栖息需求</w:t>
      </w:r>
      <w:r>
        <w:rPr>
          <w:rFonts w:hint="eastAsia" w:ascii="Times New Roman" w:hAnsi="Times New Roman" w:eastAsia="仿宋" w:cs="Times New Roman"/>
          <w:sz w:val="32"/>
        </w:rPr>
        <w:t>。</w:t>
      </w:r>
      <w:r>
        <w:rPr>
          <w:rFonts w:ascii="Times New Roman" w:hAnsi="Times New Roman" w:eastAsia="仿宋" w:cs="Times New Roman"/>
          <w:sz w:val="32"/>
        </w:rPr>
        <w:t>通过配置沉水植物、布设生态砾石、营造水下微地貌，构建鱼类栖息、避敌、产卵的水下生境，恢复水域生物群落结构，提升水生态系统完整性与稳定性。</w:t>
      </w:r>
    </w:p>
    <w:p w14:paraId="13E3362A">
      <w:pPr>
        <w:spacing w:line="360" w:lineRule="auto"/>
        <w:ind w:firstLine="640" w:firstLineChars="200"/>
        <w:rPr>
          <w:rFonts w:ascii="Times New Roman" w:hAnsi="Times New Roman" w:eastAsia="仿宋" w:cs="Times New Roman"/>
          <w:sz w:val="32"/>
        </w:rPr>
      </w:pPr>
      <w:r>
        <w:rPr>
          <w:rFonts w:ascii="华文楷体" w:hAnsi="华文楷体" w:eastAsia="华文楷体" w:cs="华文楷体"/>
          <w:sz w:val="32"/>
          <w:szCs w:val="32"/>
        </w:rPr>
        <w:t>打造多层次鸟类栖息保育空间</w:t>
      </w:r>
      <w:r>
        <w:rPr>
          <w:rFonts w:hint="eastAsia" w:ascii="Times New Roman" w:hAnsi="Times New Roman" w:eastAsia="仿宋" w:cs="Times New Roman"/>
          <w:sz w:val="32"/>
        </w:rPr>
        <w:t>。</w:t>
      </w:r>
      <w:r>
        <w:rPr>
          <w:rFonts w:ascii="Times New Roman" w:hAnsi="Times New Roman" w:eastAsia="仿宋" w:cs="Times New Roman"/>
          <w:sz w:val="32"/>
        </w:rPr>
        <w:t>结合全域湿地格局分区打造鸟类栖息体系，保留大面积近自然湿地、空旷滩涂与安静休憩区，设置生态无人区，保障迁徙水鸟停歇、觅食、繁育需求；适度营造孤岛、浅滩芦苇丛、滨水密林，构建高低搭配、动静分区的鸟类栖息环境，提升区域水鸟承载能力。</w:t>
      </w:r>
    </w:p>
    <w:p w14:paraId="0EA19D43">
      <w:pPr>
        <w:spacing w:line="360" w:lineRule="auto"/>
        <w:ind w:firstLine="640" w:firstLineChars="200"/>
        <w:rPr>
          <w:rFonts w:ascii="Times New Roman" w:hAnsi="Times New Roman" w:eastAsia="仿宋" w:cs="Times New Roman"/>
          <w:sz w:val="32"/>
        </w:rPr>
      </w:pPr>
      <w:r>
        <w:rPr>
          <w:rFonts w:ascii="华文楷体" w:hAnsi="华文楷体" w:eastAsia="华文楷体" w:cs="华文楷体"/>
          <w:sz w:val="32"/>
          <w:szCs w:val="32"/>
        </w:rPr>
        <w:t>实施生态留白与低扰动管控</w:t>
      </w:r>
      <w:r>
        <w:rPr>
          <w:rFonts w:hint="eastAsia" w:ascii="Times New Roman" w:hAnsi="Times New Roman" w:eastAsia="仿宋" w:cs="Times New Roman"/>
          <w:sz w:val="32"/>
        </w:rPr>
        <w:t>。</w:t>
      </w:r>
      <w:r>
        <w:rPr>
          <w:rFonts w:ascii="Times New Roman" w:hAnsi="Times New Roman" w:eastAsia="仿宋" w:cs="Times New Roman"/>
          <w:sz w:val="32"/>
        </w:rPr>
        <w:t>严格落实湿地生态留白机制，在重点湿地、候鸟集中栖息区保留原生自然野化空间，严控人工步道、景观设施、亮化工程过度侵入。划定低扰动保育区域，严控人流活动、经营性活动和工程扰动，最大限度减少人为干扰，保障野生生物自然生存、繁衍与迁徙过程不受破坏。</w:t>
      </w:r>
    </w:p>
    <w:p w14:paraId="706BDFA5">
      <w:pPr>
        <w:keepNext/>
        <w:keepLines/>
        <w:spacing w:before="260" w:after="260" w:line="416" w:lineRule="auto"/>
        <w:outlineLvl w:val="1"/>
        <w:rPr>
          <w:rFonts w:ascii="Times New Roman" w:hAnsi="Times New Roman" w:eastAsia="仿宋" w:cs="Times New Roman"/>
          <w:b/>
          <w:bCs/>
          <w:sz w:val="32"/>
          <w:szCs w:val="32"/>
        </w:rPr>
      </w:pPr>
      <w:bookmarkStart w:id="79" w:name="_Toc91078483"/>
      <w:bookmarkStart w:id="80" w:name="_Toc13692"/>
      <w:bookmarkStart w:id="81" w:name="_Toc240204676"/>
      <w:bookmarkStart w:id="82" w:name="_Toc150720916"/>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、小微湿地</w:t>
      </w:r>
      <w:r>
        <w:rPr>
          <w:rFonts w:hint="eastAsia" w:ascii="Times New Roman" w:hAnsi="Times New Roman" w:eastAsia="仿宋" w:cs="Times New Roman"/>
          <w:b/>
          <w:bCs/>
          <w:sz w:val="32"/>
          <w:szCs w:val="32"/>
        </w:rPr>
        <w:t>修复</w:t>
      </w:r>
      <w:bookmarkEnd w:id="79"/>
      <w:r>
        <w:rPr>
          <w:rFonts w:hint="eastAsia" w:ascii="Times New Roman" w:hAnsi="Times New Roman" w:eastAsia="仿宋" w:cs="Times New Roman"/>
          <w:b/>
          <w:bCs/>
          <w:sz w:val="32"/>
          <w:szCs w:val="32"/>
        </w:rPr>
        <w:t>与建设</w:t>
      </w:r>
      <w:bookmarkEnd w:id="80"/>
      <w:bookmarkEnd w:id="81"/>
      <w:bookmarkEnd w:id="82"/>
      <w:bookmarkStart w:id="83" w:name="_Hlk85986981"/>
    </w:p>
    <w:bookmarkEnd w:id="83"/>
    <w:p w14:paraId="756FC289">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（一）存量小微湿地提质修复</w:t>
      </w:r>
    </w:p>
    <w:p w14:paraId="5B86FCE0">
      <w:pPr>
        <w:spacing w:line="360" w:lineRule="auto"/>
        <w:ind w:firstLine="640" w:firstLineChars="200"/>
        <w:rPr>
          <w:rFonts w:ascii="Times New Roman" w:hAnsi="Times New Roman" w:eastAsia="仿宋" w:cs="Times New Roman"/>
          <w:sz w:val="32"/>
        </w:rPr>
      </w:pPr>
      <w:r>
        <w:rPr>
          <w:rFonts w:ascii="Times New Roman" w:hAnsi="Times New Roman" w:eastAsia="仿宋" w:cs="Times New Roman"/>
          <w:sz w:val="32"/>
        </w:rPr>
        <w:t>针对现状功能弱化、水体呆滞、淤积严重、植被杂乱的存量小微湿地，实施系统化提质修复。重点开展塘底清淤、水系疏通、地形整理、积水盘活，恢复小微湿地基础蓄水、滞水、净水空间。清理外来入侵植被与枯败植被，补植乡土水生、湿生植物，重构小型湿地植被群落，恢复小微湿地雨洪调蓄、原位净化、微型栖息基础生态功能。</w:t>
      </w:r>
    </w:p>
    <w:p w14:paraId="64A007FF">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新增布局小微湿地节点</w:t>
      </w:r>
    </w:p>
    <w:p w14:paraId="6A5FADAE">
      <w:pPr>
        <w:spacing w:line="360"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结合全区防汛</w:t>
      </w:r>
      <w:r>
        <w:rPr>
          <w:rFonts w:ascii="Times New Roman" w:hAnsi="Times New Roman" w:eastAsia="仿宋" w:cs="Times New Roman"/>
          <w:sz w:val="32"/>
        </w:rPr>
        <w:t>重点积滞水点位</w:t>
      </w:r>
      <w:r>
        <w:rPr>
          <w:rFonts w:hint="eastAsia" w:ascii="Times New Roman" w:hAnsi="Times New Roman" w:eastAsia="仿宋" w:cs="Times New Roman"/>
          <w:sz w:val="32"/>
        </w:rPr>
        <w:t>，全面梳理</w:t>
      </w:r>
      <w:r>
        <w:rPr>
          <w:rFonts w:ascii="Times New Roman" w:hAnsi="Times New Roman" w:eastAsia="仿宋" w:cs="Times New Roman"/>
          <w:sz w:val="32"/>
        </w:rPr>
        <w:t>社区绿地、街</w:t>
      </w:r>
      <w:r>
        <w:rPr>
          <w:rFonts w:hint="eastAsia" w:ascii="Times New Roman" w:hAnsi="Times New Roman" w:eastAsia="仿宋" w:cs="Times New Roman"/>
          <w:sz w:val="32"/>
        </w:rPr>
        <w:t>心</w:t>
      </w:r>
      <w:r>
        <w:rPr>
          <w:rFonts w:ascii="Times New Roman" w:hAnsi="Times New Roman" w:eastAsia="仿宋" w:cs="Times New Roman"/>
          <w:sz w:val="32"/>
        </w:rPr>
        <w:t>公园、道路低洼带、庭院坑塘、河道边角闲置地、沟渠滞水空间等小微湿地资源</w:t>
      </w:r>
      <w:r>
        <w:rPr>
          <w:rFonts w:hint="eastAsia" w:ascii="Times New Roman" w:hAnsi="Times New Roman" w:eastAsia="仿宋" w:cs="Times New Roman"/>
          <w:sz w:val="32"/>
        </w:rPr>
        <w:t>，</w:t>
      </w:r>
      <w:r>
        <w:rPr>
          <w:rFonts w:ascii="Times New Roman" w:hAnsi="Times New Roman" w:eastAsia="仿宋" w:cs="Times New Roman"/>
          <w:sz w:val="32"/>
        </w:rPr>
        <w:t>在城市更新片区、街角绿地、公园边角、道路绿带、校园绿地、</w:t>
      </w:r>
      <w:r>
        <w:rPr>
          <w:rFonts w:hint="eastAsia" w:ascii="Times New Roman" w:hAnsi="Times New Roman" w:eastAsia="仿宋" w:cs="Times New Roman"/>
          <w:sz w:val="32"/>
        </w:rPr>
        <w:t>生态林地、</w:t>
      </w:r>
      <w:r>
        <w:rPr>
          <w:rFonts w:ascii="Times New Roman" w:hAnsi="Times New Roman" w:eastAsia="仿宋" w:cs="Times New Roman"/>
          <w:sz w:val="32"/>
        </w:rPr>
        <w:t>街头闲置地块</w:t>
      </w:r>
      <w:r>
        <w:rPr>
          <w:rFonts w:hint="eastAsia" w:ascii="Times New Roman" w:hAnsi="Times New Roman" w:eastAsia="仿宋" w:cs="Times New Roman"/>
          <w:sz w:val="32"/>
        </w:rPr>
        <w:t>等地</w:t>
      </w:r>
      <w:r>
        <w:rPr>
          <w:rFonts w:ascii="Times New Roman" w:hAnsi="Times New Roman" w:eastAsia="仿宋" w:cs="Times New Roman"/>
          <w:sz w:val="32"/>
        </w:rPr>
        <w:t>规模化新增小微湿地</w:t>
      </w:r>
      <w:r>
        <w:rPr>
          <w:rFonts w:hint="eastAsia" w:ascii="Times New Roman" w:hAnsi="Times New Roman" w:eastAsia="仿宋" w:cs="Times New Roman"/>
          <w:sz w:val="32"/>
        </w:rPr>
        <w:t>，</w:t>
      </w:r>
      <w:r>
        <w:rPr>
          <w:rFonts w:ascii="Times New Roman" w:hAnsi="Times New Roman" w:eastAsia="仿宋" w:cs="Times New Roman"/>
          <w:sz w:val="32"/>
        </w:rPr>
        <w:t>布局雨水花园、生态塘、浅表流小微湿地、滞水湿地等微型湿地形态</w:t>
      </w:r>
      <w:r>
        <w:rPr>
          <w:rFonts w:hint="eastAsia" w:ascii="Times New Roman" w:hAnsi="Times New Roman" w:eastAsia="仿宋" w:cs="Times New Roman"/>
          <w:sz w:val="32"/>
        </w:rPr>
        <w:t>。</w:t>
      </w:r>
    </w:p>
    <w:p w14:paraId="7396E990">
      <w:pPr>
        <w:keepNext/>
        <w:keepLines/>
        <w:spacing w:before="260" w:after="260" w:line="416" w:lineRule="auto"/>
        <w:outlineLvl w:val="1"/>
        <w:rPr>
          <w:rFonts w:ascii="Times New Roman" w:hAnsi="Times New Roman" w:eastAsia="仿宋" w:cs="Times New Roman"/>
          <w:b/>
          <w:bCs/>
          <w:sz w:val="32"/>
          <w:szCs w:val="32"/>
        </w:rPr>
      </w:pPr>
      <w:bookmarkStart w:id="84" w:name="_Toc91078484"/>
      <w:bookmarkStart w:id="85" w:name="_Toc240204677"/>
      <w:bookmarkStart w:id="86" w:name="_Toc418"/>
      <w:bookmarkStart w:id="87" w:name="_Toc150720917"/>
      <w:r>
        <w:rPr>
          <w:rFonts w:hint="eastAsia" w:ascii="Times New Roman" w:hAnsi="Times New Roman" w:eastAsia="仿宋" w:cs="Times New Roman"/>
          <w:b/>
          <w:bCs/>
          <w:sz w:val="32"/>
          <w:szCs w:val="32"/>
        </w:rPr>
        <w:t>四</w:t>
      </w:r>
      <w:r>
        <w:rPr>
          <w:rFonts w:ascii="Times New Roman" w:hAnsi="Times New Roman" w:eastAsia="仿宋" w:cs="Times New Roman"/>
          <w:b/>
          <w:bCs/>
          <w:sz w:val="32"/>
          <w:szCs w:val="32"/>
        </w:rPr>
        <w:t>、湿地</w:t>
      </w:r>
      <w:bookmarkEnd w:id="84"/>
      <w:r>
        <w:rPr>
          <w:rFonts w:hint="eastAsia" w:ascii="Times New Roman" w:hAnsi="Times New Roman" w:eastAsia="仿宋" w:cs="Times New Roman"/>
          <w:b/>
          <w:bCs/>
          <w:sz w:val="32"/>
          <w:szCs w:val="32"/>
        </w:rPr>
        <w:t>可持续利用</w:t>
      </w:r>
      <w:bookmarkEnd w:id="85"/>
      <w:bookmarkEnd w:id="86"/>
      <w:bookmarkEnd w:id="87"/>
      <w:bookmarkStart w:id="88" w:name="_Hlk85999258"/>
    </w:p>
    <w:bookmarkEnd w:id="88"/>
    <w:p w14:paraId="7F8B3517">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（一）构建湿地科普宣教体系</w:t>
      </w:r>
    </w:p>
    <w:p w14:paraId="27CD5F9D">
      <w:pPr>
        <w:spacing w:line="360" w:lineRule="auto"/>
        <w:ind w:firstLine="640" w:firstLineChars="200"/>
        <w:rPr>
          <w:rFonts w:ascii="Times New Roman" w:hAnsi="Times New Roman" w:eastAsia="仿宋" w:cs="Times New Roman"/>
          <w:sz w:val="32"/>
          <w:szCs w:val="32"/>
        </w:rPr>
      </w:pPr>
      <w:r>
        <w:rPr>
          <w:rFonts w:hint="eastAsia" w:ascii="华文楷体" w:hAnsi="华文楷体" w:eastAsia="华文楷体" w:cs="华文楷体"/>
          <w:sz w:val="32"/>
          <w:szCs w:val="32"/>
        </w:rPr>
        <w:t>建设湿地科普宣教长效机制</w:t>
      </w:r>
      <w:r>
        <w:rPr>
          <w:rFonts w:hint="eastAsia" w:ascii="Times New Roman" w:hAnsi="Times New Roman" w:eastAsia="仿宋" w:cs="Times New Roman"/>
          <w:sz w:val="32"/>
          <w:szCs w:val="32"/>
        </w:rPr>
        <w:t>。</w:t>
      </w:r>
      <w:r>
        <w:rPr>
          <w:rFonts w:ascii="Times New Roman" w:hAnsi="Times New Roman" w:eastAsia="仿宋" w:cs="Times New Roman"/>
          <w:sz w:val="32"/>
          <w:szCs w:val="32"/>
        </w:rPr>
        <w:t>依托温榆河公园现有市级科普基地，建立湿地宣传长效机制，明确在每年2月2日</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世界湿地日</w:t>
      </w:r>
      <w:r>
        <w:rPr>
          <w:rFonts w:hint="eastAsia" w:ascii="Times New Roman" w:hAnsi="Times New Roman" w:eastAsia="仿宋" w:cs="Times New Roman"/>
          <w:sz w:val="32"/>
          <w:szCs w:val="32"/>
        </w:rPr>
        <w:t>”</w:t>
      </w:r>
      <w:r>
        <w:rPr>
          <w:rFonts w:ascii="Times New Roman" w:hAnsi="Times New Roman" w:eastAsia="仿宋" w:cs="Times New Roman"/>
          <w:sz w:val="32"/>
          <w:szCs w:val="32"/>
        </w:rPr>
        <w:t>和每年9月第三个星期日</w:t>
      </w:r>
      <w:r>
        <w:rPr>
          <w:rFonts w:hint="eastAsia" w:ascii="Times New Roman" w:hAnsi="Times New Roman" w:eastAsia="仿宋" w:cs="Times New Roman"/>
          <w:sz w:val="32"/>
          <w:szCs w:val="32"/>
        </w:rPr>
        <w:t>“</w:t>
      </w:r>
      <w:r>
        <w:rPr>
          <w:rFonts w:ascii="Times New Roman" w:hAnsi="Times New Roman" w:eastAsia="仿宋" w:cs="Times New Roman"/>
          <w:sz w:val="32"/>
          <w:szCs w:val="32"/>
        </w:rPr>
        <w:t>北京湿地日</w:t>
      </w:r>
      <w:r>
        <w:rPr>
          <w:rFonts w:hint="eastAsia" w:ascii="Times New Roman" w:hAnsi="Times New Roman" w:eastAsia="仿宋" w:cs="Times New Roman"/>
          <w:sz w:val="32"/>
          <w:szCs w:val="32"/>
        </w:rPr>
        <w:t>”</w:t>
      </w:r>
      <w:r>
        <w:rPr>
          <w:rFonts w:ascii="Times New Roman" w:hAnsi="Times New Roman" w:eastAsia="仿宋" w:cs="Times New Roman"/>
          <w:sz w:val="32"/>
          <w:szCs w:val="32"/>
        </w:rPr>
        <w:t>固定开展主题宣传活动，集中开展湿地生态科普、政策宣讲、观鸟实践、湿地修复体验等特色活动</w:t>
      </w:r>
      <w:r>
        <w:rPr>
          <w:rFonts w:hint="eastAsia" w:ascii="Times New Roman" w:hAnsi="Times New Roman" w:eastAsia="仿宋" w:cs="Times New Roman"/>
          <w:sz w:val="32"/>
          <w:szCs w:val="32"/>
        </w:rPr>
        <w:t>。</w:t>
      </w:r>
    </w:p>
    <w:p w14:paraId="56DCC20A">
      <w:pPr>
        <w:spacing w:line="360" w:lineRule="auto"/>
        <w:ind w:firstLine="640" w:firstLineChars="200"/>
        <w:rPr>
          <w:rFonts w:ascii="Times New Roman" w:hAnsi="Times New Roman" w:eastAsia="仿宋" w:cs="Times New Roman"/>
          <w:sz w:val="32"/>
          <w:szCs w:val="32"/>
        </w:rPr>
      </w:pPr>
      <w:r>
        <w:rPr>
          <w:rFonts w:hint="eastAsia" w:ascii="华文楷体" w:hAnsi="华文楷体" w:eastAsia="华文楷体" w:cs="华文楷体"/>
          <w:sz w:val="32"/>
          <w:szCs w:val="32"/>
        </w:rPr>
        <w:t>提升湿地科普宣教水平</w:t>
      </w:r>
      <w:r>
        <w:rPr>
          <w:rFonts w:hint="eastAsia" w:ascii="Times New Roman" w:hAnsi="Times New Roman" w:eastAsia="仿宋" w:cs="Times New Roman"/>
          <w:sz w:val="32"/>
          <w:szCs w:val="32"/>
        </w:rPr>
        <w:t>。</w:t>
      </w:r>
      <w:r>
        <w:rPr>
          <w:rFonts w:ascii="Times New Roman" w:hAnsi="Times New Roman" w:eastAsia="仿宋" w:cs="Times New Roman"/>
          <w:sz w:val="32"/>
          <w:szCs w:val="32"/>
        </w:rPr>
        <w:t>系统化布设生态科普设施，重点建设湿地科普解说牌、生物多样性展示栏、水系生态科普步道、观鸟科普平台、湿地知识宣传长廊等基础载体。结合不同湿地特色差异化配置科普内容，郊野湿地侧重原生生态、候鸟保护、湿地水文科普，城市湿地侧重海绵城市、面源治理、城市生态修复科普，丰富科普场景、</w:t>
      </w:r>
      <w:r>
        <w:rPr>
          <w:rFonts w:hint="eastAsia" w:ascii="Times New Roman" w:hAnsi="Times New Roman" w:eastAsia="仿宋" w:cs="Times New Roman"/>
          <w:sz w:val="32"/>
          <w:szCs w:val="32"/>
        </w:rPr>
        <w:t>培养专业的湿地科普宣教人才、</w:t>
      </w:r>
      <w:r>
        <w:rPr>
          <w:rFonts w:ascii="Times New Roman" w:hAnsi="Times New Roman" w:eastAsia="仿宋" w:cs="Times New Roman"/>
          <w:sz w:val="32"/>
          <w:szCs w:val="32"/>
        </w:rPr>
        <w:t>提升宣教专业性与针对性。</w:t>
      </w:r>
    </w:p>
    <w:p w14:paraId="6E0CDF15">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打造特色湿地文化科普品牌</w:t>
      </w:r>
    </w:p>
    <w:p w14:paraId="7ED72694">
      <w:pPr>
        <w:spacing w:line="360" w:lineRule="auto"/>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结合通惠河运河文化、萧太后河水系历史文化，推动湿地生态科普与地域水文化深度融合，打造朝阳特色湿地科普文化IP。依托重点湿地示范节点，开展生态文化主题活动，展示湿地修复成果、水系治理成效与地域水文化底蕴，实现湿地生态价值、文化价值、科普价值协同转化。</w:t>
      </w:r>
    </w:p>
    <w:p w14:paraId="1EF00902">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搭建多元化公众参与湿地保护平台</w:t>
      </w:r>
    </w:p>
    <w:p w14:paraId="79965456">
      <w:pPr>
        <w:spacing w:line="360" w:lineRule="auto"/>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畅通公众湿地保护参与渠道，搭建政府主导、社会参与、全民共治的湿地保护体系。鼓励社区居民、志愿者团队、社会组织、学校、企业参与湿地巡查、生态养护、垃圾清理、物种观测、科普宣传等公益服务</w:t>
      </w:r>
      <w:r>
        <w:rPr>
          <w:rFonts w:hint="eastAsia" w:ascii="Times New Roman" w:hAnsi="Times New Roman" w:eastAsia="仿宋" w:cs="Times New Roman"/>
          <w:sz w:val="32"/>
          <w:szCs w:val="32"/>
        </w:rPr>
        <w:t>。</w:t>
      </w:r>
      <w:r>
        <w:rPr>
          <w:rFonts w:ascii="Times New Roman" w:hAnsi="Times New Roman" w:eastAsia="仿宋" w:cs="Times New Roman"/>
          <w:sz w:val="32"/>
          <w:szCs w:val="32"/>
        </w:rPr>
        <w:t>组建区级湿地生态志愿服务队伍，常态化开展湿地志愿巡护、植被抚育、生境守护、文明游园引导等工作。推行湿地生态全民监督与意见反馈机制</w:t>
      </w:r>
      <w:r>
        <w:rPr>
          <w:rFonts w:hint="eastAsia" w:ascii="Times New Roman" w:hAnsi="Times New Roman" w:eastAsia="仿宋" w:cs="Times New Roman"/>
          <w:sz w:val="32"/>
          <w:szCs w:val="32"/>
        </w:rPr>
        <w:t>。</w:t>
      </w:r>
    </w:p>
    <w:p w14:paraId="172E5371">
      <w:pPr>
        <w:keepNext/>
        <w:keepLines/>
        <w:spacing w:before="260" w:after="260" w:line="416" w:lineRule="auto"/>
        <w:outlineLvl w:val="1"/>
        <w:rPr>
          <w:rFonts w:ascii="Times New Roman" w:hAnsi="Times New Roman" w:eastAsia="仿宋" w:cs="Times New Roman"/>
          <w:b/>
          <w:bCs/>
          <w:sz w:val="32"/>
          <w:szCs w:val="32"/>
        </w:rPr>
      </w:pPr>
      <w:bookmarkStart w:id="89" w:name="_Toc91078485"/>
      <w:bookmarkStart w:id="90" w:name="_Toc7604"/>
      <w:bookmarkStart w:id="91" w:name="_Toc150720918"/>
      <w:bookmarkStart w:id="92" w:name="_Toc240204678"/>
      <w:r>
        <w:rPr>
          <w:rFonts w:hint="eastAsia" w:ascii="Times New Roman" w:hAnsi="Times New Roman" w:eastAsia="仿宋" w:cs="Times New Roman"/>
          <w:b/>
          <w:bCs/>
          <w:sz w:val="32"/>
          <w:szCs w:val="32"/>
        </w:rPr>
        <w:t>五</w:t>
      </w:r>
      <w:r>
        <w:rPr>
          <w:rFonts w:ascii="Times New Roman" w:hAnsi="Times New Roman" w:eastAsia="仿宋" w:cs="Times New Roman"/>
          <w:b/>
          <w:bCs/>
          <w:sz w:val="32"/>
          <w:szCs w:val="32"/>
        </w:rPr>
        <w:t>、</w:t>
      </w:r>
      <w:bookmarkEnd w:id="89"/>
      <w:r>
        <w:rPr>
          <w:rFonts w:hint="eastAsia" w:ascii="Times New Roman" w:hAnsi="Times New Roman" w:eastAsia="仿宋" w:cs="Times New Roman"/>
          <w:b/>
          <w:bCs/>
          <w:sz w:val="32"/>
          <w:szCs w:val="32"/>
        </w:rPr>
        <w:t>管理能力建设</w:t>
      </w:r>
      <w:bookmarkEnd w:id="90"/>
      <w:bookmarkEnd w:id="91"/>
      <w:bookmarkEnd w:id="92"/>
      <w:bookmarkStart w:id="93" w:name="_Hlk85999282"/>
    </w:p>
    <w:bookmarkEnd w:id="93"/>
    <w:p w14:paraId="6743D49D">
      <w:pPr>
        <w:keepNext/>
        <w:keepLines/>
        <w:spacing w:before="260" w:after="260" w:line="416" w:lineRule="auto"/>
        <w:ind w:firstLine="643" w:firstLineChars="200"/>
        <w:outlineLvl w:val="2"/>
        <w:rPr>
          <w:rFonts w:ascii="Times New Roman" w:hAnsi="Times New Roman" w:eastAsia="仿宋" w:cs="Times New Roman"/>
          <w:bCs/>
          <w:sz w:val="32"/>
          <w:szCs w:val="32"/>
        </w:rPr>
      </w:pPr>
      <w:bookmarkStart w:id="94" w:name="_Toc149802259"/>
      <w:bookmarkStart w:id="95" w:name="_Hlk85999292"/>
      <w:r>
        <w:rPr>
          <w:rFonts w:ascii="Times New Roman" w:hAnsi="Times New Roman" w:eastAsia="仿宋" w:cs="Times New Roman"/>
          <w:b/>
          <w:bCs/>
          <w:sz w:val="32"/>
          <w:szCs w:val="32"/>
        </w:rPr>
        <w:t>（一）</w:t>
      </w:r>
      <w:r>
        <w:rPr>
          <w:rFonts w:hint="eastAsia" w:ascii="Times New Roman" w:hAnsi="Times New Roman" w:eastAsia="仿宋" w:cs="Times New Roman"/>
          <w:b/>
          <w:bCs/>
          <w:sz w:val="32"/>
          <w:szCs w:val="32"/>
        </w:rPr>
        <w:t>强化</w:t>
      </w:r>
      <w:r>
        <w:rPr>
          <w:rFonts w:ascii="Times New Roman" w:hAnsi="Times New Roman" w:eastAsia="仿宋" w:cs="Times New Roman"/>
          <w:b/>
          <w:bCs/>
          <w:sz w:val="32"/>
          <w:szCs w:val="32"/>
        </w:rPr>
        <w:t>湿地</w:t>
      </w:r>
      <w:r>
        <w:rPr>
          <w:rFonts w:hint="eastAsia" w:ascii="Times New Roman" w:hAnsi="Times New Roman" w:eastAsia="仿宋" w:cs="Times New Roman"/>
          <w:b/>
          <w:bCs/>
          <w:sz w:val="32"/>
          <w:szCs w:val="32"/>
        </w:rPr>
        <w:t>巡护管护能力</w:t>
      </w:r>
      <w:bookmarkEnd w:id="94"/>
    </w:p>
    <w:bookmarkEnd w:id="95"/>
    <w:p w14:paraId="30407E93">
      <w:pPr>
        <w:spacing w:line="360" w:lineRule="auto"/>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组建专业化湿地管护队伍，常态化开展湿地修复技术、植被养护、病虫害防治、野生动植物保护、</w:t>
      </w:r>
      <w:r>
        <w:rPr>
          <w:rFonts w:hint="eastAsia" w:ascii="Times New Roman" w:hAnsi="Times New Roman" w:eastAsia="仿宋" w:cs="Times New Roman"/>
          <w:sz w:val="32"/>
          <w:szCs w:val="32"/>
        </w:rPr>
        <w:t>巡护</w:t>
      </w:r>
      <w:r>
        <w:rPr>
          <w:rFonts w:ascii="Times New Roman" w:hAnsi="Times New Roman" w:eastAsia="仿宋" w:cs="Times New Roman"/>
          <w:sz w:val="32"/>
          <w:szCs w:val="32"/>
        </w:rPr>
        <w:t>规范、应急处置等专项培训。吸纳技术人员、基层管护人员、社会组织力量参与湿地运维，提升基层湿地管护、监测、修复、治理综合能力，打造专业化、规范化、复合型湿地管理队伍。</w:t>
      </w:r>
    </w:p>
    <w:p w14:paraId="3544AAB0">
      <w:pPr>
        <w:keepNext/>
        <w:keepLines/>
        <w:spacing w:before="260" w:after="260" w:line="416" w:lineRule="auto"/>
        <w:ind w:firstLine="643" w:firstLineChars="200"/>
        <w:outlineLvl w:val="2"/>
        <w:rPr>
          <w:rFonts w:ascii="Times New Roman" w:hAnsi="Times New Roman" w:eastAsia="仿宋" w:cs="Times New Roman"/>
          <w:b/>
          <w:bCs/>
          <w:sz w:val="32"/>
          <w:szCs w:val="32"/>
        </w:rPr>
      </w:pP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）构建湿地智慧监测预警体系</w:t>
      </w:r>
    </w:p>
    <w:p w14:paraId="26550140">
      <w:pPr>
        <w:spacing w:line="360" w:lineRule="auto"/>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依托数字化、智能化手段搭建全域湿地动态监测网络，在骨干廊道及重点湿地公园布设水质、水文、植被、生物多样性、人为活动监测点位。运用遥感巡查、视频监控、地面巡护相结合的方式，实现湿地生态状况实时监测、异常问题自动预警、退化趋势提前预判，提升湿地管理科学化、智能化水平。</w:t>
      </w:r>
    </w:p>
    <w:p w14:paraId="08D66A06">
      <w:pPr>
        <w:pStyle w:val="2"/>
        <w:ind w:firstLine="464"/>
        <w:rPr>
          <w:rFonts w:hint="eastAsia"/>
        </w:rPr>
        <w:sectPr>
          <w:pgSz w:w="11906" w:h="16838"/>
          <w:pgMar w:top="1440" w:right="1800" w:bottom="1440" w:left="1800" w:header="851" w:footer="992" w:gutter="0"/>
          <w:cols w:space="425" w:num="1"/>
          <w:docGrid w:type="lines" w:linePitch="312" w:charSpace="0"/>
        </w:sectPr>
      </w:pPr>
    </w:p>
    <w:p w14:paraId="2D87A087">
      <w:pPr>
        <w:keepNext/>
        <w:keepLines/>
        <w:spacing w:before="340" w:after="330" w:line="578" w:lineRule="auto"/>
        <w:jc w:val="center"/>
        <w:outlineLvl w:val="0"/>
        <w:rPr>
          <w:rFonts w:ascii="Times New Roman" w:hAnsi="Times New Roman" w:eastAsia="仿宋" w:cs="Times New Roman"/>
          <w:b/>
          <w:bCs/>
          <w:kern w:val="44"/>
          <w:sz w:val="36"/>
          <w:szCs w:val="36"/>
        </w:rPr>
      </w:pPr>
      <w:bookmarkStart w:id="96" w:name="_Toc150720919"/>
      <w:bookmarkStart w:id="97" w:name="_Toc240204679"/>
      <w:bookmarkStart w:id="98" w:name="_Toc91078486"/>
      <w:bookmarkStart w:id="99" w:name="_Toc19170"/>
      <w:r>
        <w:rPr>
          <w:rFonts w:ascii="Times New Roman" w:hAnsi="Times New Roman" w:eastAsia="仿宋" w:cs="Times New Roman"/>
          <w:b/>
          <w:bCs/>
          <w:kern w:val="44"/>
          <w:sz w:val="36"/>
          <w:szCs w:val="36"/>
        </w:rPr>
        <w:t>第</w:t>
      </w:r>
      <w:r>
        <w:rPr>
          <w:rFonts w:hint="eastAsia" w:ascii="Times New Roman" w:hAnsi="Times New Roman" w:eastAsia="仿宋" w:cs="Times New Roman"/>
          <w:b/>
          <w:bCs/>
          <w:kern w:val="44"/>
          <w:sz w:val="36"/>
          <w:szCs w:val="36"/>
        </w:rPr>
        <w:t>六</w:t>
      </w:r>
      <w:r>
        <w:rPr>
          <w:rFonts w:ascii="Times New Roman" w:hAnsi="Times New Roman" w:eastAsia="仿宋" w:cs="Times New Roman"/>
          <w:b/>
          <w:bCs/>
          <w:kern w:val="44"/>
          <w:sz w:val="36"/>
          <w:szCs w:val="36"/>
        </w:rPr>
        <w:t>章 重点项目</w:t>
      </w:r>
      <w:bookmarkEnd w:id="96"/>
      <w:bookmarkEnd w:id="97"/>
      <w:bookmarkEnd w:id="98"/>
      <w:bookmarkEnd w:id="99"/>
      <w:bookmarkStart w:id="100" w:name="_Hlk85999305"/>
    </w:p>
    <w:p w14:paraId="35C26750">
      <w:pPr>
        <w:spacing w:line="360" w:lineRule="auto"/>
        <w:ind w:firstLine="640" w:firstLineChars="200"/>
        <w:rPr>
          <w:rFonts w:ascii="Times New Roman" w:hAnsi="Times New Roman" w:eastAsia="仿宋" w:cs="Times New Roman"/>
          <w:sz w:val="32"/>
          <w:szCs w:val="32"/>
        </w:rPr>
      </w:pPr>
      <w:bookmarkStart w:id="101" w:name="_Hlk85999323"/>
      <w:r>
        <w:rPr>
          <w:rFonts w:hint="eastAsia" w:ascii="Times New Roman" w:hAnsi="Times New Roman" w:eastAsia="仿宋" w:cs="Times New Roman"/>
          <w:sz w:val="32"/>
          <w:szCs w:val="32"/>
        </w:rPr>
        <w:t>湿地保护修复重点项目共规划10项，其中湿地恢复项目6项、小微湿地修复项目2项、湿地监测与科普宣教能力提升项目2项</w:t>
      </w:r>
      <w:bookmarkEnd w:id="101"/>
      <w:r>
        <w:rPr>
          <w:rFonts w:hint="eastAsia" w:ascii="Times New Roman" w:hAnsi="Times New Roman" w:eastAsia="仿宋" w:cs="Times New Roman"/>
          <w:sz w:val="32"/>
          <w:szCs w:val="32"/>
        </w:rPr>
        <w:t>（表</w:t>
      </w:r>
      <w:r>
        <w:rPr>
          <w:rFonts w:ascii="Times New Roman" w:hAnsi="Times New Roman" w:eastAsia="仿宋" w:cs="Times New Roman"/>
          <w:sz w:val="32"/>
          <w:szCs w:val="32"/>
        </w:rPr>
        <w:t>6-1</w:t>
      </w:r>
      <w:r>
        <w:rPr>
          <w:rFonts w:hint="eastAsia" w:ascii="Times New Roman" w:hAnsi="Times New Roman" w:eastAsia="仿宋" w:cs="Times New Roman"/>
          <w:sz w:val="32"/>
          <w:szCs w:val="32"/>
        </w:rPr>
        <w:t>）。</w:t>
      </w:r>
    </w:p>
    <w:p w14:paraId="570AD3BC">
      <w:pPr>
        <w:spacing w:before="156" w:beforeLines="50" w:line="360" w:lineRule="auto"/>
        <w:ind w:firstLine="560" w:firstLineChars="200"/>
        <w:jc w:val="center"/>
        <w:rPr>
          <w:rFonts w:ascii="Times New Roman" w:hAnsi="Times New Roman" w:eastAsia="仿宋" w:cs="Times New Roman"/>
          <w:sz w:val="28"/>
          <w:szCs w:val="28"/>
        </w:rPr>
      </w:pPr>
      <w:r>
        <w:rPr>
          <w:rFonts w:hint="eastAsia" w:ascii="Times New Roman" w:hAnsi="Times New Roman" w:eastAsia="仿宋" w:cs="Times New Roman"/>
          <w:sz w:val="28"/>
          <w:szCs w:val="28"/>
        </w:rPr>
        <w:t>表</w:t>
      </w:r>
      <w:r>
        <w:rPr>
          <w:rFonts w:ascii="Times New Roman" w:hAnsi="Times New Roman" w:eastAsia="仿宋" w:cs="Times New Roman"/>
          <w:sz w:val="28"/>
          <w:szCs w:val="28"/>
        </w:rPr>
        <w:t xml:space="preserve">6-1 </w:t>
      </w:r>
      <w:r>
        <w:rPr>
          <w:rFonts w:hint="eastAsia" w:ascii="Times New Roman" w:hAnsi="Times New Roman" w:eastAsia="仿宋" w:cs="Times New Roman"/>
          <w:sz w:val="28"/>
          <w:szCs w:val="28"/>
        </w:rPr>
        <w:t>重点项目汇总表</w:t>
      </w:r>
    </w:p>
    <w:tbl>
      <w:tblPr>
        <w:tblStyle w:val="26"/>
        <w:tblW w:w="8908" w:type="dxa"/>
        <w:jc w:val="center"/>
        <w:tblLayout w:type="fixed"/>
        <w:tblCellMar>
          <w:top w:w="85" w:type="dxa"/>
          <w:left w:w="108" w:type="dxa"/>
          <w:bottom w:w="85" w:type="dxa"/>
          <w:right w:w="108" w:type="dxa"/>
        </w:tblCellMar>
      </w:tblPr>
      <w:tblGrid>
        <w:gridCol w:w="697"/>
        <w:gridCol w:w="1369"/>
        <w:gridCol w:w="2215"/>
        <w:gridCol w:w="1425"/>
        <w:gridCol w:w="1500"/>
        <w:gridCol w:w="1702"/>
      </w:tblGrid>
      <w:tr w14:paraId="2E509091">
        <w:tblPrEx>
          <w:tblCellMar>
            <w:top w:w="85" w:type="dxa"/>
            <w:left w:w="108" w:type="dxa"/>
            <w:bottom w:w="85" w:type="dxa"/>
            <w:right w:w="108" w:type="dxa"/>
          </w:tblCellMar>
        </w:tblPrEx>
        <w:trPr>
          <w:trHeight w:val="367" w:hRule="atLeast"/>
          <w:tblHeader/>
          <w:jc w:val="center"/>
        </w:trPr>
        <w:tc>
          <w:tcPr>
            <w:tcW w:w="697" w:type="dxa"/>
            <w:tcBorders>
              <w:top w:val="single" w:color="auto" w:sz="4" w:space="0"/>
              <w:left w:val="single" w:color="auto" w:sz="4" w:space="0"/>
              <w:bottom w:val="single" w:color="auto" w:sz="4" w:space="0"/>
              <w:right w:val="single" w:color="auto" w:sz="4" w:space="0"/>
            </w:tcBorders>
            <w:vAlign w:val="center"/>
          </w:tcPr>
          <w:p w14:paraId="7FF3E6C1">
            <w:pPr>
              <w:widowControl/>
              <w:adjustRightInd w:val="0"/>
              <w:snapToGrid w:val="0"/>
              <w:jc w:val="center"/>
              <w:rPr>
                <w:rFonts w:ascii="Times New Roman" w:hAnsi="Times New Roman" w:eastAsia="仿宋" w:cs="Times New Roman"/>
                <w:b/>
                <w:kern w:val="0"/>
                <w:sz w:val="24"/>
                <w:szCs w:val="24"/>
              </w:rPr>
            </w:pPr>
            <w:r>
              <w:rPr>
                <w:rFonts w:hint="eastAsia" w:ascii="Times New Roman" w:hAnsi="Times New Roman" w:eastAsia="仿宋" w:cs="Times New Roman"/>
                <w:b/>
                <w:kern w:val="0"/>
                <w:sz w:val="24"/>
                <w:szCs w:val="24"/>
              </w:rPr>
              <w:t>序号</w:t>
            </w:r>
          </w:p>
        </w:tc>
        <w:tc>
          <w:tcPr>
            <w:tcW w:w="1369" w:type="dxa"/>
            <w:tcBorders>
              <w:top w:val="single" w:color="auto" w:sz="4" w:space="0"/>
              <w:left w:val="single" w:color="auto" w:sz="4" w:space="0"/>
              <w:bottom w:val="single" w:color="auto" w:sz="4" w:space="0"/>
              <w:right w:val="single" w:color="auto" w:sz="4" w:space="0"/>
            </w:tcBorders>
            <w:vAlign w:val="center"/>
          </w:tcPr>
          <w:p w14:paraId="4AE87D63">
            <w:pPr>
              <w:widowControl/>
              <w:adjustRightInd w:val="0"/>
              <w:snapToGrid w:val="0"/>
              <w:jc w:val="center"/>
              <w:rPr>
                <w:rFonts w:ascii="Times New Roman" w:hAnsi="Times New Roman" w:eastAsia="仿宋" w:cs="Times New Roman"/>
                <w:b/>
                <w:kern w:val="0"/>
                <w:sz w:val="24"/>
                <w:szCs w:val="24"/>
              </w:rPr>
            </w:pPr>
            <w:r>
              <w:rPr>
                <w:rFonts w:hint="eastAsia" w:ascii="Times New Roman" w:hAnsi="Times New Roman" w:eastAsia="仿宋" w:cs="Times New Roman"/>
                <w:b/>
                <w:kern w:val="0"/>
                <w:sz w:val="24"/>
                <w:szCs w:val="24"/>
              </w:rPr>
              <w:t>分类</w:t>
            </w:r>
          </w:p>
        </w:tc>
        <w:tc>
          <w:tcPr>
            <w:tcW w:w="2215" w:type="dxa"/>
            <w:tcBorders>
              <w:top w:val="single" w:color="auto" w:sz="4" w:space="0"/>
              <w:left w:val="single" w:color="auto" w:sz="4" w:space="0"/>
              <w:bottom w:val="single" w:color="auto" w:sz="4" w:space="0"/>
              <w:right w:val="single" w:color="auto" w:sz="4" w:space="0"/>
            </w:tcBorders>
            <w:vAlign w:val="center"/>
          </w:tcPr>
          <w:p w14:paraId="541F21CB">
            <w:pPr>
              <w:widowControl/>
              <w:adjustRightInd w:val="0"/>
              <w:snapToGrid w:val="0"/>
              <w:jc w:val="center"/>
              <w:rPr>
                <w:rFonts w:ascii="Times New Roman" w:hAnsi="Times New Roman" w:eastAsia="仿宋" w:cs="Times New Roman"/>
                <w:b/>
                <w:kern w:val="0"/>
                <w:sz w:val="24"/>
                <w:szCs w:val="24"/>
              </w:rPr>
            </w:pPr>
            <w:r>
              <w:rPr>
                <w:rFonts w:hint="eastAsia" w:ascii="Times New Roman" w:hAnsi="Times New Roman" w:eastAsia="仿宋" w:cs="Times New Roman"/>
                <w:b/>
                <w:kern w:val="0"/>
                <w:sz w:val="24"/>
                <w:szCs w:val="24"/>
              </w:rPr>
              <w:t>项目名称</w:t>
            </w:r>
          </w:p>
        </w:tc>
        <w:tc>
          <w:tcPr>
            <w:tcW w:w="1425" w:type="dxa"/>
            <w:tcBorders>
              <w:top w:val="single" w:color="auto" w:sz="4" w:space="0"/>
              <w:left w:val="nil"/>
              <w:bottom w:val="single" w:color="auto" w:sz="4" w:space="0"/>
              <w:right w:val="single" w:color="auto" w:sz="4" w:space="0"/>
            </w:tcBorders>
          </w:tcPr>
          <w:p w14:paraId="496058FD">
            <w:pPr>
              <w:widowControl/>
              <w:adjustRightInd w:val="0"/>
              <w:snapToGrid w:val="0"/>
              <w:jc w:val="center"/>
              <w:rPr>
                <w:rFonts w:ascii="Times New Roman" w:hAnsi="Times New Roman" w:eastAsia="仿宋" w:cs="Times New Roman"/>
                <w:b/>
                <w:kern w:val="0"/>
                <w:sz w:val="24"/>
                <w:szCs w:val="24"/>
              </w:rPr>
            </w:pPr>
            <w:r>
              <w:rPr>
                <w:rFonts w:hint="eastAsia" w:ascii="Times New Roman" w:hAnsi="Times New Roman" w:eastAsia="仿宋" w:cs="Times New Roman"/>
                <w:b/>
                <w:kern w:val="0"/>
                <w:sz w:val="24"/>
                <w:szCs w:val="24"/>
              </w:rPr>
              <w:t>所属</w:t>
            </w:r>
          </w:p>
          <w:p w14:paraId="1042BF80">
            <w:pPr>
              <w:widowControl/>
              <w:adjustRightInd w:val="0"/>
              <w:snapToGrid w:val="0"/>
              <w:jc w:val="center"/>
              <w:rPr>
                <w:rFonts w:ascii="Times New Roman" w:hAnsi="Times New Roman" w:eastAsia="仿宋" w:cs="Times New Roman"/>
                <w:b/>
                <w:kern w:val="0"/>
                <w:sz w:val="24"/>
                <w:szCs w:val="24"/>
              </w:rPr>
            </w:pPr>
            <w:r>
              <w:rPr>
                <w:rFonts w:hint="eastAsia" w:ascii="Times New Roman" w:hAnsi="Times New Roman" w:eastAsia="仿宋" w:cs="Times New Roman"/>
                <w:b/>
                <w:kern w:val="0"/>
                <w:sz w:val="24"/>
                <w:szCs w:val="24"/>
              </w:rPr>
              <w:t>乡镇</w:t>
            </w:r>
          </w:p>
        </w:tc>
        <w:tc>
          <w:tcPr>
            <w:tcW w:w="1500" w:type="dxa"/>
            <w:tcBorders>
              <w:top w:val="single" w:color="auto" w:sz="4" w:space="0"/>
              <w:left w:val="single" w:color="auto" w:sz="4" w:space="0"/>
              <w:bottom w:val="single" w:color="auto" w:sz="4" w:space="0"/>
              <w:right w:val="single" w:color="auto" w:sz="4" w:space="0"/>
            </w:tcBorders>
            <w:vAlign w:val="center"/>
          </w:tcPr>
          <w:p w14:paraId="6BB93FF4">
            <w:pPr>
              <w:widowControl/>
              <w:adjustRightInd w:val="0"/>
              <w:snapToGrid w:val="0"/>
              <w:jc w:val="center"/>
              <w:rPr>
                <w:rFonts w:ascii="Times New Roman" w:hAnsi="Times New Roman" w:eastAsia="仿宋" w:cs="Times New Roman"/>
                <w:b/>
                <w:kern w:val="0"/>
                <w:sz w:val="24"/>
                <w:szCs w:val="24"/>
              </w:rPr>
            </w:pPr>
            <w:r>
              <w:rPr>
                <w:rFonts w:hint="eastAsia" w:ascii="Times New Roman" w:hAnsi="Times New Roman" w:eastAsia="仿宋" w:cs="Times New Roman"/>
                <w:b/>
                <w:kern w:val="0"/>
                <w:sz w:val="24"/>
                <w:szCs w:val="24"/>
              </w:rPr>
              <w:t>规划期限</w:t>
            </w:r>
          </w:p>
        </w:tc>
        <w:tc>
          <w:tcPr>
            <w:tcW w:w="1702" w:type="dxa"/>
            <w:tcBorders>
              <w:top w:val="single" w:color="auto" w:sz="4" w:space="0"/>
              <w:left w:val="single" w:color="auto" w:sz="4" w:space="0"/>
              <w:bottom w:val="single" w:color="auto" w:sz="4" w:space="0"/>
              <w:right w:val="single" w:color="auto" w:sz="4" w:space="0"/>
            </w:tcBorders>
            <w:vAlign w:val="center"/>
          </w:tcPr>
          <w:p w14:paraId="3CD76528">
            <w:pPr>
              <w:widowControl/>
              <w:adjustRightInd w:val="0"/>
              <w:snapToGrid w:val="0"/>
              <w:jc w:val="center"/>
              <w:rPr>
                <w:rFonts w:ascii="Times New Roman" w:hAnsi="Times New Roman" w:eastAsia="仿宋" w:cs="Times New Roman"/>
                <w:b/>
                <w:kern w:val="0"/>
                <w:sz w:val="24"/>
                <w:szCs w:val="24"/>
              </w:rPr>
            </w:pPr>
            <w:r>
              <w:rPr>
                <w:rFonts w:hint="eastAsia" w:ascii="Times New Roman" w:hAnsi="Times New Roman" w:eastAsia="仿宋" w:cs="Times New Roman"/>
                <w:b/>
                <w:kern w:val="0"/>
                <w:sz w:val="24"/>
                <w:szCs w:val="24"/>
              </w:rPr>
              <w:t>实施单位</w:t>
            </w:r>
          </w:p>
        </w:tc>
      </w:tr>
      <w:tr w14:paraId="68767DC3">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63C6C6C4">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restart"/>
            <w:tcBorders>
              <w:top w:val="single" w:color="auto" w:sz="4" w:space="0"/>
              <w:left w:val="single" w:color="auto" w:sz="4" w:space="0"/>
              <w:right w:val="single" w:color="auto" w:sz="4" w:space="0"/>
            </w:tcBorders>
            <w:vAlign w:val="center"/>
          </w:tcPr>
          <w:p w14:paraId="5BC440F7">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湿地恢复项目</w:t>
            </w:r>
          </w:p>
          <w:p w14:paraId="12FD35ED">
            <w:pPr>
              <w:adjustRightInd w:val="0"/>
              <w:snapToGrid w:val="0"/>
              <w:jc w:val="center"/>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170A71AF">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河流湿地恢复项目</w:t>
            </w:r>
          </w:p>
        </w:tc>
        <w:tc>
          <w:tcPr>
            <w:tcW w:w="1425" w:type="dxa"/>
            <w:tcBorders>
              <w:top w:val="single" w:color="auto" w:sz="4" w:space="0"/>
              <w:left w:val="single" w:color="auto" w:sz="4" w:space="0"/>
              <w:bottom w:val="single" w:color="auto" w:sz="4" w:space="0"/>
              <w:right w:val="single" w:color="auto" w:sz="4" w:space="0"/>
            </w:tcBorders>
            <w:vAlign w:val="center"/>
          </w:tcPr>
          <w:p w14:paraId="06B7FCFA">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全区</w:t>
            </w:r>
          </w:p>
        </w:tc>
        <w:tc>
          <w:tcPr>
            <w:tcW w:w="1500" w:type="dxa"/>
            <w:tcBorders>
              <w:top w:val="single" w:color="auto" w:sz="4" w:space="0"/>
              <w:left w:val="single" w:color="auto" w:sz="4" w:space="0"/>
              <w:bottom w:val="single" w:color="auto" w:sz="4" w:space="0"/>
              <w:right w:val="single" w:color="auto" w:sz="4" w:space="0"/>
            </w:tcBorders>
            <w:vAlign w:val="center"/>
          </w:tcPr>
          <w:p w14:paraId="5B70B159">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r>
              <w:rPr>
                <w:rFonts w:ascii="Times New Roman" w:hAnsi="Times New Roman" w:eastAsia="仿宋" w:cs="Times New Roman"/>
                <w:kern w:val="0"/>
                <w:sz w:val="24"/>
                <w:szCs w:val="24"/>
              </w:rPr>
              <w:t>+</w:t>
            </w:r>
            <w:r>
              <w:rPr>
                <w:rFonts w:hint="eastAsia" w:ascii="Times New Roman" w:hAnsi="Times New Roman" w:eastAsia="仿宋" w:cs="Times New Roman"/>
                <w:kern w:val="0"/>
                <w:sz w:val="24"/>
                <w:szCs w:val="24"/>
              </w:rPr>
              <w:t>远期</w:t>
            </w:r>
          </w:p>
        </w:tc>
        <w:tc>
          <w:tcPr>
            <w:tcW w:w="1702" w:type="dxa"/>
            <w:tcBorders>
              <w:top w:val="single" w:color="auto" w:sz="4" w:space="0"/>
              <w:left w:val="single" w:color="auto" w:sz="4" w:space="0"/>
              <w:bottom w:val="single" w:color="auto" w:sz="4" w:space="0"/>
              <w:right w:val="single" w:color="auto" w:sz="4" w:space="0"/>
            </w:tcBorders>
            <w:vAlign w:val="center"/>
          </w:tcPr>
          <w:p w14:paraId="0D509BD2">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水务局</w:t>
            </w:r>
          </w:p>
        </w:tc>
      </w:tr>
      <w:tr w14:paraId="7BFDC068">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24C37DB4">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continue"/>
            <w:tcBorders>
              <w:left w:val="single" w:color="auto" w:sz="4" w:space="0"/>
              <w:right w:val="single" w:color="auto" w:sz="4" w:space="0"/>
            </w:tcBorders>
            <w:vAlign w:val="center"/>
          </w:tcPr>
          <w:p w14:paraId="7ABA3063">
            <w:pPr>
              <w:widowControl/>
              <w:jc w:val="left"/>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53DF498A">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温榆河公园（朝阳段）生物多样性保育项目</w:t>
            </w:r>
          </w:p>
        </w:tc>
        <w:tc>
          <w:tcPr>
            <w:tcW w:w="1425" w:type="dxa"/>
            <w:tcBorders>
              <w:top w:val="single" w:color="auto" w:sz="4" w:space="0"/>
              <w:left w:val="single" w:color="auto" w:sz="4" w:space="0"/>
              <w:bottom w:val="single" w:color="auto" w:sz="4" w:space="0"/>
              <w:right w:val="single" w:color="auto" w:sz="4" w:space="0"/>
            </w:tcBorders>
            <w:vAlign w:val="center"/>
          </w:tcPr>
          <w:p w14:paraId="38150B79">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孙河区</w:t>
            </w:r>
          </w:p>
        </w:tc>
        <w:tc>
          <w:tcPr>
            <w:tcW w:w="1500" w:type="dxa"/>
            <w:tcBorders>
              <w:top w:val="single" w:color="auto" w:sz="4" w:space="0"/>
              <w:left w:val="single" w:color="auto" w:sz="4" w:space="0"/>
              <w:bottom w:val="single" w:color="auto" w:sz="4" w:space="0"/>
              <w:right w:val="single" w:color="auto" w:sz="4" w:space="0"/>
            </w:tcBorders>
            <w:vAlign w:val="center"/>
          </w:tcPr>
          <w:p w14:paraId="1A6600B8">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p>
        </w:tc>
        <w:tc>
          <w:tcPr>
            <w:tcW w:w="1702" w:type="dxa"/>
            <w:tcBorders>
              <w:top w:val="single" w:color="auto" w:sz="4" w:space="0"/>
              <w:left w:val="single" w:color="auto" w:sz="4" w:space="0"/>
              <w:bottom w:val="single" w:color="auto" w:sz="4" w:space="0"/>
              <w:right w:val="single" w:color="auto" w:sz="4" w:space="0"/>
            </w:tcBorders>
            <w:vAlign w:val="center"/>
          </w:tcPr>
          <w:p w14:paraId="56364B90">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北京温榆河公园建设管理有限公司</w:t>
            </w:r>
          </w:p>
        </w:tc>
      </w:tr>
      <w:tr w14:paraId="43D146C0">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50CB419A">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continue"/>
            <w:tcBorders>
              <w:left w:val="single" w:color="auto" w:sz="4" w:space="0"/>
              <w:right w:val="single" w:color="auto" w:sz="4" w:space="0"/>
            </w:tcBorders>
            <w:vAlign w:val="center"/>
          </w:tcPr>
          <w:p w14:paraId="20A09979">
            <w:pPr>
              <w:widowControl/>
              <w:jc w:val="left"/>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4C2C7958">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坝河口蓄滞洪区生态湿地</w:t>
            </w:r>
            <w:r>
              <w:rPr>
                <w:rFonts w:hint="eastAsia" w:ascii="Times New Roman" w:hAnsi="Times New Roman" w:eastAsia="仿宋" w:cs="Times New Roman"/>
                <w:kern w:val="0"/>
                <w:sz w:val="24"/>
                <w:szCs w:val="24"/>
              </w:rPr>
              <w:t>质量提升</w:t>
            </w:r>
            <w:r>
              <w:rPr>
                <w:rFonts w:ascii="Times New Roman" w:hAnsi="Times New Roman" w:eastAsia="仿宋" w:cs="Times New Roman"/>
                <w:kern w:val="0"/>
                <w:sz w:val="24"/>
                <w:szCs w:val="24"/>
              </w:rPr>
              <w:t>项目</w:t>
            </w:r>
          </w:p>
        </w:tc>
        <w:tc>
          <w:tcPr>
            <w:tcW w:w="1425" w:type="dxa"/>
            <w:tcBorders>
              <w:top w:val="single" w:color="auto" w:sz="4" w:space="0"/>
              <w:left w:val="single" w:color="auto" w:sz="4" w:space="0"/>
              <w:bottom w:val="single" w:color="auto" w:sz="4" w:space="0"/>
              <w:right w:val="single" w:color="auto" w:sz="4" w:space="0"/>
            </w:tcBorders>
            <w:vAlign w:val="center"/>
          </w:tcPr>
          <w:p w14:paraId="6137FC42">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东坝乡、金盏乡</w:t>
            </w:r>
          </w:p>
        </w:tc>
        <w:tc>
          <w:tcPr>
            <w:tcW w:w="1500" w:type="dxa"/>
            <w:tcBorders>
              <w:top w:val="single" w:color="auto" w:sz="4" w:space="0"/>
              <w:left w:val="single" w:color="auto" w:sz="4" w:space="0"/>
              <w:bottom w:val="single" w:color="auto" w:sz="4" w:space="0"/>
              <w:right w:val="single" w:color="auto" w:sz="4" w:space="0"/>
            </w:tcBorders>
            <w:vAlign w:val="center"/>
          </w:tcPr>
          <w:p w14:paraId="3BD56145">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p>
        </w:tc>
        <w:tc>
          <w:tcPr>
            <w:tcW w:w="1702" w:type="dxa"/>
            <w:tcBorders>
              <w:top w:val="single" w:color="auto" w:sz="4" w:space="0"/>
              <w:left w:val="single" w:color="auto" w:sz="4" w:space="0"/>
              <w:bottom w:val="single" w:color="auto" w:sz="4" w:space="0"/>
              <w:right w:val="single" w:color="auto" w:sz="4" w:space="0"/>
            </w:tcBorders>
            <w:vAlign w:val="center"/>
          </w:tcPr>
          <w:p w14:paraId="0401601F">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水务局、</w:t>
            </w:r>
            <w:r>
              <w:rPr>
                <w:rFonts w:ascii="Times New Roman" w:hAnsi="Times New Roman" w:eastAsia="仿宋" w:cs="Times New Roman"/>
                <w:kern w:val="0"/>
                <w:sz w:val="24"/>
                <w:szCs w:val="24"/>
              </w:rPr>
              <w:t>东坝乡</w:t>
            </w:r>
            <w:r>
              <w:rPr>
                <w:rFonts w:hint="eastAsia" w:ascii="Times New Roman" w:hAnsi="Times New Roman" w:eastAsia="仿宋" w:cs="Times New Roman"/>
                <w:kern w:val="0"/>
                <w:sz w:val="24"/>
                <w:szCs w:val="24"/>
              </w:rPr>
              <w:t>政府</w:t>
            </w:r>
            <w:r>
              <w:rPr>
                <w:rFonts w:ascii="Times New Roman" w:hAnsi="Times New Roman" w:eastAsia="仿宋" w:cs="Times New Roman"/>
                <w:kern w:val="0"/>
                <w:sz w:val="24"/>
                <w:szCs w:val="24"/>
              </w:rPr>
              <w:t>、金盏乡</w:t>
            </w:r>
            <w:r>
              <w:rPr>
                <w:rFonts w:hint="eastAsia" w:ascii="Times New Roman" w:hAnsi="Times New Roman" w:eastAsia="仿宋" w:cs="Times New Roman"/>
                <w:kern w:val="0"/>
                <w:sz w:val="24"/>
                <w:szCs w:val="24"/>
              </w:rPr>
              <w:t>政府</w:t>
            </w:r>
          </w:p>
        </w:tc>
      </w:tr>
      <w:tr w14:paraId="728F7887">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4E940426">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continue"/>
            <w:tcBorders>
              <w:left w:val="single" w:color="auto" w:sz="4" w:space="0"/>
              <w:right w:val="single" w:color="auto" w:sz="4" w:space="0"/>
            </w:tcBorders>
            <w:vAlign w:val="center"/>
          </w:tcPr>
          <w:p w14:paraId="1F6FFBD3">
            <w:pPr>
              <w:widowControl/>
              <w:jc w:val="left"/>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261C9536">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南部核心湿地群建设项目</w:t>
            </w:r>
          </w:p>
        </w:tc>
        <w:tc>
          <w:tcPr>
            <w:tcW w:w="1425" w:type="dxa"/>
            <w:tcBorders>
              <w:top w:val="single" w:color="auto" w:sz="4" w:space="0"/>
              <w:left w:val="single" w:color="auto" w:sz="4" w:space="0"/>
              <w:bottom w:val="single" w:color="auto" w:sz="4" w:space="0"/>
              <w:right w:val="single" w:color="auto" w:sz="4" w:space="0"/>
            </w:tcBorders>
            <w:vAlign w:val="center"/>
          </w:tcPr>
          <w:p w14:paraId="3194FE01">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王四营、豆各庄、黑庄户</w:t>
            </w:r>
          </w:p>
        </w:tc>
        <w:tc>
          <w:tcPr>
            <w:tcW w:w="1500" w:type="dxa"/>
            <w:tcBorders>
              <w:top w:val="single" w:color="auto" w:sz="4" w:space="0"/>
              <w:left w:val="single" w:color="auto" w:sz="4" w:space="0"/>
              <w:bottom w:val="single" w:color="auto" w:sz="4" w:space="0"/>
              <w:right w:val="single" w:color="auto" w:sz="4" w:space="0"/>
            </w:tcBorders>
            <w:vAlign w:val="center"/>
          </w:tcPr>
          <w:p w14:paraId="3BE1277B">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近期+远期</w:t>
            </w:r>
          </w:p>
        </w:tc>
        <w:tc>
          <w:tcPr>
            <w:tcW w:w="1702" w:type="dxa"/>
            <w:tcBorders>
              <w:top w:val="single" w:color="auto" w:sz="4" w:space="0"/>
              <w:left w:val="single" w:color="auto" w:sz="4" w:space="0"/>
              <w:bottom w:val="single" w:color="auto" w:sz="4" w:space="0"/>
              <w:right w:val="single" w:color="auto" w:sz="4" w:space="0"/>
            </w:tcBorders>
            <w:vAlign w:val="center"/>
          </w:tcPr>
          <w:p w14:paraId="47B47F96">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园林绿化局</w:t>
            </w:r>
          </w:p>
        </w:tc>
      </w:tr>
      <w:tr w14:paraId="0ECF86F7">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050FC77C">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continue"/>
            <w:tcBorders>
              <w:left w:val="single" w:color="auto" w:sz="4" w:space="0"/>
              <w:right w:val="single" w:color="auto" w:sz="4" w:space="0"/>
            </w:tcBorders>
            <w:vAlign w:val="center"/>
          </w:tcPr>
          <w:p w14:paraId="49649E03">
            <w:pPr>
              <w:widowControl/>
              <w:jc w:val="left"/>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340EBB3F">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北京国际人才公园湿地建设项目</w:t>
            </w:r>
          </w:p>
        </w:tc>
        <w:tc>
          <w:tcPr>
            <w:tcW w:w="1425" w:type="dxa"/>
            <w:tcBorders>
              <w:top w:val="single" w:color="auto" w:sz="4" w:space="0"/>
              <w:left w:val="single" w:color="auto" w:sz="4" w:space="0"/>
              <w:bottom w:val="single" w:color="auto" w:sz="4" w:space="0"/>
              <w:right w:val="single" w:color="auto" w:sz="4" w:space="0"/>
            </w:tcBorders>
            <w:vAlign w:val="center"/>
          </w:tcPr>
          <w:p w14:paraId="343237C7">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崔各庄乡</w:t>
            </w:r>
          </w:p>
        </w:tc>
        <w:tc>
          <w:tcPr>
            <w:tcW w:w="1500" w:type="dxa"/>
            <w:tcBorders>
              <w:top w:val="single" w:color="auto" w:sz="4" w:space="0"/>
              <w:left w:val="single" w:color="auto" w:sz="4" w:space="0"/>
              <w:bottom w:val="single" w:color="auto" w:sz="4" w:space="0"/>
              <w:right w:val="single" w:color="auto" w:sz="4" w:space="0"/>
            </w:tcBorders>
            <w:vAlign w:val="center"/>
          </w:tcPr>
          <w:p w14:paraId="0592A99C">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p>
        </w:tc>
        <w:tc>
          <w:tcPr>
            <w:tcW w:w="1702" w:type="dxa"/>
            <w:tcBorders>
              <w:top w:val="single" w:color="auto" w:sz="4" w:space="0"/>
              <w:left w:val="single" w:color="auto" w:sz="4" w:space="0"/>
              <w:bottom w:val="single" w:color="auto" w:sz="4" w:space="0"/>
              <w:right w:val="single" w:color="auto" w:sz="4" w:space="0"/>
            </w:tcBorders>
            <w:vAlign w:val="center"/>
          </w:tcPr>
          <w:p w14:paraId="668170C1">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园林绿化局</w:t>
            </w:r>
          </w:p>
        </w:tc>
      </w:tr>
      <w:tr w14:paraId="33417BF8">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4A7965F5">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continue"/>
            <w:tcBorders>
              <w:left w:val="single" w:color="auto" w:sz="4" w:space="0"/>
              <w:bottom w:val="nil"/>
              <w:right w:val="single" w:color="auto" w:sz="4" w:space="0"/>
            </w:tcBorders>
            <w:vAlign w:val="center"/>
          </w:tcPr>
          <w:p w14:paraId="2E4932A2">
            <w:pPr>
              <w:widowControl/>
              <w:jc w:val="left"/>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49284765">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东坝郊野公园归羽湿地建设项目</w:t>
            </w:r>
          </w:p>
        </w:tc>
        <w:tc>
          <w:tcPr>
            <w:tcW w:w="1425" w:type="dxa"/>
            <w:tcBorders>
              <w:top w:val="single" w:color="auto" w:sz="4" w:space="0"/>
              <w:left w:val="single" w:color="auto" w:sz="4" w:space="0"/>
              <w:bottom w:val="single" w:color="auto" w:sz="4" w:space="0"/>
              <w:right w:val="single" w:color="auto" w:sz="4" w:space="0"/>
            </w:tcBorders>
            <w:vAlign w:val="center"/>
          </w:tcPr>
          <w:p w14:paraId="2947BFAA">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东坝乡</w:t>
            </w:r>
          </w:p>
        </w:tc>
        <w:tc>
          <w:tcPr>
            <w:tcW w:w="1500" w:type="dxa"/>
            <w:tcBorders>
              <w:top w:val="single" w:color="auto" w:sz="4" w:space="0"/>
              <w:left w:val="single" w:color="auto" w:sz="4" w:space="0"/>
              <w:bottom w:val="single" w:color="auto" w:sz="4" w:space="0"/>
              <w:right w:val="single" w:color="auto" w:sz="4" w:space="0"/>
            </w:tcBorders>
            <w:vAlign w:val="center"/>
          </w:tcPr>
          <w:p w14:paraId="4090ABA8">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p>
        </w:tc>
        <w:tc>
          <w:tcPr>
            <w:tcW w:w="1702" w:type="dxa"/>
            <w:tcBorders>
              <w:top w:val="single" w:color="auto" w:sz="4" w:space="0"/>
              <w:left w:val="single" w:color="auto" w:sz="4" w:space="0"/>
              <w:bottom w:val="single" w:color="auto" w:sz="4" w:space="0"/>
              <w:right w:val="single" w:color="auto" w:sz="4" w:space="0"/>
            </w:tcBorders>
            <w:vAlign w:val="center"/>
          </w:tcPr>
          <w:p w14:paraId="09163024">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东坝乡</w:t>
            </w:r>
            <w:r>
              <w:rPr>
                <w:rFonts w:hint="eastAsia" w:ascii="Times New Roman" w:hAnsi="Times New Roman" w:eastAsia="仿宋" w:cs="Times New Roman"/>
                <w:kern w:val="0"/>
                <w:sz w:val="24"/>
                <w:szCs w:val="24"/>
              </w:rPr>
              <w:t>政府</w:t>
            </w:r>
          </w:p>
        </w:tc>
      </w:tr>
      <w:tr w14:paraId="6C46EA99">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723D96FB">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restart"/>
            <w:tcBorders>
              <w:top w:val="single" w:color="auto" w:sz="4" w:space="0"/>
              <w:left w:val="single" w:color="auto" w:sz="4" w:space="0"/>
              <w:right w:val="single" w:color="auto" w:sz="4" w:space="0"/>
            </w:tcBorders>
            <w:vAlign w:val="center"/>
          </w:tcPr>
          <w:p w14:paraId="3FD61CBC">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小微湿地修复项目</w:t>
            </w:r>
          </w:p>
        </w:tc>
        <w:tc>
          <w:tcPr>
            <w:tcW w:w="2215" w:type="dxa"/>
            <w:tcBorders>
              <w:top w:val="single" w:color="auto" w:sz="4" w:space="0"/>
              <w:left w:val="single" w:color="auto" w:sz="4" w:space="0"/>
              <w:bottom w:val="single" w:color="auto" w:sz="4" w:space="0"/>
              <w:right w:val="single" w:color="auto" w:sz="4" w:space="0"/>
            </w:tcBorders>
            <w:vAlign w:val="center"/>
          </w:tcPr>
          <w:p w14:paraId="14193463">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垡头街道雨水调蓄公园小微湿地</w:t>
            </w:r>
          </w:p>
        </w:tc>
        <w:tc>
          <w:tcPr>
            <w:tcW w:w="1425" w:type="dxa"/>
            <w:tcBorders>
              <w:top w:val="single" w:color="auto" w:sz="4" w:space="0"/>
              <w:left w:val="single" w:color="auto" w:sz="4" w:space="0"/>
              <w:bottom w:val="single" w:color="auto" w:sz="4" w:space="0"/>
              <w:right w:val="single" w:color="auto" w:sz="4" w:space="0"/>
            </w:tcBorders>
            <w:vAlign w:val="center"/>
          </w:tcPr>
          <w:p w14:paraId="25FB7682">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垡头街道</w:t>
            </w:r>
          </w:p>
        </w:tc>
        <w:tc>
          <w:tcPr>
            <w:tcW w:w="1500" w:type="dxa"/>
            <w:tcBorders>
              <w:top w:val="single" w:color="auto" w:sz="4" w:space="0"/>
              <w:left w:val="single" w:color="auto" w:sz="4" w:space="0"/>
              <w:bottom w:val="single" w:color="auto" w:sz="4" w:space="0"/>
              <w:right w:val="single" w:color="auto" w:sz="4" w:space="0"/>
            </w:tcBorders>
            <w:vAlign w:val="center"/>
          </w:tcPr>
          <w:p w14:paraId="3AFE2A13">
            <w:pPr>
              <w:widowControl/>
              <w:adjustRightInd w:val="0"/>
              <w:snapToGrid w:val="0"/>
              <w:jc w:val="center"/>
              <w:rPr>
                <w:rFonts w:ascii="Times New Roman" w:hAnsi="Times New Roman" w:eastAsia="仿宋" w:cs="Times New Roman"/>
                <w:sz w:val="24"/>
                <w:szCs w:val="24"/>
              </w:rPr>
            </w:pPr>
            <w:r>
              <w:rPr>
                <w:rFonts w:hint="eastAsia" w:ascii="Times New Roman" w:hAnsi="Times New Roman" w:eastAsia="仿宋" w:cs="Times New Roman"/>
                <w:kern w:val="0"/>
                <w:sz w:val="24"/>
                <w:szCs w:val="24"/>
              </w:rPr>
              <w:t>近期</w:t>
            </w:r>
          </w:p>
        </w:tc>
        <w:tc>
          <w:tcPr>
            <w:tcW w:w="1702" w:type="dxa"/>
            <w:tcBorders>
              <w:top w:val="single" w:color="auto" w:sz="4" w:space="0"/>
              <w:left w:val="single" w:color="auto" w:sz="4" w:space="0"/>
              <w:bottom w:val="single" w:color="auto" w:sz="4" w:space="0"/>
              <w:right w:val="single" w:color="auto" w:sz="4" w:space="0"/>
            </w:tcBorders>
            <w:vAlign w:val="center"/>
          </w:tcPr>
          <w:p w14:paraId="10CB8F58">
            <w:pPr>
              <w:widowControl/>
              <w:adjustRightInd w:val="0"/>
              <w:snapToGrid w:val="0"/>
              <w:jc w:val="center"/>
              <w:rPr>
                <w:rFonts w:hint="eastAsia" w:ascii="等线" w:hAnsi="等线" w:eastAsia="等线" w:cs="Times New Roman"/>
              </w:rPr>
            </w:pPr>
            <w:r>
              <w:rPr>
                <w:rFonts w:hint="eastAsia" w:ascii="Times New Roman" w:hAnsi="Times New Roman" w:eastAsia="仿宋" w:cs="Times New Roman"/>
                <w:kern w:val="0"/>
                <w:sz w:val="24"/>
                <w:szCs w:val="24"/>
              </w:rPr>
              <w:t>水务局</w:t>
            </w:r>
          </w:p>
        </w:tc>
      </w:tr>
      <w:tr w14:paraId="40C5A47F">
        <w:tblPrEx>
          <w:tblCellMar>
            <w:top w:w="85" w:type="dxa"/>
            <w:left w:w="108" w:type="dxa"/>
            <w:bottom w:w="85" w:type="dxa"/>
            <w:right w:w="108" w:type="dxa"/>
          </w:tblCellMar>
        </w:tblPrEx>
        <w:trPr>
          <w:trHeight w:val="316" w:hRule="atLeast"/>
          <w:jc w:val="center"/>
        </w:trPr>
        <w:tc>
          <w:tcPr>
            <w:tcW w:w="697" w:type="dxa"/>
            <w:tcBorders>
              <w:top w:val="single" w:color="auto" w:sz="4" w:space="0"/>
              <w:left w:val="single" w:color="auto" w:sz="4" w:space="0"/>
              <w:bottom w:val="single" w:color="auto" w:sz="4" w:space="0"/>
              <w:right w:val="nil"/>
            </w:tcBorders>
            <w:vAlign w:val="center"/>
          </w:tcPr>
          <w:p w14:paraId="6A946DC0">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continue"/>
            <w:tcBorders>
              <w:left w:val="single" w:color="auto" w:sz="4" w:space="0"/>
              <w:bottom w:val="nil"/>
              <w:right w:val="single" w:color="auto" w:sz="4" w:space="0"/>
            </w:tcBorders>
            <w:vAlign w:val="center"/>
          </w:tcPr>
          <w:p w14:paraId="5B4355A9">
            <w:pPr>
              <w:widowControl/>
              <w:adjustRightInd w:val="0"/>
              <w:snapToGrid w:val="0"/>
              <w:jc w:val="center"/>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413A1859">
            <w:pPr>
              <w:widowControl/>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分钟寺桥区雨水调蓄池小微湿地</w:t>
            </w:r>
          </w:p>
        </w:tc>
        <w:tc>
          <w:tcPr>
            <w:tcW w:w="1425" w:type="dxa"/>
            <w:tcBorders>
              <w:top w:val="single" w:color="auto" w:sz="4" w:space="0"/>
              <w:left w:val="single" w:color="auto" w:sz="4" w:space="0"/>
              <w:bottom w:val="single" w:color="auto" w:sz="4" w:space="0"/>
              <w:right w:val="single" w:color="auto" w:sz="4" w:space="0"/>
            </w:tcBorders>
            <w:vAlign w:val="center"/>
          </w:tcPr>
          <w:p w14:paraId="6CC4F402">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十八里店</w:t>
            </w:r>
          </w:p>
        </w:tc>
        <w:tc>
          <w:tcPr>
            <w:tcW w:w="1500" w:type="dxa"/>
            <w:tcBorders>
              <w:top w:val="single" w:color="auto" w:sz="4" w:space="0"/>
              <w:left w:val="single" w:color="auto" w:sz="4" w:space="0"/>
              <w:bottom w:val="single" w:color="auto" w:sz="4" w:space="0"/>
              <w:right w:val="single" w:color="auto" w:sz="4" w:space="0"/>
            </w:tcBorders>
            <w:vAlign w:val="center"/>
          </w:tcPr>
          <w:p w14:paraId="5AD1DD39">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p>
        </w:tc>
        <w:tc>
          <w:tcPr>
            <w:tcW w:w="1702" w:type="dxa"/>
            <w:tcBorders>
              <w:top w:val="single" w:color="auto" w:sz="4" w:space="0"/>
              <w:left w:val="single" w:color="auto" w:sz="4" w:space="0"/>
              <w:bottom w:val="single" w:color="auto" w:sz="4" w:space="0"/>
              <w:right w:val="single" w:color="auto" w:sz="4" w:space="0"/>
            </w:tcBorders>
            <w:vAlign w:val="center"/>
          </w:tcPr>
          <w:p w14:paraId="4020AE25">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水务局</w:t>
            </w:r>
          </w:p>
        </w:tc>
      </w:tr>
      <w:tr w14:paraId="416CC159">
        <w:tblPrEx>
          <w:tblCellMar>
            <w:top w:w="85" w:type="dxa"/>
            <w:left w:w="108" w:type="dxa"/>
            <w:bottom w:w="85" w:type="dxa"/>
            <w:right w:w="108" w:type="dxa"/>
          </w:tblCellMar>
        </w:tblPrEx>
        <w:trPr>
          <w:trHeight w:val="575" w:hRule="atLeast"/>
          <w:jc w:val="center"/>
        </w:trPr>
        <w:tc>
          <w:tcPr>
            <w:tcW w:w="697" w:type="dxa"/>
            <w:tcBorders>
              <w:top w:val="single" w:color="auto" w:sz="4" w:space="0"/>
              <w:left w:val="single" w:color="auto" w:sz="4" w:space="0"/>
              <w:bottom w:val="single" w:color="auto" w:sz="4" w:space="0"/>
              <w:right w:val="nil"/>
            </w:tcBorders>
            <w:vAlign w:val="center"/>
          </w:tcPr>
          <w:p w14:paraId="77A2E24B">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restart"/>
            <w:tcBorders>
              <w:top w:val="single" w:color="auto" w:sz="4" w:space="0"/>
              <w:left w:val="single" w:color="auto" w:sz="4" w:space="0"/>
              <w:bottom w:val="single" w:color="auto" w:sz="4" w:space="0"/>
              <w:right w:val="single" w:color="auto" w:sz="4" w:space="0"/>
            </w:tcBorders>
            <w:vAlign w:val="center"/>
          </w:tcPr>
          <w:p w14:paraId="3ED05B0C">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湿地监测与科普宣教能力提升项目</w:t>
            </w:r>
          </w:p>
        </w:tc>
        <w:tc>
          <w:tcPr>
            <w:tcW w:w="2215" w:type="dxa"/>
            <w:tcBorders>
              <w:top w:val="single" w:color="auto" w:sz="4" w:space="0"/>
              <w:left w:val="single" w:color="auto" w:sz="4" w:space="0"/>
              <w:bottom w:val="single" w:color="auto" w:sz="4" w:space="0"/>
              <w:right w:val="single" w:color="auto" w:sz="4" w:space="0"/>
            </w:tcBorders>
            <w:vAlign w:val="center"/>
          </w:tcPr>
          <w:p w14:paraId="5A41A251">
            <w:pPr>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湿地智慧监测数据平台项目</w:t>
            </w:r>
          </w:p>
        </w:tc>
        <w:tc>
          <w:tcPr>
            <w:tcW w:w="1425" w:type="dxa"/>
            <w:tcBorders>
              <w:top w:val="single" w:color="auto" w:sz="4" w:space="0"/>
              <w:left w:val="single" w:color="auto" w:sz="4" w:space="0"/>
              <w:bottom w:val="single" w:color="auto" w:sz="4" w:space="0"/>
              <w:right w:val="single" w:color="auto" w:sz="4" w:space="0"/>
            </w:tcBorders>
            <w:vAlign w:val="center"/>
          </w:tcPr>
          <w:p w14:paraId="22FCD7CB">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全区</w:t>
            </w:r>
          </w:p>
        </w:tc>
        <w:tc>
          <w:tcPr>
            <w:tcW w:w="1500" w:type="dxa"/>
            <w:tcBorders>
              <w:top w:val="single" w:color="auto" w:sz="4" w:space="0"/>
              <w:left w:val="single" w:color="auto" w:sz="4" w:space="0"/>
              <w:bottom w:val="single" w:color="auto" w:sz="4" w:space="0"/>
              <w:right w:val="single" w:color="auto" w:sz="4" w:space="0"/>
            </w:tcBorders>
            <w:vAlign w:val="center"/>
          </w:tcPr>
          <w:p w14:paraId="58EF3C78">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r>
              <w:rPr>
                <w:rFonts w:ascii="Times New Roman" w:hAnsi="Times New Roman" w:eastAsia="仿宋" w:cs="Times New Roman"/>
                <w:kern w:val="0"/>
                <w:sz w:val="24"/>
                <w:szCs w:val="24"/>
              </w:rPr>
              <w:t>+</w:t>
            </w:r>
            <w:r>
              <w:rPr>
                <w:rFonts w:hint="eastAsia" w:ascii="Times New Roman" w:hAnsi="Times New Roman" w:eastAsia="仿宋" w:cs="Times New Roman"/>
                <w:kern w:val="0"/>
                <w:sz w:val="24"/>
                <w:szCs w:val="24"/>
              </w:rPr>
              <w:t>远期</w:t>
            </w:r>
          </w:p>
        </w:tc>
        <w:tc>
          <w:tcPr>
            <w:tcW w:w="1702" w:type="dxa"/>
            <w:tcBorders>
              <w:top w:val="single" w:color="auto" w:sz="4" w:space="0"/>
              <w:left w:val="single" w:color="auto" w:sz="4" w:space="0"/>
              <w:bottom w:val="single" w:color="auto" w:sz="4" w:space="0"/>
              <w:right w:val="single" w:color="auto" w:sz="4" w:space="0"/>
            </w:tcBorders>
            <w:vAlign w:val="center"/>
          </w:tcPr>
          <w:p w14:paraId="6CEFAA7F">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园林绿化局</w:t>
            </w:r>
          </w:p>
        </w:tc>
      </w:tr>
      <w:tr w14:paraId="33D5A121">
        <w:tblPrEx>
          <w:tblCellMar>
            <w:top w:w="85" w:type="dxa"/>
            <w:left w:w="108" w:type="dxa"/>
            <w:bottom w:w="85" w:type="dxa"/>
            <w:right w:w="108" w:type="dxa"/>
          </w:tblCellMar>
        </w:tblPrEx>
        <w:trPr>
          <w:trHeight w:val="662" w:hRule="atLeast"/>
          <w:jc w:val="center"/>
        </w:trPr>
        <w:tc>
          <w:tcPr>
            <w:tcW w:w="697" w:type="dxa"/>
            <w:tcBorders>
              <w:top w:val="single" w:color="auto" w:sz="4" w:space="0"/>
              <w:left w:val="single" w:color="auto" w:sz="4" w:space="0"/>
              <w:bottom w:val="single" w:color="auto" w:sz="4" w:space="0"/>
              <w:right w:val="nil"/>
            </w:tcBorders>
            <w:vAlign w:val="center"/>
          </w:tcPr>
          <w:p w14:paraId="04424CE0">
            <w:pPr>
              <w:widowControl/>
              <w:numPr>
                <w:ilvl w:val="0"/>
                <w:numId w:val="1"/>
              </w:numPr>
              <w:adjustRightInd w:val="0"/>
              <w:snapToGrid w:val="0"/>
              <w:ind w:left="0" w:firstLine="19" w:firstLineChars="8"/>
              <w:jc w:val="center"/>
              <w:rPr>
                <w:rFonts w:ascii="Times New Roman" w:hAnsi="Times New Roman" w:eastAsia="仿宋" w:cs="Times New Roman"/>
                <w:kern w:val="0"/>
                <w:sz w:val="24"/>
                <w:szCs w:val="24"/>
              </w:rPr>
            </w:pPr>
          </w:p>
        </w:tc>
        <w:tc>
          <w:tcPr>
            <w:tcW w:w="1369" w:type="dxa"/>
            <w:vMerge w:val="continue"/>
            <w:tcBorders>
              <w:top w:val="single" w:color="auto" w:sz="4" w:space="0"/>
              <w:left w:val="single" w:color="auto" w:sz="4" w:space="0"/>
              <w:bottom w:val="single" w:color="auto" w:sz="4" w:space="0"/>
              <w:right w:val="single" w:color="auto" w:sz="4" w:space="0"/>
            </w:tcBorders>
            <w:vAlign w:val="center"/>
          </w:tcPr>
          <w:p w14:paraId="7E8BE32C">
            <w:pPr>
              <w:widowControl/>
              <w:jc w:val="left"/>
              <w:rPr>
                <w:rFonts w:ascii="Times New Roman" w:hAnsi="Times New Roman" w:eastAsia="仿宋" w:cs="Times New Roman"/>
                <w:kern w:val="0"/>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14:paraId="5796F8DB">
            <w:pPr>
              <w:adjustRightInd w:val="0"/>
              <w:snapToGrid w:val="0"/>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湿地科普宣教能力提升项目</w:t>
            </w:r>
          </w:p>
        </w:tc>
        <w:tc>
          <w:tcPr>
            <w:tcW w:w="1425" w:type="dxa"/>
            <w:tcBorders>
              <w:top w:val="single" w:color="auto" w:sz="4" w:space="0"/>
              <w:left w:val="single" w:color="auto" w:sz="4" w:space="0"/>
              <w:bottom w:val="single" w:color="auto" w:sz="4" w:space="0"/>
              <w:right w:val="single" w:color="auto" w:sz="4" w:space="0"/>
            </w:tcBorders>
            <w:vAlign w:val="center"/>
          </w:tcPr>
          <w:p w14:paraId="55D5DCB9">
            <w:pPr>
              <w:widowControl/>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全区</w:t>
            </w:r>
          </w:p>
        </w:tc>
        <w:tc>
          <w:tcPr>
            <w:tcW w:w="1500" w:type="dxa"/>
            <w:tcBorders>
              <w:top w:val="single" w:color="auto" w:sz="4" w:space="0"/>
              <w:left w:val="single" w:color="auto" w:sz="4" w:space="0"/>
              <w:bottom w:val="single" w:color="auto" w:sz="4" w:space="0"/>
              <w:right w:val="single" w:color="auto" w:sz="4" w:space="0"/>
            </w:tcBorders>
            <w:vAlign w:val="center"/>
          </w:tcPr>
          <w:p w14:paraId="08818605">
            <w:pPr>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近期</w:t>
            </w:r>
            <w:r>
              <w:rPr>
                <w:rFonts w:ascii="Times New Roman" w:hAnsi="Times New Roman" w:eastAsia="仿宋" w:cs="Times New Roman"/>
                <w:kern w:val="0"/>
                <w:sz w:val="24"/>
                <w:szCs w:val="24"/>
              </w:rPr>
              <w:t>+</w:t>
            </w:r>
            <w:r>
              <w:rPr>
                <w:rFonts w:hint="eastAsia" w:ascii="Times New Roman" w:hAnsi="Times New Roman" w:eastAsia="仿宋" w:cs="Times New Roman"/>
                <w:kern w:val="0"/>
                <w:sz w:val="24"/>
                <w:szCs w:val="24"/>
              </w:rPr>
              <w:t>远期</w:t>
            </w:r>
          </w:p>
        </w:tc>
        <w:tc>
          <w:tcPr>
            <w:tcW w:w="1702" w:type="dxa"/>
            <w:tcBorders>
              <w:top w:val="single" w:color="auto" w:sz="4" w:space="0"/>
              <w:left w:val="single" w:color="auto" w:sz="4" w:space="0"/>
              <w:bottom w:val="single" w:color="auto" w:sz="4" w:space="0"/>
              <w:right w:val="single" w:color="auto" w:sz="4" w:space="0"/>
            </w:tcBorders>
            <w:vAlign w:val="center"/>
          </w:tcPr>
          <w:p w14:paraId="6BFF1500">
            <w:pPr>
              <w:adjustRightInd w:val="0"/>
              <w:snapToGrid w:val="0"/>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园林绿化局</w:t>
            </w:r>
          </w:p>
        </w:tc>
      </w:tr>
    </w:tbl>
    <w:p w14:paraId="19CDC98C">
      <w:pPr>
        <w:pStyle w:val="2"/>
        <w:ind w:firstLine="464"/>
        <w:rPr>
          <w:rFonts w:hint="eastAsia"/>
        </w:rPr>
      </w:pPr>
    </w:p>
    <w:bookmarkEnd w:id="100"/>
    <w:p w14:paraId="472625D2">
      <w:pPr>
        <w:keepNext/>
        <w:keepLines/>
        <w:spacing w:before="260" w:after="260" w:line="415" w:lineRule="auto"/>
        <w:outlineLvl w:val="1"/>
        <w:rPr>
          <w:rFonts w:ascii="Times New Roman" w:hAnsi="Times New Roman" w:eastAsia="仿宋" w:cs="Times New Roman"/>
          <w:b/>
          <w:bCs/>
          <w:sz w:val="32"/>
          <w:szCs w:val="32"/>
        </w:rPr>
      </w:pPr>
      <w:bookmarkStart w:id="102" w:name="_Toc240204680"/>
      <w:bookmarkStart w:id="103" w:name="_Toc150720920"/>
      <w:bookmarkStart w:id="104" w:name="_Toc30300"/>
      <w:bookmarkStart w:id="105" w:name="_Toc91078487"/>
      <w:r>
        <w:rPr>
          <w:rFonts w:hint="eastAsia" w:ascii="Times New Roman" w:hAnsi="Times New Roman" w:eastAsia="仿宋" w:cs="Times New Roman"/>
          <w:b/>
          <w:bCs/>
          <w:sz w:val="32"/>
          <w:szCs w:val="32"/>
        </w:rPr>
        <w:t>一、湿地恢复项目</w:t>
      </w:r>
      <w:bookmarkEnd w:id="102"/>
      <w:bookmarkEnd w:id="103"/>
      <w:bookmarkEnd w:id="104"/>
      <w:bookmarkEnd w:id="105"/>
    </w:p>
    <w:p w14:paraId="601F23E4">
      <w:pPr>
        <w:ind w:firstLine="640" w:firstLineChars="200"/>
        <w:rPr>
          <w:rFonts w:ascii="Times New Roman" w:hAnsi="Times New Roman" w:eastAsia="仿宋" w:cs="Times New Roman"/>
          <w:sz w:val="32"/>
        </w:rPr>
      </w:pPr>
      <w:r>
        <w:rPr>
          <w:rFonts w:ascii="Times New Roman" w:hAnsi="Times New Roman" w:eastAsia="仿宋" w:cs="Times New Roman"/>
          <w:sz w:val="32"/>
        </w:rPr>
        <w:t>坚持保护优先与自然恢复为主的方针，在确保湿地生态系统稳定、原生功能延续及生物多样性保育的前提下，采取“自然恢复为主、人工干预为辅”的治理路径，综合实施地形重塑、植被</w:t>
      </w:r>
      <w:r>
        <w:rPr>
          <w:rFonts w:hint="eastAsia" w:ascii="Times New Roman" w:hAnsi="Times New Roman" w:eastAsia="仿宋" w:cs="Times New Roman"/>
          <w:sz w:val="32"/>
        </w:rPr>
        <w:t>恢复</w:t>
      </w:r>
      <w:r>
        <w:rPr>
          <w:rFonts w:ascii="Times New Roman" w:hAnsi="Times New Roman" w:eastAsia="仿宋" w:cs="Times New Roman"/>
          <w:sz w:val="32"/>
        </w:rPr>
        <w:t>、生态</w:t>
      </w:r>
      <w:r>
        <w:rPr>
          <w:rFonts w:hint="eastAsia" w:ascii="Times New Roman" w:hAnsi="Times New Roman" w:eastAsia="仿宋" w:cs="Times New Roman"/>
          <w:sz w:val="32"/>
        </w:rPr>
        <w:t>岸带</w:t>
      </w:r>
      <w:r>
        <w:rPr>
          <w:rFonts w:ascii="Times New Roman" w:hAnsi="Times New Roman" w:eastAsia="仿宋" w:cs="Times New Roman"/>
          <w:sz w:val="32"/>
        </w:rPr>
        <w:t>构建、水系连通及栖息地优化等措施，系统提升湿地生态质量与功能</w:t>
      </w:r>
      <w:r>
        <w:rPr>
          <w:rFonts w:hint="eastAsia" w:ascii="Times New Roman" w:hAnsi="Times New Roman" w:eastAsia="仿宋" w:cs="Times New Roman"/>
          <w:sz w:val="32"/>
        </w:rPr>
        <w:t>。</w:t>
      </w:r>
    </w:p>
    <w:p w14:paraId="0717E4E2">
      <w:pPr>
        <w:pStyle w:val="2"/>
        <w:ind w:firstLine="464"/>
        <w:rPr>
          <w:rFonts w:hint="eastAsia"/>
        </w:rPr>
      </w:pPr>
      <w:r>
        <w:drawing>
          <wp:inline distT="0" distB="0" distL="0" distR="0">
            <wp:extent cx="5274310" cy="7458075"/>
            <wp:effectExtent l="0" t="0" r="2540" b="9525"/>
            <wp:docPr id="1423188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188386"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7458075"/>
                    </a:xfrm>
                    <a:prstGeom prst="rect">
                      <a:avLst/>
                    </a:prstGeom>
                    <a:noFill/>
                    <a:ln>
                      <a:noFill/>
                    </a:ln>
                  </pic:spPr>
                </pic:pic>
              </a:graphicData>
            </a:graphic>
          </wp:inline>
        </w:drawing>
      </w:r>
    </w:p>
    <w:p w14:paraId="17113489">
      <w:pPr>
        <w:spacing w:before="156" w:beforeLines="50" w:line="360" w:lineRule="auto"/>
        <w:jc w:val="center"/>
        <w:rPr>
          <w:rFonts w:hint="eastAsia" w:ascii="等线" w:hAnsi="等线" w:eastAsia="仿宋" w:cs="Times New Roman"/>
          <w:sz w:val="28"/>
          <w:szCs w:val="21"/>
        </w:rPr>
      </w:pPr>
      <w:r>
        <w:rPr>
          <w:rFonts w:hint="eastAsia" w:ascii="Times New Roman" w:hAnsi="Times New Roman" w:eastAsia="仿宋" w:cs="Times New Roman"/>
          <w:sz w:val="28"/>
          <w:szCs w:val="28"/>
        </w:rPr>
        <w:t>图</w:t>
      </w:r>
      <w:r>
        <w:rPr>
          <w:rFonts w:ascii="Times New Roman" w:hAnsi="Times New Roman" w:eastAsia="仿宋" w:cs="Times New Roman"/>
          <w:sz w:val="28"/>
          <w:szCs w:val="28"/>
        </w:rPr>
        <w:t>6.</w:t>
      </w:r>
      <w:r>
        <w:rPr>
          <w:rFonts w:hint="eastAsia" w:ascii="Times New Roman" w:hAnsi="Times New Roman" w:eastAsia="仿宋" w:cs="Times New Roman"/>
          <w:sz w:val="28"/>
          <w:szCs w:val="28"/>
        </w:rPr>
        <w:t>1</w:t>
      </w:r>
      <w:r>
        <w:rPr>
          <w:rFonts w:ascii="Times New Roman" w:hAnsi="Times New Roman" w:eastAsia="仿宋" w:cs="Times New Roman"/>
          <w:sz w:val="28"/>
          <w:szCs w:val="28"/>
        </w:rPr>
        <w:t xml:space="preserve"> </w:t>
      </w:r>
      <w:r>
        <w:rPr>
          <w:rFonts w:hint="eastAsia" w:ascii="Times New Roman" w:hAnsi="Times New Roman" w:eastAsia="仿宋" w:cs="Times New Roman"/>
          <w:sz w:val="28"/>
          <w:szCs w:val="28"/>
        </w:rPr>
        <w:t>湿地恢复项目布局图</w:t>
      </w:r>
    </w:p>
    <w:p w14:paraId="2B113B00">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（一）河流湿地恢复项目</w:t>
      </w:r>
    </w:p>
    <w:p w14:paraId="40DC48B0">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1</w:t>
      </w:r>
      <w:r>
        <w:rPr>
          <w:rFonts w:hint="eastAsia" w:ascii="Times New Roman" w:hAnsi="Times New Roman" w:eastAsia="仿宋" w:cs="Times New Roman"/>
          <w:sz w:val="32"/>
        </w:rPr>
        <w:t>）规划范围</w:t>
      </w:r>
    </w:p>
    <w:p w14:paraId="48289413">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涉及清河、坝河、亮马河、北小河、通惠河等朝阳区河流湿地重点河段。</w:t>
      </w:r>
    </w:p>
    <w:p w14:paraId="74C999CE">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2</w:t>
      </w:r>
      <w:r>
        <w:rPr>
          <w:rFonts w:hint="eastAsia" w:ascii="Times New Roman" w:hAnsi="Times New Roman" w:eastAsia="仿宋" w:cs="Times New Roman"/>
          <w:sz w:val="32"/>
        </w:rPr>
        <w:t>）现状不足</w:t>
      </w:r>
    </w:p>
    <w:p w14:paraId="0DE707FC">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河道生态化柔性岸带有待提升，</w:t>
      </w:r>
      <w:r>
        <w:rPr>
          <w:rFonts w:ascii="Times New Roman" w:hAnsi="Times New Roman" w:eastAsia="仿宋" w:cs="Times New Roman"/>
          <w:sz w:val="32"/>
        </w:rPr>
        <w:t>滨水空间功能</w:t>
      </w:r>
      <w:r>
        <w:rPr>
          <w:rFonts w:hint="eastAsia" w:ascii="Times New Roman" w:hAnsi="Times New Roman" w:eastAsia="仿宋" w:cs="Times New Roman"/>
          <w:sz w:val="32"/>
        </w:rPr>
        <w:t>性不足，亲水空间景观有待加强。</w:t>
      </w:r>
    </w:p>
    <w:p w14:paraId="15C12C9B">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3</w:t>
      </w:r>
      <w:r>
        <w:rPr>
          <w:rFonts w:hint="eastAsia" w:ascii="Times New Roman" w:hAnsi="Times New Roman" w:eastAsia="仿宋" w:cs="Times New Roman"/>
          <w:sz w:val="32"/>
        </w:rPr>
        <w:t>）规划内容</w:t>
      </w:r>
    </w:p>
    <w:p w14:paraId="563F4B24">
      <w:pPr>
        <w:ind w:firstLine="640" w:firstLineChars="200"/>
        <w:rPr>
          <w:rFonts w:ascii="Times New Roman" w:hAnsi="Times New Roman" w:eastAsia="仿宋" w:cs="Times New Roman"/>
          <w:sz w:val="32"/>
        </w:rPr>
      </w:pPr>
      <w:r>
        <w:rPr>
          <w:rFonts w:ascii="Times New Roman" w:hAnsi="Times New Roman" w:eastAsia="仿宋" w:cs="Times New Roman"/>
          <w:sz w:val="32"/>
        </w:rPr>
        <w:t>营造自然滩涂、浅水湿地与水生植物景观带，打通河湖水系连通节点，</w:t>
      </w:r>
      <w:r>
        <w:rPr>
          <w:rFonts w:hint="eastAsia" w:ascii="Times New Roman" w:hAnsi="Times New Roman" w:eastAsia="仿宋" w:cs="Times New Roman"/>
          <w:sz w:val="32"/>
        </w:rPr>
        <w:t>增加</w:t>
      </w:r>
      <w:r>
        <w:rPr>
          <w:rFonts w:ascii="Times New Roman" w:hAnsi="Times New Roman" w:eastAsia="仿宋" w:cs="Times New Roman"/>
          <w:sz w:val="32"/>
        </w:rPr>
        <w:t>水生植物种植面积，形成贯通连续的滨水湿地生态廊道，以清河</w:t>
      </w:r>
      <w:r>
        <w:rPr>
          <w:rFonts w:hint="eastAsia" w:ascii="Times New Roman" w:hAnsi="Times New Roman" w:eastAsia="仿宋" w:cs="Times New Roman"/>
          <w:sz w:val="32"/>
        </w:rPr>
        <w:t>、</w:t>
      </w:r>
      <w:r>
        <w:rPr>
          <w:rFonts w:ascii="Times New Roman" w:hAnsi="Times New Roman" w:eastAsia="仿宋" w:cs="Times New Roman"/>
          <w:sz w:val="32"/>
        </w:rPr>
        <w:t>温榆河为核心，推进文体休闲景观带建设</w:t>
      </w:r>
      <w:r>
        <w:rPr>
          <w:rFonts w:hint="eastAsia" w:ascii="Times New Roman" w:hAnsi="Times New Roman" w:eastAsia="仿宋" w:cs="Times New Roman"/>
          <w:sz w:val="32"/>
        </w:rPr>
        <w:t>，</w:t>
      </w:r>
      <w:r>
        <w:rPr>
          <w:rFonts w:ascii="Times New Roman" w:hAnsi="Times New Roman" w:eastAsia="仿宋" w:cs="Times New Roman"/>
          <w:sz w:val="32"/>
        </w:rPr>
        <w:t>推进亮马河、坝河滨水空间建设，兼顾生态修复与城市公共空间提质，打造兼具生态净化、休闲游憩、城市景观功能的国际化滨水湿地空间</w:t>
      </w:r>
      <w:r>
        <w:rPr>
          <w:rFonts w:hint="eastAsia" w:ascii="Times New Roman" w:hAnsi="Times New Roman" w:eastAsia="仿宋" w:cs="Times New Roman"/>
          <w:sz w:val="32"/>
        </w:rPr>
        <w:t>。</w:t>
      </w:r>
    </w:p>
    <w:p w14:paraId="1D85CDC5">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温榆河公园（朝阳段）</w:t>
      </w:r>
      <w:r>
        <w:rPr>
          <w:rFonts w:hint="eastAsia" w:ascii="Times New Roman" w:hAnsi="Times New Roman" w:eastAsia="仿宋" w:cs="Times New Roman"/>
          <w:b/>
          <w:bCs/>
          <w:sz w:val="32"/>
          <w:szCs w:val="32"/>
        </w:rPr>
        <w:t>生物多样性保育项目</w:t>
      </w:r>
    </w:p>
    <w:p w14:paraId="3133C84C">
      <w:pPr>
        <w:ind w:firstLine="640" w:firstLineChars="200"/>
        <w:rPr>
          <w:rFonts w:ascii="Times New Roman" w:hAnsi="Times New Roman" w:eastAsia="仿宋" w:cs="Times New Roman"/>
          <w:sz w:val="32"/>
        </w:rPr>
      </w:pPr>
      <w:bookmarkStart w:id="106" w:name="_Hlk148604173"/>
      <w:r>
        <w:rPr>
          <w:rFonts w:hint="eastAsia" w:ascii="Times New Roman" w:hAnsi="Times New Roman" w:eastAsia="仿宋" w:cs="Times New Roman"/>
          <w:sz w:val="32"/>
        </w:rPr>
        <w:t>（</w:t>
      </w:r>
      <w:r>
        <w:rPr>
          <w:rFonts w:ascii="Times New Roman" w:hAnsi="Times New Roman" w:eastAsia="仿宋" w:cs="Times New Roman"/>
          <w:sz w:val="32"/>
        </w:rPr>
        <w:t>1</w:t>
      </w:r>
      <w:r>
        <w:rPr>
          <w:rFonts w:hint="eastAsia" w:ascii="Times New Roman" w:hAnsi="Times New Roman" w:eastAsia="仿宋" w:cs="Times New Roman"/>
          <w:sz w:val="32"/>
        </w:rPr>
        <w:t>）规划范围</w:t>
      </w:r>
    </w:p>
    <w:p w14:paraId="2A97DB43">
      <w:pPr>
        <w:spacing w:line="279"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温榆河公园朝阳园区二期工程，</w:t>
      </w:r>
      <w:r>
        <w:rPr>
          <w:rFonts w:ascii="Times New Roman" w:hAnsi="Times New Roman" w:eastAsia="仿宋" w:cs="Times New Roman"/>
          <w:sz w:val="32"/>
        </w:rPr>
        <w:t>于朝阳北部二道绿隔区域，横跨来广营、崔各庄、孙河等街乡</w:t>
      </w:r>
      <w:r>
        <w:rPr>
          <w:rFonts w:hint="eastAsia" w:ascii="Times New Roman" w:hAnsi="Times New Roman" w:eastAsia="仿宋" w:cs="Times New Roman"/>
          <w:sz w:val="32"/>
        </w:rPr>
        <w:t>。</w:t>
      </w:r>
    </w:p>
    <w:bookmarkEnd w:id="106"/>
    <w:p w14:paraId="1EC3500A">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2</w:t>
      </w:r>
      <w:r>
        <w:rPr>
          <w:rFonts w:hint="eastAsia" w:ascii="Times New Roman" w:hAnsi="Times New Roman" w:eastAsia="仿宋" w:cs="Times New Roman"/>
          <w:sz w:val="32"/>
        </w:rPr>
        <w:t>）现状不足</w:t>
      </w:r>
    </w:p>
    <w:p w14:paraId="45E25A09">
      <w:pPr>
        <w:spacing w:line="279" w:lineRule="auto"/>
        <w:ind w:firstLine="640" w:firstLineChars="200"/>
        <w:rPr>
          <w:rFonts w:ascii="Times New Roman" w:hAnsi="Times New Roman" w:eastAsia="仿宋" w:cs="Times New Roman"/>
          <w:sz w:val="32"/>
        </w:rPr>
      </w:pPr>
      <w:r>
        <w:rPr>
          <w:rFonts w:hint="eastAsia" w:ascii="Times New Roman" w:hAnsi="Times New Roman" w:eastAsia="仿宋" w:cs="Times New Roman"/>
          <w:sz w:val="32"/>
        </w:rPr>
        <w:t>部分区域湿地生物多样性有待提升；岸线开放性滨水空间不足，亲水游憩空间有待加强。</w:t>
      </w:r>
    </w:p>
    <w:p w14:paraId="17A4F346">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3</w:t>
      </w:r>
      <w:r>
        <w:rPr>
          <w:rFonts w:hint="eastAsia" w:ascii="Times New Roman" w:hAnsi="Times New Roman" w:eastAsia="仿宋" w:cs="Times New Roman"/>
          <w:sz w:val="32"/>
        </w:rPr>
        <w:t>）规划内容</w:t>
      </w:r>
    </w:p>
    <w:p w14:paraId="2E157C67">
      <w:pPr>
        <w:spacing w:line="279" w:lineRule="auto"/>
        <w:ind w:firstLine="640" w:firstLineChars="200"/>
        <w:rPr>
          <w:rFonts w:ascii="Times New Roman" w:hAnsi="Times New Roman" w:eastAsia="仿宋" w:cs="Times New Roman"/>
          <w:sz w:val="32"/>
        </w:rPr>
      </w:pPr>
      <w:r>
        <w:rPr>
          <w:rFonts w:ascii="Times New Roman" w:hAnsi="Times New Roman" w:eastAsia="仿宋" w:cs="Times New Roman"/>
          <w:sz w:val="32"/>
        </w:rPr>
        <w:t>立足生物多样性保护需求，人工营造浅滩、水岸缓湾、生态岛等多样化生境，以芦苇、黄菖蒲、千屈菜、慈姑等本土湿生植物为核心，重构近自然湿地植被群落。此外，打造鸟类专属栖息地、昆虫友好生境，持续提升湿地生态系统完整性，核心承担区域水源涵养、水质净化、雨洪调蓄、生物多样性保育及湿地科普宣教功能</w:t>
      </w:r>
      <w:r>
        <w:rPr>
          <w:rFonts w:hint="eastAsia" w:ascii="Times New Roman" w:hAnsi="Times New Roman" w:eastAsia="仿宋" w:cs="Times New Roman"/>
          <w:sz w:val="32"/>
        </w:rPr>
        <w:t>。</w:t>
      </w:r>
    </w:p>
    <w:p w14:paraId="09524932">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坝河口蓄滞洪区生态湿地</w:t>
      </w:r>
      <w:r>
        <w:rPr>
          <w:rFonts w:hint="eastAsia" w:ascii="Times New Roman" w:hAnsi="Times New Roman" w:eastAsia="仿宋" w:cs="Times New Roman"/>
          <w:b/>
          <w:bCs/>
          <w:sz w:val="32"/>
          <w:szCs w:val="32"/>
        </w:rPr>
        <w:t>质量提升项目</w:t>
      </w:r>
    </w:p>
    <w:p w14:paraId="34CECB79">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1</w:t>
      </w:r>
      <w:r>
        <w:rPr>
          <w:rFonts w:hint="eastAsia" w:ascii="Times New Roman" w:hAnsi="Times New Roman" w:eastAsia="仿宋" w:cs="Times New Roman"/>
          <w:sz w:val="32"/>
        </w:rPr>
        <w:t>）规划范围</w:t>
      </w:r>
    </w:p>
    <w:p w14:paraId="7C609F4B">
      <w:pPr>
        <w:ind w:firstLine="640" w:firstLineChars="200"/>
        <w:rPr>
          <w:rFonts w:ascii="Times New Roman" w:hAnsi="Times New Roman" w:eastAsia="仿宋" w:cs="Times New Roman"/>
          <w:sz w:val="32"/>
        </w:rPr>
      </w:pPr>
      <w:r>
        <w:rPr>
          <w:rFonts w:ascii="Times New Roman" w:hAnsi="Times New Roman" w:eastAsia="仿宋" w:cs="Times New Roman"/>
          <w:sz w:val="32"/>
        </w:rPr>
        <w:t>东坝、金盏乡，坝河下游至温榆河口</w:t>
      </w:r>
      <w:r>
        <w:rPr>
          <w:rFonts w:hint="eastAsia" w:ascii="Times New Roman" w:hAnsi="Times New Roman" w:eastAsia="仿宋" w:cs="Times New Roman"/>
          <w:sz w:val="32"/>
        </w:rPr>
        <w:t>。</w:t>
      </w:r>
    </w:p>
    <w:p w14:paraId="21CC053F">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2</w:t>
      </w:r>
      <w:r>
        <w:rPr>
          <w:rFonts w:hint="eastAsia" w:ascii="Times New Roman" w:hAnsi="Times New Roman" w:eastAsia="仿宋" w:cs="Times New Roman"/>
          <w:sz w:val="32"/>
        </w:rPr>
        <w:t>）现状不足</w:t>
      </w:r>
    </w:p>
    <w:p w14:paraId="2AF20540">
      <w:pPr>
        <w:ind w:firstLine="640" w:firstLineChars="200"/>
        <w:rPr>
          <w:rFonts w:ascii="Times New Roman" w:hAnsi="Times New Roman" w:eastAsia="仿宋" w:cs="Times New Roman"/>
          <w:sz w:val="32"/>
        </w:rPr>
      </w:pPr>
      <w:r>
        <w:rPr>
          <w:rFonts w:ascii="Times New Roman" w:hAnsi="Times New Roman" w:eastAsia="仿宋" w:cs="Times New Roman"/>
          <w:sz w:val="32"/>
        </w:rPr>
        <w:t>新建蓄洪湖区，形成大面积滨水湿地</w:t>
      </w:r>
      <w:r>
        <w:rPr>
          <w:rFonts w:hint="eastAsia" w:ascii="Times New Roman" w:hAnsi="Times New Roman" w:eastAsia="仿宋" w:cs="Times New Roman"/>
          <w:sz w:val="32"/>
        </w:rPr>
        <w:t>，需进行系统性修复。</w:t>
      </w:r>
    </w:p>
    <w:p w14:paraId="21C0270B">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3</w:t>
      </w:r>
      <w:r>
        <w:rPr>
          <w:rFonts w:hint="eastAsia" w:ascii="Times New Roman" w:hAnsi="Times New Roman" w:eastAsia="仿宋" w:cs="Times New Roman"/>
          <w:sz w:val="32"/>
        </w:rPr>
        <w:t>）规划内容</w:t>
      </w:r>
    </w:p>
    <w:p w14:paraId="63A68CB6">
      <w:pPr>
        <w:ind w:firstLine="640" w:firstLineChars="200"/>
        <w:rPr>
          <w:rFonts w:ascii="Times New Roman" w:hAnsi="Times New Roman" w:eastAsia="仿宋" w:cs="Times New Roman"/>
          <w:sz w:val="32"/>
        </w:rPr>
      </w:pPr>
      <w:r>
        <w:rPr>
          <w:rFonts w:ascii="Times New Roman" w:hAnsi="Times New Roman" w:eastAsia="仿宋" w:cs="Times New Roman"/>
          <w:sz w:val="32"/>
        </w:rPr>
        <w:t>在满足防洪蓄洪核心功能的基础上，开展全域生态化改造，保留区域原生林地与自然林岛，构建柔性水陆过渡带。通过系统恢复挺水、浮水、沉水梯度水生植物群落，完善湿地自我净化体系，打造水鸟稳定栖息空间，实现防洪安全、水质净化、生物栖息、生态景观多重功能融合，有效打通坝河与温榆河水系生态通道。</w:t>
      </w:r>
    </w:p>
    <w:p w14:paraId="6897535F">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（四）南部核心湿地群建设项目</w:t>
      </w:r>
    </w:p>
    <w:p w14:paraId="2D4D31CB">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1</w:t>
      </w:r>
      <w:r>
        <w:rPr>
          <w:rFonts w:hint="eastAsia" w:ascii="Times New Roman" w:hAnsi="Times New Roman" w:eastAsia="仿宋" w:cs="Times New Roman"/>
          <w:sz w:val="32"/>
        </w:rPr>
        <w:t>）规划范围</w:t>
      </w:r>
    </w:p>
    <w:p w14:paraId="057BFD3C">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南部湿地群</w:t>
      </w:r>
      <w:r>
        <w:rPr>
          <w:rFonts w:ascii="Times New Roman" w:hAnsi="Times New Roman" w:eastAsia="仿宋" w:cs="Times New Roman"/>
          <w:sz w:val="32"/>
        </w:rPr>
        <w:t>位于朝阳区南部</w:t>
      </w:r>
      <w:r>
        <w:rPr>
          <w:rFonts w:hint="eastAsia" w:ascii="Times New Roman" w:hAnsi="Times New Roman" w:eastAsia="仿宋" w:cs="Times New Roman"/>
          <w:sz w:val="32"/>
        </w:rPr>
        <w:t>豆各庄与王四营片区</w:t>
      </w:r>
      <w:r>
        <w:rPr>
          <w:rFonts w:ascii="Times New Roman" w:hAnsi="Times New Roman" w:eastAsia="仿宋" w:cs="Times New Roman"/>
          <w:sz w:val="32"/>
        </w:rPr>
        <w:t>，地处中心城区通往北京城市副中心重要生态廊道，属于二道绿化隔离地区东南部关键生态节点</w:t>
      </w:r>
      <w:r>
        <w:rPr>
          <w:rFonts w:hint="eastAsia" w:ascii="Times New Roman" w:hAnsi="Times New Roman" w:eastAsia="仿宋" w:cs="Times New Roman"/>
          <w:sz w:val="32"/>
        </w:rPr>
        <w:t>。</w:t>
      </w:r>
    </w:p>
    <w:p w14:paraId="00AE9B07">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（2）现状不足</w:t>
      </w:r>
    </w:p>
    <w:p w14:paraId="457DFFCF">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包括马家湾湿地、萧太后河绿地、金田公园、古塔公园等湿地，</w:t>
      </w:r>
      <w:r>
        <w:rPr>
          <w:rFonts w:ascii="Times New Roman" w:hAnsi="Times New Roman" w:eastAsia="仿宋" w:cs="Times New Roman"/>
          <w:sz w:val="32"/>
        </w:rPr>
        <w:t>呈点状、片段化分布，各公园之间缺乏连续的湿地生态缓冲带</w:t>
      </w:r>
      <w:r>
        <w:rPr>
          <w:rFonts w:hint="eastAsia" w:ascii="Times New Roman" w:hAnsi="Times New Roman" w:eastAsia="仿宋" w:cs="Times New Roman"/>
          <w:sz w:val="32"/>
        </w:rPr>
        <w:t>；</w:t>
      </w:r>
      <w:r>
        <w:rPr>
          <w:rFonts w:ascii="Times New Roman" w:hAnsi="Times New Roman" w:eastAsia="仿宋" w:cs="Times New Roman"/>
          <w:sz w:val="32"/>
        </w:rPr>
        <w:t>现有湿地更多侧重景观效果，浅滩、孤岛、缓流等多样化生境占比偏低</w:t>
      </w:r>
      <w:r>
        <w:rPr>
          <w:rFonts w:hint="eastAsia" w:ascii="Times New Roman" w:hAnsi="Times New Roman" w:eastAsia="仿宋" w:cs="Times New Roman"/>
          <w:sz w:val="32"/>
        </w:rPr>
        <w:t>，</w:t>
      </w:r>
      <w:r>
        <w:rPr>
          <w:rFonts w:ascii="Times New Roman" w:hAnsi="Times New Roman" w:eastAsia="仿宋" w:cs="Times New Roman"/>
          <w:sz w:val="32"/>
        </w:rPr>
        <w:t>水鸟栖息、觅食、隐蔽空间不足；鱼类、两栖类栖息生境碎片化</w:t>
      </w:r>
      <w:r>
        <w:rPr>
          <w:rFonts w:hint="eastAsia" w:ascii="Times New Roman" w:hAnsi="Times New Roman" w:eastAsia="仿宋" w:cs="Times New Roman"/>
          <w:sz w:val="32"/>
        </w:rPr>
        <w:t>。</w:t>
      </w:r>
    </w:p>
    <w:p w14:paraId="0DCB7EBF">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（3）规划内容</w:t>
      </w:r>
    </w:p>
    <w:p w14:paraId="52CA1C75">
      <w:pPr>
        <w:ind w:firstLine="640" w:firstLineChars="200"/>
        <w:rPr>
          <w:rFonts w:ascii="Times New Roman" w:hAnsi="Times New Roman" w:eastAsia="仿宋" w:cs="Times New Roman"/>
          <w:sz w:val="32"/>
        </w:rPr>
      </w:pPr>
      <w:r>
        <w:rPr>
          <w:rFonts w:ascii="Times New Roman" w:hAnsi="Times New Roman" w:eastAsia="仿宋" w:cs="Times New Roman"/>
          <w:sz w:val="32"/>
        </w:rPr>
        <w:t>持续优化河道断面，对直立硬质堤岸实施柔性改造，营造浅滩、缓湾、水陆过渡带；打通沿线断头沟渠，实现河道与周边坑塘湿地水力连通。沿河道构建连续滨水植被缓冲带，分层配置芦苇、香蒲、千屈菜、黄菖蒲等本土湿生植物，构建挺水—浮水—沉水梯度群落，强化水体自净能力。构建多级人工湿地净化系统；保留现状原生植被，优先选用乡土乔灌草与水生植物，严控外来入侵物种。</w:t>
      </w:r>
    </w:p>
    <w:p w14:paraId="4C5EDBD6">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（五）</w:t>
      </w:r>
      <w:r>
        <w:rPr>
          <w:rFonts w:ascii="Times New Roman" w:hAnsi="Times New Roman" w:eastAsia="仿宋" w:cs="Times New Roman"/>
          <w:b/>
          <w:bCs/>
          <w:sz w:val="32"/>
          <w:szCs w:val="32"/>
        </w:rPr>
        <w:t>北京国际人才公园</w:t>
      </w:r>
      <w:r>
        <w:rPr>
          <w:rFonts w:hint="eastAsia" w:ascii="Times New Roman" w:hAnsi="Times New Roman" w:eastAsia="仿宋" w:cs="Times New Roman"/>
          <w:b/>
          <w:bCs/>
          <w:sz w:val="32"/>
          <w:szCs w:val="32"/>
        </w:rPr>
        <w:t>湿地建设项目</w:t>
      </w:r>
    </w:p>
    <w:p w14:paraId="79D1DA86">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1</w:t>
      </w:r>
      <w:r>
        <w:rPr>
          <w:rFonts w:hint="eastAsia" w:ascii="Times New Roman" w:hAnsi="Times New Roman" w:eastAsia="仿宋" w:cs="Times New Roman"/>
          <w:sz w:val="32"/>
        </w:rPr>
        <w:t>）规划范围</w:t>
      </w:r>
    </w:p>
    <w:p w14:paraId="02B93B92">
      <w:pPr>
        <w:ind w:firstLine="640" w:firstLineChars="200"/>
        <w:rPr>
          <w:rFonts w:ascii="Times New Roman" w:hAnsi="Times New Roman" w:eastAsia="仿宋" w:cs="Times New Roman"/>
          <w:sz w:val="32"/>
        </w:rPr>
      </w:pPr>
      <w:r>
        <w:rPr>
          <w:rFonts w:ascii="Times New Roman" w:hAnsi="Times New Roman" w:eastAsia="仿宋" w:cs="Times New Roman"/>
          <w:sz w:val="32"/>
        </w:rPr>
        <w:t>公园位于中关村朝阳园北区核心位置，南邻阿里巴巴北京朝阳科技园新总部，西至来广营东路，东至电子城东路，是北京城市绿色空间格局中</w:t>
      </w:r>
      <w:r>
        <w:rPr>
          <w:rFonts w:hint="eastAsia" w:ascii="Times New Roman" w:hAnsi="Times New Roman" w:eastAsia="仿宋" w:cs="Times New Roman"/>
          <w:sz w:val="32"/>
        </w:rPr>
        <w:t>“</w:t>
      </w:r>
      <w:r>
        <w:rPr>
          <w:rFonts w:ascii="Times New Roman" w:hAnsi="Times New Roman" w:eastAsia="仿宋" w:cs="Times New Roman"/>
          <w:sz w:val="32"/>
        </w:rPr>
        <w:t>一环</w:t>
      </w:r>
      <w:r>
        <w:rPr>
          <w:rFonts w:hint="eastAsia" w:ascii="Times New Roman" w:hAnsi="Times New Roman" w:eastAsia="仿宋" w:cs="Times New Roman"/>
          <w:sz w:val="32"/>
        </w:rPr>
        <w:t>”</w:t>
      </w:r>
      <w:r>
        <w:rPr>
          <w:rFonts w:ascii="Times New Roman" w:hAnsi="Times New Roman" w:eastAsia="仿宋" w:cs="Times New Roman"/>
          <w:sz w:val="32"/>
        </w:rPr>
        <w:t>与</w:t>
      </w:r>
      <w:r>
        <w:rPr>
          <w:rFonts w:hint="eastAsia" w:ascii="Times New Roman" w:hAnsi="Times New Roman" w:eastAsia="仿宋" w:cs="Times New Roman"/>
          <w:sz w:val="32"/>
        </w:rPr>
        <w:t>“</w:t>
      </w:r>
      <w:r>
        <w:rPr>
          <w:rFonts w:ascii="Times New Roman" w:hAnsi="Times New Roman" w:eastAsia="仿宋" w:cs="Times New Roman"/>
          <w:sz w:val="32"/>
        </w:rPr>
        <w:t>九楔</w:t>
      </w:r>
      <w:r>
        <w:rPr>
          <w:rFonts w:hint="eastAsia" w:ascii="Times New Roman" w:hAnsi="Times New Roman" w:eastAsia="仿宋" w:cs="Times New Roman"/>
          <w:sz w:val="32"/>
        </w:rPr>
        <w:t>”</w:t>
      </w:r>
      <w:r>
        <w:rPr>
          <w:rFonts w:ascii="Times New Roman" w:hAnsi="Times New Roman" w:eastAsia="仿宋" w:cs="Times New Roman"/>
          <w:sz w:val="32"/>
        </w:rPr>
        <w:t>的交汇点，也是朝阳区大尺度绿化与城镇建设用地交融的关键节点</w:t>
      </w:r>
      <w:r>
        <w:rPr>
          <w:rFonts w:hint="eastAsia" w:ascii="Times New Roman" w:hAnsi="Times New Roman" w:eastAsia="仿宋" w:cs="Times New Roman"/>
          <w:sz w:val="32"/>
        </w:rPr>
        <w:t>，公园</w:t>
      </w:r>
      <w:r>
        <w:rPr>
          <w:rFonts w:ascii="Times New Roman" w:hAnsi="Times New Roman" w:eastAsia="仿宋" w:cs="Times New Roman"/>
          <w:sz w:val="32"/>
        </w:rPr>
        <w:t>总建设面积19.8公顷，</w:t>
      </w:r>
      <w:r>
        <w:rPr>
          <w:rFonts w:hint="eastAsia" w:ascii="Times New Roman" w:hAnsi="Times New Roman" w:eastAsia="仿宋" w:cs="Times New Roman"/>
          <w:sz w:val="32"/>
        </w:rPr>
        <w:t>其中</w:t>
      </w:r>
      <w:r>
        <w:rPr>
          <w:rFonts w:ascii="Times New Roman" w:hAnsi="Times New Roman" w:eastAsia="仿宋" w:cs="Times New Roman"/>
          <w:sz w:val="32"/>
        </w:rPr>
        <w:t>水面面积2.4公顷</w:t>
      </w:r>
      <w:r>
        <w:rPr>
          <w:rFonts w:hint="eastAsia" w:ascii="Times New Roman" w:hAnsi="Times New Roman" w:eastAsia="仿宋" w:cs="Times New Roman"/>
          <w:sz w:val="32"/>
        </w:rPr>
        <w:t>。</w:t>
      </w:r>
    </w:p>
    <w:p w14:paraId="172F114E">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（2）现状不足</w:t>
      </w:r>
    </w:p>
    <w:p w14:paraId="03B798D6">
      <w:pPr>
        <w:ind w:firstLine="640" w:firstLineChars="200"/>
        <w:rPr>
          <w:rFonts w:ascii="Times New Roman" w:hAnsi="Times New Roman" w:eastAsia="仿宋" w:cs="Times New Roman"/>
          <w:sz w:val="32"/>
        </w:rPr>
      </w:pPr>
      <w:r>
        <w:rPr>
          <w:rFonts w:ascii="Times New Roman" w:hAnsi="Times New Roman" w:eastAsia="仿宋" w:cs="Times New Roman"/>
          <w:sz w:val="32"/>
        </w:rPr>
        <w:t>湿地面积总量偏小，水体结构单一</w:t>
      </w:r>
      <w:r>
        <w:rPr>
          <w:rFonts w:hint="eastAsia" w:ascii="Times New Roman" w:hAnsi="Times New Roman" w:eastAsia="仿宋" w:cs="Times New Roman"/>
          <w:sz w:val="32"/>
        </w:rPr>
        <w:t>，</w:t>
      </w:r>
      <w:r>
        <w:rPr>
          <w:rFonts w:ascii="Times New Roman" w:hAnsi="Times New Roman" w:eastAsia="仿宋" w:cs="Times New Roman"/>
          <w:sz w:val="32"/>
        </w:rPr>
        <w:t>湿地斑块较为零散，缺少连续的水陆过渡带</w:t>
      </w:r>
      <w:r>
        <w:rPr>
          <w:rFonts w:hint="eastAsia" w:ascii="Times New Roman" w:hAnsi="Times New Roman" w:eastAsia="仿宋" w:cs="Times New Roman"/>
          <w:sz w:val="32"/>
        </w:rPr>
        <w:t>；</w:t>
      </w:r>
      <w:r>
        <w:rPr>
          <w:rFonts w:ascii="Times New Roman" w:hAnsi="Times New Roman" w:eastAsia="仿宋" w:cs="Times New Roman"/>
          <w:sz w:val="32"/>
        </w:rPr>
        <w:t>现状河道以行洪排涝功能为主，自然缓坡滩涂、沼泽浅滩等湿地典型生境占比不足，水生、湿生植物种类少，缺少挺水、浮水、沉水植物梯度配置</w:t>
      </w:r>
      <w:r>
        <w:rPr>
          <w:rFonts w:hint="eastAsia" w:ascii="Times New Roman" w:hAnsi="Times New Roman" w:eastAsia="仿宋" w:cs="Times New Roman"/>
          <w:sz w:val="32"/>
        </w:rPr>
        <w:t>。</w:t>
      </w:r>
    </w:p>
    <w:p w14:paraId="356EF667">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（3）规划内容</w:t>
      </w:r>
    </w:p>
    <w:p w14:paraId="7CEF8AC8">
      <w:pPr>
        <w:ind w:firstLine="640" w:firstLineChars="200"/>
        <w:rPr>
          <w:rFonts w:ascii="Times New Roman" w:hAnsi="Times New Roman" w:eastAsia="仿宋" w:cs="Times New Roman"/>
          <w:sz w:val="32"/>
        </w:rPr>
      </w:pPr>
      <w:r>
        <w:rPr>
          <w:rFonts w:ascii="Times New Roman" w:hAnsi="Times New Roman" w:eastAsia="仿宋" w:cs="Times New Roman"/>
          <w:sz w:val="32"/>
        </w:rPr>
        <w:t>精细优化竖向设计，将可调蓄水面划分为深浅交替的生态塘区、浅水沼泽区和深水区，形成多级湿地净化序列。在河道两侧新增生态蓄水洼地、雨水花园等节点，通过增设林下浅塘、生态溪沟、小微湿地节点，最大化湿地生态功能容积，在滨水区域补植芦苇、香蒲、黄菖蒲、千屈菜等本土净化型湿生植物，搭配多样化沉水植物，完善湿地复层植物群落</w:t>
      </w:r>
      <w:r>
        <w:rPr>
          <w:rFonts w:hint="eastAsia" w:ascii="Times New Roman" w:hAnsi="Times New Roman" w:eastAsia="仿宋" w:cs="Times New Roman"/>
          <w:sz w:val="32"/>
        </w:rPr>
        <w:t>，</w:t>
      </w:r>
      <w:r>
        <w:rPr>
          <w:rFonts w:ascii="Times New Roman" w:hAnsi="Times New Roman" w:eastAsia="仿宋" w:cs="Times New Roman"/>
          <w:sz w:val="32"/>
        </w:rPr>
        <w:t>形成兼具景观游憩与生态净化功能的复合型湿地系统。</w:t>
      </w:r>
    </w:p>
    <w:p w14:paraId="5DF26B0C">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（六）</w:t>
      </w:r>
      <w:r>
        <w:rPr>
          <w:rFonts w:ascii="Times New Roman" w:hAnsi="Times New Roman" w:eastAsia="仿宋" w:cs="Times New Roman"/>
          <w:b/>
          <w:bCs/>
          <w:sz w:val="32"/>
          <w:szCs w:val="32"/>
        </w:rPr>
        <w:t>东坝郊野公园归羽湿地</w:t>
      </w:r>
      <w:r>
        <w:rPr>
          <w:rFonts w:hint="eastAsia" w:ascii="Times New Roman" w:hAnsi="Times New Roman" w:eastAsia="仿宋" w:cs="Times New Roman"/>
          <w:b/>
          <w:bCs/>
          <w:sz w:val="32"/>
          <w:szCs w:val="32"/>
        </w:rPr>
        <w:t>建设项目</w:t>
      </w:r>
    </w:p>
    <w:p w14:paraId="38018D97">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w:t>
      </w:r>
      <w:r>
        <w:rPr>
          <w:rFonts w:ascii="Times New Roman" w:hAnsi="Times New Roman" w:eastAsia="仿宋" w:cs="Times New Roman"/>
          <w:sz w:val="32"/>
        </w:rPr>
        <w:t>1</w:t>
      </w:r>
      <w:r>
        <w:rPr>
          <w:rFonts w:hint="eastAsia" w:ascii="Times New Roman" w:hAnsi="Times New Roman" w:eastAsia="仿宋" w:cs="Times New Roman"/>
          <w:sz w:val="32"/>
        </w:rPr>
        <w:t>）规划范围</w:t>
      </w:r>
    </w:p>
    <w:p w14:paraId="2EA1B8B7">
      <w:pPr>
        <w:ind w:firstLine="640" w:firstLineChars="200"/>
        <w:rPr>
          <w:rFonts w:ascii="Times New Roman" w:hAnsi="Times New Roman" w:eastAsia="仿宋" w:cs="Times New Roman"/>
          <w:sz w:val="32"/>
        </w:rPr>
      </w:pPr>
      <w:r>
        <w:rPr>
          <w:rFonts w:ascii="Times New Roman" w:hAnsi="Times New Roman" w:eastAsia="仿宋" w:cs="Times New Roman"/>
          <w:sz w:val="32"/>
        </w:rPr>
        <w:t>归羽湿地为东坝郊野公园三期功能提升核心节点工程，坐落于朝阳区东坝乡东坝郊野公园内部，地处东五环外侧二道绿化隔离带，毗邻坝河下游生态廊道，向北衔接坝河口蓄滞洪区湿地，是朝阳区东北部湿地网络重要串联节点。</w:t>
      </w:r>
    </w:p>
    <w:p w14:paraId="0D381CAD">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（2）现状不足</w:t>
      </w:r>
    </w:p>
    <w:p w14:paraId="3CB0C44E">
      <w:pPr>
        <w:ind w:firstLine="640" w:firstLineChars="200"/>
        <w:rPr>
          <w:rFonts w:ascii="Times New Roman" w:hAnsi="Times New Roman" w:eastAsia="仿宋" w:cs="Times New Roman"/>
          <w:sz w:val="32"/>
        </w:rPr>
      </w:pPr>
      <w:r>
        <w:rPr>
          <w:rFonts w:ascii="Times New Roman" w:hAnsi="Times New Roman" w:eastAsia="仿宋" w:cs="Times New Roman"/>
          <w:sz w:val="32"/>
        </w:rPr>
        <w:t>园内现状分布零散湖面、低洼坑塘，具备湿地营建基础，但原有水域岸线人工化程度偏高、水深单一、水生植被结构简单，缺乏适宜水鸟稳定栖息的近自然生境</w:t>
      </w:r>
      <w:r>
        <w:rPr>
          <w:rFonts w:hint="eastAsia" w:ascii="Times New Roman" w:hAnsi="Times New Roman" w:eastAsia="仿宋" w:cs="Times New Roman"/>
          <w:sz w:val="32"/>
        </w:rPr>
        <w:t>。</w:t>
      </w:r>
    </w:p>
    <w:p w14:paraId="6467CBA9">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（3）规划内容</w:t>
      </w:r>
    </w:p>
    <w:p w14:paraId="7CFCFEBD">
      <w:pPr>
        <w:ind w:firstLine="640" w:firstLineChars="200"/>
        <w:rPr>
          <w:rFonts w:ascii="Times New Roman" w:hAnsi="Times New Roman" w:eastAsia="仿宋" w:cs="Times New Roman"/>
          <w:sz w:val="32"/>
        </w:rPr>
      </w:pPr>
      <w:r>
        <w:rPr>
          <w:rFonts w:ascii="Times New Roman" w:hAnsi="Times New Roman" w:eastAsia="仿宋" w:cs="Times New Roman"/>
          <w:sz w:val="32"/>
        </w:rPr>
        <w:t>优化现有水面竖向格局，适度调整水深分布，营造深水区、浅滩、季节性浅塘、小型生态岛多样化水域结构。破除统一规整岸型，塑造自然曲折水岸；局部打通塘沟，实现水体互通循环。依托地形设置小型溢流堰，维持湿地季节性水位波动，模拟自然湿地水文节律，满足不同类型水鸟觅食、停歇、筑巢需求。逐步替换局部硬质护坡，推广碎石滩、植被缓坡、木桩生态护岸，重建水陆生态交错带。在湿地外围远离核心栖息区设置集中观测点位，配套隐蔽式观鸟平台、科普解说系统、观景休憩设施；布设飞鸟主题景墙、科普栏杆、观测望远镜。</w:t>
      </w:r>
    </w:p>
    <w:p w14:paraId="10C58B87">
      <w:pPr>
        <w:keepNext/>
        <w:keepLines/>
        <w:spacing w:before="260" w:after="260" w:line="415" w:lineRule="auto"/>
        <w:outlineLvl w:val="1"/>
        <w:rPr>
          <w:rFonts w:ascii="Times New Roman" w:hAnsi="Times New Roman" w:eastAsia="仿宋" w:cs="Times New Roman"/>
          <w:b/>
          <w:bCs/>
          <w:sz w:val="32"/>
          <w:szCs w:val="32"/>
        </w:rPr>
      </w:pPr>
      <w:bookmarkStart w:id="107" w:name="_Toc240204681"/>
      <w:bookmarkStart w:id="108" w:name="_Toc30033"/>
      <w:bookmarkStart w:id="109" w:name="_Toc150720922"/>
      <w:bookmarkStart w:id="110" w:name="_Toc91078489"/>
      <w:r>
        <w:rPr>
          <w:rFonts w:hint="eastAsia" w:ascii="Times New Roman" w:hAnsi="Times New Roman" w:eastAsia="仿宋" w:cs="Times New Roman"/>
          <w:b/>
          <w:bCs/>
          <w:sz w:val="32"/>
          <w:szCs w:val="32"/>
        </w:rPr>
        <w:t>二、小微湿地修复项目</w:t>
      </w:r>
      <w:bookmarkEnd w:id="107"/>
      <w:bookmarkEnd w:id="108"/>
      <w:bookmarkEnd w:id="109"/>
      <w:bookmarkEnd w:id="110"/>
    </w:p>
    <w:p w14:paraId="05867F0E">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结合全区防汛</w:t>
      </w:r>
      <w:r>
        <w:rPr>
          <w:rFonts w:ascii="Times New Roman" w:hAnsi="Times New Roman" w:eastAsia="仿宋" w:cs="Times New Roman"/>
          <w:sz w:val="32"/>
        </w:rPr>
        <w:t>重点积滞水点位</w:t>
      </w:r>
      <w:r>
        <w:rPr>
          <w:rFonts w:hint="eastAsia" w:ascii="Times New Roman" w:hAnsi="Times New Roman" w:eastAsia="仿宋" w:cs="Times New Roman"/>
          <w:sz w:val="32"/>
        </w:rPr>
        <w:t>，</w:t>
      </w:r>
      <w:r>
        <w:rPr>
          <w:rFonts w:ascii="Times New Roman" w:hAnsi="Times New Roman" w:eastAsia="仿宋" w:cs="Times New Roman"/>
          <w:sz w:val="32"/>
        </w:rPr>
        <w:t>优先选择权属清晰、具备天然汇水条件、可衔接骨干水系、能够补齐生态网络断点的地块，</w:t>
      </w:r>
      <w:r>
        <w:rPr>
          <w:rFonts w:hint="eastAsia" w:ascii="Times New Roman" w:hAnsi="Times New Roman" w:eastAsia="仿宋" w:cs="Times New Roman"/>
          <w:sz w:val="32"/>
        </w:rPr>
        <w:t>如</w:t>
      </w:r>
      <w:r>
        <w:rPr>
          <w:rFonts w:ascii="Times New Roman" w:hAnsi="Times New Roman" w:eastAsia="仿宋" w:cs="Times New Roman"/>
          <w:sz w:val="32"/>
        </w:rPr>
        <w:t>腾退留白地块、公园闲置洼地、河道支沟/雨水排口上游、废弃坑塘；避开基本农田、高压走廊核心区、高密度硬化场地；兼顾水源条件、运维可行性、公众可达性</w:t>
      </w:r>
      <w:r>
        <w:rPr>
          <w:rFonts w:hint="eastAsia" w:ascii="Times New Roman" w:hAnsi="Times New Roman" w:eastAsia="仿宋" w:cs="Times New Roman"/>
          <w:sz w:val="32"/>
        </w:rPr>
        <w:t>营建小微湿地。</w:t>
      </w:r>
    </w:p>
    <w:p w14:paraId="16E6865B">
      <w:pPr>
        <w:pStyle w:val="2"/>
        <w:spacing w:line="279" w:lineRule="auto"/>
        <w:rPr>
          <w:rFonts w:hint="eastAsia"/>
        </w:rPr>
      </w:pPr>
      <w:r>
        <w:drawing>
          <wp:inline distT="0" distB="0" distL="0" distR="0">
            <wp:extent cx="5274310" cy="7458075"/>
            <wp:effectExtent l="0" t="0" r="2540" b="9525"/>
            <wp:docPr id="8032244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24423"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7458075"/>
                    </a:xfrm>
                    <a:prstGeom prst="rect">
                      <a:avLst/>
                    </a:prstGeom>
                    <a:noFill/>
                    <a:ln>
                      <a:noFill/>
                    </a:ln>
                  </pic:spPr>
                </pic:pic>
              </a:graphicData>
            </a:graphic>
          </wp:inline>
        </w:drawing>
      </w:r>
    </w:p>
    <w:p w14:paraId="072A2B69">
      <w:pPr>
        <w:spacing w:before="156" w:beforeLines="50" w:line="360" w:lineRule="auto"/>
        <w:jc w:val="center"/>
        <w:rPr>
          <w:rFonts w:hint="eastAsia" w:ascii="等线" w:hAnsi="等线" w:eastAsia="仿宋" w:cs="Times New Roman"/>
          <w:sz w:val="28"/>
          <w:szCs w:val="21"/>
        </w:rPr>
      </w:pPr>
      <w:r>
        <w:rPr>
          <w:rFonts w:hint="eastAsia" w:ascii="Times New Roman" w:hAnsi="Times New Roman" w:eastAsia="仿宋" w:cs="Times New Roman"/>
          <w:sz w:val="28"/>
          <w:szCs w:val="28"/>
        </w:rPr>
        <w:t>图</w:t>
      </w:r>
      <w:r>
        <w:rPr>
          <w:rFonts w:ascii="Times New Roman" w:hAnsi="Times New Roman" w:eastAsia="仿宋" w:cs="Times New Roman"/>
          <w:sz w:val="28"/>
          <w:szCs w:val="28"/>
        </w:rPr>
        <w:t>6.</w:t>
      </w:r>
      <w:r>
        <w:rPr>
          <w:rFonts w:hint="eastAsia" w:ascii="Times New Roman" w:hAnsi="Times New Roman" w:eastAsia="仿宋" w:cs="Times New Roman"/>
          <w:sz w:val="28"/>
          <w:szCs w:val="28"/>
        </w:rPr>
        <w:t>2</w:t>
      </w:r>
      <w:r>
        <w:rPr>
          <w:rFonts w:ascii="Times New Roman" w:hAnsi="Times New Roman" w:eastAsia="仿宋" w:cs="Times New Roman"/>
          <w:sz w:val="28"/>
          <w:szCs w:val="28"/>
        </w:rPr>
        <w:t xml:space="preserve"> </w:t>
      </w:r>
      <w:r>
        <w:rPr>
          <w:rFonts w:hint="eastAsia" w:ascii="Times New Roman" w:hAnsi="Times New Roman" w:eastAsia="仿宋" w:cs="Times New Roman"/>
          <w:sz w:val="28"/>
          <w:szCs w:val="28"/>
        </w:rPr>
        <w:t>小微湿地修复项目布局图</w:t>
      </w:r>
    </w:p>
    <w:p w14:paraId="6EB139F1">
      <w:pPr>
        <w:rPr>
          <w:rFonts w:hint="eastAsia"/>
        </w:rPr>
      </w:pPr>
    </w:p>
    <w:p w14:paraId="13C4FABB">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w:t>
      </w:r>
      <w:r>
        <w:rPr>
          <w:rFonts w:ascii="Times New Roman" w:hAnsi="Times New Roman" w:eastAsia="仿宋" w:cs="Times New Roman"/>
          <w:b/>
          <w:bCs/>
          <w:sz w:val="32"/>
          <w:szCs w:val="32"/>
        </w:rPr>
        <w:t>垡头街道</w:t>
      </w:r>
      <w:r>
        <w:rPr>
          <w:rFonts w:hint="eastAsia" w:ascii="Times New Roman" w:hAnsi="Times New Roman" w:eastAsia="仿宋" w:cs="Times New Roman"/>
          <w:b/>
          <w:bCs/>
          <w:sz w:val="32"/>
          <w:szCs w:val="32"/>
        </w:rPr>
        <w:t>雨水调蓄公园小微湿地</w:t>
      </w:r>
    </w:p>
    <w:p w14:paraId="2D8B33C4">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位置：</w:t>
      </w:r>
      <w:r>
        <w:rPr>
          <w:rFonts w:ascii="Times New Roman" w:hAnsi="Times New Roman" w:eastAsia="仿宋" w:cs="Times New Roman"/>
          <w:sz w:val="32"/>
        </w:rPr>
        <w:t>朝阳区王四营乡京沈路垡头桥南化工路东侧（近官庄村）</w:t>
      </w:r>
      <w:r>
        <w:rPr>
          <w:rFonts w:hint="eastAsia" w:ascii="Times New Roman" w:hAnsi="Times New Roman" w:eastAsia="仿宋" w:cs="Times New Roman"/>
          <w:sz w:val="32"/>
        </w:rPr>
        <w:t>。</w:t>
      </w:r>
    </w:p>
    <w:p w14:paraId="51547D19">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建设内容：</w:t>
      </w:r>
      <w:r>
        <w:rPr>
          <w:rFonts w:ascii="Times New Roman" w:hAnsi="Times New Roman" w:eastAsia="仿宋" w:cs="Times New Roman"/>
          <w:sz w:val="32"/>
        </w:rPr>
        <w:t>依托大柳树沟引水系统，在垡头街道现状易积水点位规划建设调蓄型小微湿地，利用现状坑塘洼地开展海绵型湿地改造，通过雨洪集蓄与生态补水相结合的方式，消纳区域涝水、净化初期雨水；同时依托东南郊清水干渠与大柳树沟贯通后的活水水源，打通局部水系，融入区域河湖连通格局</w:t>
      </w:r>
      <w:r>
        <w:rPr>
          <w:rFonts w:hint="eastAsia" w:ascii="Times New Roman" w:hAnsi="Times New Roman" w:eastAsia="仿宋" w:cs="Times New Roman"/>
          <w:sz w:val="32"/>
        </w:rPr>
        <w:t>，</w:t>
      </w:r>
      <w:r>
        <w:rPr>
          <w:rFonts w:ascii="Times New Roman" w:hAnsi="Times New Roman" w:eastAsia="仿宋" w:cs="Times New Roman"/>
          <w:sz w:val="32"/>
        </w:rPr>
        <w:t>兼顾防汛调蓄、水质净化、生态修复多重功能，将原有积水隐患点转化为城市生态节点</w:t>
      </w:r>
      <w:r>
        <w:rPr>
          <w:rFonts w:hint="eastAsia" w:ascii="Times New Roman" w:hAnsi="Times New Roman" w:eastAsia="仿宋" w:cs="Times New Roman"/>
          <w:sz w:val="32"/>
        </w:rPr>
        <w:t>，</w:t>
      </w:r>
      <w:r>
        <w:rPr>
          <w:rFonts w:ascii="Times New Roman" w:hAnsi="Times New Roman" w:eastAsia="仿宋" w:cs="Times New Roman"/>
          <w:sz w:val="32"/>
        </w:rPr>
        <w:t>打造蓝绿交织、开放共享的社区滨水生态休闲空间，提升南部城区湿地网络密度。</w:t>
      </w:r>
    </w:p>
    <w:p w14:paraId="68466B4C">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（二）分钟寺桥区雨水调蓄池小微湿地</w:t>
      </w:r>
    </w:p>
    <w:p w14:paraId="7A65CBB5">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位置：</w:t>
      </w:r>
      <w:r>
        <w:rPr>
          <w:rFonts w:ascii="Times New Roman" w:hAnsi="Times New Roman" w:eastAsia="仿宋" w:cs="Times New Roman"/>
          <w:sz w:val="32"/>
        </w:rPr>
        <w:t>朝阳区</w:t>
      </w:r>
      <w:r>
        <w:rPr>
          <w:rFonts w:hint="eastAsia" w:ascii="Times New Roman" w:hAnsi="Times New Roman" w:eastAsia="仿宋" w:cs="Times New Roman"/>
          <w:sz w:val="32"/>
        </w:rPr>
        <w:t>南三环与京沪高速交叉口分钟寺桥区，</w:t>
      </w:r>
      <w:r>
        <w:rPr>
          <w:rFonts w:ascii="Times New Roman" w:hAnsi="Times New Roman" w:eastAsia="仿宋" w:cs="Times New Roman"/>
          <w:sz w:val="32"/>
        </w:rPr>
        <w:t>是城市重点积滞水点位</w:t>
      </w:r>
      <w:r>
        <w:rPr>
          <w:rFonts w:hint="eastAsia" w:ascii="Times New Roman" w:hAnsi="Times New Roman" w:eastAsia="仿宋" w:cs="Times New Roman"/>
          <w:sz w:val="32"/>
        </w:rPr>
        <w:t>。</w:t>
      </w:r>
    </w:p>
    <w:p w14:paraId="4011D91E">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建设内容：</w:t>
      </w:r>
      <w:r>
        <w:rPr>
          <w:rFonts w:ascii="Times New Roman" w:hAnsi="Times New Roman" w:eastAsia="仿宋" w:cs="Times New Roman"/>
          <w:sz w:val="32"/>
        </w:rPr>
        <w:t>立足下凹桥区防汛安全需求，统筹雨洪削峰、初期雨水净化、生境营造多重功能，利用分钟寺桥西南角现状绿地</w:t>
      </w:r>
      <w:r>
        <w:rPr>
          <w:rFonts w:hint="eastAsia" w:ascii="Times New Roman" w:hAnsi="Times New Roman" w:eastAsia="仿宋" w:cs="Times New Roman"/>
          <w:sz w:val="32"/>
        </w:rPr>
        <w:t>与</w:t>
      </w:r>
      <w:r>
        <w:rPr>
          <w:rFonts w:ascii="Times New Roman" w:hAnsi="Times New Roman" w:eastAsia="仿宋" w:cs="Times New Roman"/>
          <w:sz w:val="32"/>
        </w:rPr>
        <w:t>留白增绿空间，依托桥区雨水调蓄设施，采用生态岸线、多级渗滤与乡土水生植物群落，打造表流小微湿地</w:t>
      </w:r>
      <w:r>
        <w:rPr>
          <w:rFonts w:hint="eastAsia" w:ascii="Times New Roman" w:hAnsi="Times New Roman" w:eastAsia="仿宋" w:cs="Times New Roman"/>
          <w:sz w:val="32"/>
        </w:rPr>
        <w:t>，</w:t>
      </w:r>
      <w:r>
        <w:rPr>
          <w:rFonts w:ascii="Times New Roman" w:hAnsi="Times New Roman" w:eastAsia="仿宋" w:cs="Times New Roman"/>
          <w:sz w:val="32"/>
        </w:rPr>
        <w:t>削减分钟寺桥区雨水洪峰，对桥区径流实施生态净化，促进雨水资源化循环利用。同步整合桥区附属绿地空间，打造蓝绿交织的滨水小微生态节点，配套简易生态游憩空间，化解分钟寺桥汛期积水风险，完善南部片区小微湿地网络，提升城市雨洪韧性与生物多样性。</w:t>
      </w:r>
    </w:p>
    <w:p w14:paraId="424AD615">
      <w:pPr>
        <w:keepNext/>
        <w:keepLines/>
        <w:spacing w:before="260" w:after="260" w:line="415" w:lineRule="auto"/>
        <w:outlineLvl w:val="1"/>
        <w:rPr>
          <w:rFonts w:ascii="Times New Roman" w:hAnsi="Times New Roman" w:eastAsia="仿宋" w:cs="Times New Roman"/>
          <w:b/>
          <w:bCs/>
          <w:sz w:val="32"/>
          <w:szCs w:val="32"/>
        </w:rPr>
      </w:pPr>
      <w:bookmarkStart w:id="111" w:name="_Toc25844"/>
      <w:bookmarkStart w:id="112" w:name="_Toc240204682"/>
      <w:bookmarkStart w:id="113" w:name="_Toc150720923"/>
      <w:r>
        <w:rPr>
          <w:rFonts w:hint="eastAsia" w:ascii="Times New Roman" w:hAnsi="Times New Roman" w:eastAsia="仿宋" w:cs="Times New Roman"/>
          <w:b/>
          <w:bCs/>
          <w:sz w:val="32"/>
          <w:szCs w:val="32"/>
        </w:rPr>
        <w:t>三、湿地监测与科普宣教能力提升项目</w:t>
      </w:r>
      <w:bookmarkEnd w:id="111"/>
      <w:bookmarkEnd w:id="112"/>
      <w:bookmarkEnd w:id="113"/>
    </w:p>
    <w:p w14:paraId="4C03C2DD">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（一）湿地智慧监测数据平台项目</w:t>
      </w:r>
    </w:p>
    <w:p w14:paraId="47576CF4">
      <w:pPr>
        <w:ind w:firstLine="640" w:firstLineChars="200"/>
        <w:rPr>
          <w:rFonts w:ascii="Times New Roman" w:hAnsi="Times New Roman" w:eastAsia="仿宋" w:cs="Times New Roman"/>
          <w:sz w:val="32"/>
        </w:rPr>
      </w:pPr>
      <w:r>
        <w:rPr>
          <w:rFonts w:ascii="Times New Roman" w:hAnsi="Times New Roman" w:eastAsia="仿宋" w:cs="Times New Roman"/>
          <w:sz w:val="32"/>
        </w:rPr>
        <w:t>搭建朝阳区湿地智慧监测数据平台，整合园林绿化、水务、生态环境现有监测资源。平台集成湿地空间台账、水质监测、鸟类观测、植被调查、生境影像、修复工程档案六大模块；接入各湿地自动站点实时数据，实现数据存储、趋势分析、生态健康评估、预警推送、报表自动生成功能；优先布局候鸟集中栖息湿地、再生水补给湿地、河湖前置缓冲湿地</w:t>
      </w:r>
      <w:r>
        <w:rPr>
          <w:rFonts w:hint="eastAsia" w:ascii="Times New Roman" w:hAnsi="Times New Roman" w:eastAsia="仿宋" w:cs="Times New Roman"/>
          <w:sz w:val="32"/>
        </w:rPr>
        <w:t>，</w:t>
      </w:r>
      <w:r>
        <w:rPr>
          <w:rFonts w:ascii="Times New Roman" w:hAnsi="Times New Roman" w:eastAsia="仿宋" w:cs="Times New Roman"/>
          <w:sz w:val="32"/>
        </w:rPr>
        <w:t>重点栖息地增设红外相机、鸟类声纹采集设备，开展水鸟自动观测记录</w:t>
      </w:r>
      <w:r>
        <w:rPr>
          <w:rFonts w:hint="eastAsia" w:ascii="Times New Roman" w:hAnsi="Times New Roman" w:eastAsia="仿宋" w:cs="Times New Roman"/>
          <w:sz w:val="32"/>
        </w:rPr>
        <w:t>；</w:t>
      </w:r>
      <w:r>
        <w:rPr>
          <w:rFonts w:ascii="Times New Roman" w:hAnsi="Times New Roman" w:eastAsia="仿宋" w:cs="Times New Roman"/>
          <w:sz w:val="32"/>
        </w:rPr>
        <w:t>同步对接区级生物多样性数字化系统，形成统一湿地资源数据库。建立定期数据</w:t>
      </w:r>
      <w:r>
        <w:rPr>
          <w:rFonts w:hint="eastAsia" w:ascii="Times New Roman" w:hAnsi="Times New Roman" w:eastAsia="仿宋" w:cs="Times New Roman"/>
          <w:sz w:val="32"/>
        </w:rPr>
        <w:t>审查制度</w:t>
      </w:r>
      <w:r>
        <w:rPr>
          <w:rFonts w:ascii="Times New Roman" w:hAnsi="Times New Roman" w:eastAsia="仿宋" w:cs="Times New Roman"/>
          <w:sz w:val="32"/>
        </w:rPr>
        <w:t>，支撑湿地抚育、水位调度、污染防控等管理决策。</w:t>
      </w:r>
    </w:p>
    <w:p w14:paraId="7FFBB037">
      <w:pPr>
        <w:keepNext/>
        <w:keepLines/>
        <w:spacing w:before="240" w:after="240"/>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（二）湿地科普宣教能力提升项目</w:t>
      </w:r>
    </w:p>
    <w:p w14:paraId="75A43D8A">
      <w:pPr>
        <w:ind w:firstLine="640" w:firstLineChars="200"/>
        <w:rPr>
          <w:rFonts w:ascii="Times New Roman" w:hAnsi="Times New Roman" w:eastAsia="仿宋" w:cs="Times New Roman"/>
          <w:sz w:val="32"/>
        </w:rPr>
      </w:pPr>
      <w:r>
        <w:rPr>
          <w:rFonts w:ascii="Times New Roman" w:hAnsi="Times New Roman" w:eastAsia="仿宋" w:cs="Times New Roman"/>
          <w:sz w:val="32"/>
        </w:rPr>
        <w:t>依托温榆河公园现有空间打造朝阳区湿地科普中心，设置湿地生态沙盘、多媒体展厅、湿地物种标本展区、研学教室，集中展示朝阳区全域湿地格局、典型湿地修复案例、湿地鸟类与本土水生植物资源；配套科普图书室、观测器材共享空间，作为区级研学统筹枢纽。围绕候鸟迁徙主题，布设隐蔽观鸟平台、迁徙廊道科普解说</w:t>
      </w:r>
      <w:r>
        <w:rPr>
          <w:rFonts w:hint="eastAsia" w:ascii="Times New Roman" w:hAnsi="Times New Roman" w:eastAsia="仿宋" w:cs="Times New Roman"/>
          <w:sz w:val="32"/>
        </w:rPr>
        <w:t>，</w:t>
      </w:r>
      <w:r>
        <w:rPr>
          <w:rFonts w:ascii="Times New Roman" w:hAnsi="Times New Roman" w:eastAsia="仿宋" w:cs="Times New Roman"/>
          <w:sz w:val="32"/>
        </w:rPr>
        <w:t>统一更新科普标识、解说牌，优化内容，突出近自然修复理念、本土物种保护、人鸟和谐共处理念。</w:t>
      </w:r>
    </w:p>
    <w:p w14:paraId="7634052B">
      <w:pPr>
        <w:ind w:firstLine="640" w:firstLineChars="200"/>
        <w:rPr>
          <w:rFonts w:ascii="Times New Roman" w:hAnsi="Times New Roman" w:eastAsia="仿宋" w:cs="Times New Roman"/>
          <w:sz w:val="32"/>
        </w:rPr>
        <w:sectPr>
          <w:pgSz w:w="11906" w:h="16838"/>
          <w:pgMar w:top="1440" w:right="1800" w:bottom="1440" w:left="1800" w:header="851" w:footer="992" w:gutter="0"/>
          <w:cols w:space="425" w:num="1"/>
          <w:docGrid w:type="lines" w:linePitch="312" w:charSpace="0"/>
        </w:sectPr>
      </w:pPr>
    </w:p>
    <w:p w14:paraId="1E98C74B">
      <w:pPr>
        <w:keepNext/>
        <w:keepLines/>
        <w:spacing w:before="340" w:after="330" w:line="578" w:lineRule="auto"/>
        <w:jc w:val="center"/>
        <w:outlineLvl w:val="0"/>
        <w:rPr>
          <w:rFonts w:ascii="Times New Roman" w:hAnsi="Times New Roman" w:eastAsia="仿宋" w:cs="Times New Roman"/>
          <w:b/>
          <w:bCs/>
          <w:kern w:val="44"/>
          <w:sz w:val="36"/>
          <w:szCs w:val="36"/>
        </w:rPr>
      </w:pPr>
      <w:bookmarkStart w:id="114" w:name="_Toc48773869"/>
      <w:bookmarkStart w:id="115" w:name="_Toc150720925"/>
      <w:bookmarkStart w:id="116" w:name="_Toc15988"/>
      <w:bookmarkStart w:id="117" w:name="_Toc91078492"/>
      <w:bookmarkStart w:id="118" w:name="_Toc240204683"/>
      <w:r>
        <w:rPr>
          <w:rFonts w:ascii="Times New Roman" w:hAnsi="Times New Roman" w:eastAsia="仿宋" w:cs="Times New Roman"/>
          <w:b/>
          <w:bCs/>
          <w:kern w:val="44"/>
          <w:sz w:val="36"/>
          <w:szCs w:val="36"/>
        </w:rPr>
        <w:t>第七章 投资</w:t>
      </w:r>
      <w:bookmarkEnd w:id="114"/>
      <w:r>
        <w:rPr>
          <w:rFonts w:ascii="Times New Roman" w:hAnsi="Times New Roman" w:eastAsia="仿宋" w:cs="Times New Roman"/>
          <w:b/>
          <w:bCs/>
          <w:kern w:val="44"/>
          <w:sz w:val="36"/>
          <w:szCs w:val="36"/>
        </w:rPr>
        <w:t>估算</w:t>
      </w:r>
      <w:bookmarkEnd w:id="115"/>
      <w:bookmarkEnd w:id="116"/>
      <w:bookmarkEnd w:id="117"/>
      <w:bookmarkEnd w:id="118"/>
      <w:bookmarkStart w:id="119" w:name="_Hlk85999638"/>
    </w:p>
    <w:bookmarkEnd w:id="119"/>
    <w:p w14:paraId="66224742">
      <w:pPr>
        <w:keepNext/>
        <w:keepLines/>
        <w:spacing w:before="260" w:after="260" w:line="416" w:lineRule="auto"/>
        <w:outlineLvl w:val="1"/>
        <w:rPr>
          <w:rFonts w:ascii="Times New Roman" w:hAnsi="Times New Roman" w:eastAsia="仿宋" w:cs="Times New Roman"/>
          <w:b/>
          <w:bCs/>
          <w:sz w:val="32"/>
          <w:szCs w:val="32"/>
        </w:rPr>
      </w:pPr>
      <w:bookmarkStart w:id="120" w:name="_Toc91078493"/>
      <w:bookmarkStart w:id="121" w:name="_Toc12012"/>
      <w:bookmarkStart w:id="122" w:name="_Toc150720926"/>
      <w:bookmarkStart w:id="123" w:name="_Toc240204684"/>
      <w:bookmarkStart w:id="124" w:name="_Toc265142760"/>
      <w:bookmarkStart w:id="125" w:name="_Toc378509249"/>
      <w:bookmarkStart w:id="126" w:name="_Toc22158430"/>
      <w:bookmarkStart w:id="127" w:name="_Toc265239551"/>
      <w:bookmarkStart w:id="128" w:name="_Toc447094299"/>
      <w:bookmarkStart w:id="129" w:name="_Toc48773870"/>
      <w:bookmarkStart w:id="130" w:name="_Toc270406965"/>
      <w:bookmarkStart w:id="131" w:name="_Toc22158475"/>
      <w:bookmarkStart w:id="132" w:name="_Toc270407098"/>
      <w:bookmarkStart w:id="133" w:name="_Toc20202995"/>
      <w:r>
        <w:rPr>
          <w:rFonts w:ascii="Times New Roman" w:hAnsi="Times New Roman" w:eastAsia="仿宋" w:cs="Times New Roman"/>
          <w:b/>
          <w:bCs/>
          <w:sz w:val="32"/>
          <w:szCs w:val="32"/>
        </w:rPr>
        <w:t>一、估算标准和依据</w:t>
      </w:r>
      <w:bookmarkEnd w:id="120"/>
      <w:bookmarkEnd w:id="121"/>
      <w:bookmarkEnd w:id="122"/>
      <w:bookmarkEnd w:id="123"/>
    </w:p>
    <w:p w14:paraId="4C14A5F6">
      <w:pPr>
        <w:ind w:firstLine="640" w:firstLineChars="200"/>
        <w:rPr>
          <w:rFonts w:ascii="Times New Roman" w:hAnsi="Times New Roman" w:eastAsia="仿宋" w:cs="Times New Roman"/>
          <w:sz w:val="32"/>
        </w:rPr>
      </w:pPr>
      <w:r>
        <w:rPr>
          <w:rFonts w:ascii="Times New Roman" w:hAnsi="Times New Roman" w:eastAsia="仿宋" w:cs="Times New Roman"/>
          <w:sz w:val="32"/>
        </w:rPr>
        <w:t>投资估算按单项工程造价指标编制。所涉及工程的建设标准主要依据《湿地保护工程项目建设标准》（建标 196—2018）和《市级湿地公园建设规范》（DB11/T 768—2024）等，经费计算依据为《建筑安装工程费用项目组成》（建标〔2013〕44号）和《北京市建设工程计价依据—预算定额》（京建发〔2012〕538号）等有关规定并参考现行市场价格（表7-1）。</w:t>
      </w:r>
    </w:p>
    <w:p w14:paraId="4F2FB94A">
      <w:pPr>
        <w:spacing w:line="360" w:lineRule="auto"/>
        <w:jc w:val="center"/>
        <w:rPr>
          <w:rFonts w:ascii="Times New Roman" w:hAnsi="Times New Roman" w:eastAsia="仿宋" w:cs="Times New Roman"/>
          <w:sz w:val="28"/>
          <w:szCs w:val="21"/>
        </w:rPr>
      </w:pPr>
      <w:r>
        <w:rPr>
          <w:rFonts w:ascii="Times New Roman" w:hAnsi="Times New Roman" w:eastAsia="仿宋" w:cs="Times New Roman"/>
          <w:sz w:val="28"/>
          <w:szCs w:val="21"/>
        </w:rPr>
        <w:t>表7-1 项目投资参考标准</w:t>
      </w:r>
    </w:p>
    <w:tbl>
      <w:tblPr>
        <w:tblStyle w:val="2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61"/>
        <w:gridCol w:w="3964"/>
        <w:gridCol w:w="3171"/>
      </w:tblGrid>
      <w:tr w14:paraId="734C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blHeader/>
          <w:jc w:val="center"/>
        </w:trPr>
        <w:tc>
          <w:tcPr>
            <w:tcW w:w="1161" w:type="dxa"/>
            <w:vMerge w:val="restart"/>
            <w:vAlign w:val="center"/>
          </w:tcPr>
          <w:p w14:paraId="74E42D70">
            <w:pPr>
              <w:widowControl/>
              <w:snapToGrid w:val="0"/>
              <w:jc w:val="center"/>
              <w:rPr>
                <w:rFonts w:ascii="Times New Roman" w:hAnsi="Times New Roman" w:eastAsia="仿宋" w:cs="Times New Roman"/>
                <w:b/>
                <w:bCs/>
                <w:kern w:val="0"/>
                <w:sz w:val="24"/>
              </w:rPr>
            </w:pPr>
            <w:r>
              <w:rPr>
                <w:rFonts w:ascii="Times New Roman" w:hAnsi="Times New Roman" w:eastAsia="仿宋" w:cs="Times New Roman"/>
                <w:b/>
                <w:bCs/>
                <w:kern w:val="0"/>
                <w:sz w:val="24"/>
              </w:rPr>
              <w:t>序号</w:t>
            </w:r>
          </w:p>
        </w:tc>
        <w:tc>
          <w:tcPr>
            <w:tcW w:w="3964" w:type="dxa"/>
            <w:vMerge w:val="restart"/>
            <w:vAlign w:val="center"/>
          </w:tcPr>
          <w:p w14:paraId="70B00E8E">
            <w:pPr>
              <w:widowControl/>
              <w:snapToGrid w:val="0"/>
              <w:jc w:val="center"/>
              <w:rPr>
                <w:rFonts w:ascii="Times New Roman" w:hAnsi="Times New Roman" w:eastAsia="仿宋" w:cs="Times New Roman"/>
                <w:b/>
                <w:bCs/>
                <w:kern w:val="0"/>
                <w:sz w:val="24"/>
              </w:rPr>
            </w:pPr>
            <w:r>
              <w:rPr>
                <w:rFonts w:ascii="Times New Roman" w:hAnsi="Times New Roman" w:eastAsia="仿宋" w:cs="Times New Roman"/>
                <w:b/>
                <w:bCs/>
                <w:kern w:val="0"/>
                <w:sz w:val="24"/>
              </w:rPr>
              <w:t>分类</w:t>
            </w:r>
          </w:p>
        </w:tc>
        <w:tc>
          <w:tcPr>
            <w:tcW w:w="3171" w:type="dxa"/>
            <w:vAlign w:val="center"/>
          </w:tcPr>
          <w:p w14:paraId="2D2B5AF1">
            <w:pPr>
              <w:widowControl/>
              <w:snapToGrid w:val="0"/>
              <w:jc w:val="center"/>
              <w:rPr>
                <w:rFonts w:ascii="Times New Roman" w:hAnsi="Times New Roman" w:eastAsia="仿宋" w:cs="Times New Roman"/>
                <w:b/>
                <w:bCs/>
                <w:kern w:val="0"/>
                <w:sz w:val="24"/>
              </w:rPr>
            </w:pPr>
            <w:r>
              <w:rPr>
                <w:rFonts w:ascii="Times New Roman" w:hAnsi="Times New Roman" w:eastAsia="仿宋" w:cs="Times New Roman"/>
                <w:b/>
                <w:bCs/>
                <w:kern w:val="0"/>
                <w:sz w:val="24"/>
              </w:rPr>
              <w:t>单价</w:t>
            </w:r>
          </w:p>
        </w:tc>
      </w:tr>
      <w:tr w14:paraId="5821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blHeader/>
          <w:jc w:val="center"/>
        </w:trPr>
        <w:tc>
          <w:tcPr>
            <w:tcW w:w="1161" w:type="dxa"/>
            <w:vMerge w:val="continue"/>
            <w:vAlign w:val="center"/>
          </w:tcPr>
          <w:p w14:paraId="5E647A80">
            <w:pPr>
              <w:widowControl/>
              <w:snapToGrid w:val="0"/>
              <w:jc w:val="center"/>
              <w:rPr>
                <w:rFonts w:ascii="Times New Roman" w:hAnsi="Times New Roman" w:eastAsia="仿宋" w:cs="Times New Roman"/>
                <w:b/>
                <w:bCs/>
                <w:kern w:val="0"/>
                <w:sz w:val="24"/>
              </w:rPr>
            </w:pPr>
          </w:p>
        </w:tc>
        <w:tc>
          <w:tcPr>
            <w:tcW w:w="3964" w:type="dxa"/>
            <w:vMerge w:val="continue"/>
            <w:vAlign w:val="center"/>
          </w:tcPr>
          <w:p w14:paraId="4FBC62BB">
            <w:pPr>
              <w:widowControl/>
              <w:snapToGrid w:val="0"/>
              <w:jc w:val="center"/>
              <w:rPr>
                <w:rFonts w:ascii="Times New Roman" w:hAnsi="Times New Roman" w:eastAsia="仿宋" w:cs="Times New Roman"/>
                <w:b/>
                <w:bCs/>
                <w:kern w:val="0"/>
                <w:sz w:val="24"/>
              </w:rPr>
            </w:pPr>
          </w:p>
        </w:tc>
        <w:tc>
          <w:tcPr>
            <w:tcW w:w="3171" w:type="dxa"/>
            <w:vAlign w:val="center"/>
          </w:tcPr>
          <w:p w14:paraId="09247ECC">
            <w:pPr>
              <w:widowControl/>
              <w:snapToGrid w:val="0"/>
              <w:jc w:val="center"/>
              <w:rPr>
                <w:rFonts w:ascii="Times New Roman" w:hAnsi="Times New Roman" w:eastAsia="仿宋" w:cs="Times New Roman"/>
                <w:b/>
                <w:bCs/>
                <w:kern w:val="0"/>
                <w:sz w:val="24"/>
              </w:rPr>
            </w:pPr>
            <w:r>
              <w:rPr>
                <w:rFonts w:ascii="Times New Roman" w:hAnsi="Times New Roman" w:eastAsia="仿宋" w:cs="Times New Roman"/>
                <w:b/>
                <w:bCs/>
                <w:kern w:val="0"/>
                <w:sz w:val="24"/>
              </w:rPr>
              <w:t>（万元/公顷）</w:t>
            </w:r>
          </w:p>
        </w:tc>
      </w:tr>
      <w:tr w14:paraId="1AE5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61" w:type="dxa"/>
            <w:vAlign w:val="center"/>
          </w:tcPr>
          <w:p w14:paraId="06870E03">
            <w:pPr>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1</w:t>
            </w:r>
          </w:p>
        </w:tc>
        <w:tc>
          <w:tcPr>
            <w:tcW w:w="3964" w:type="dxa"/>
            <w:tcBorders>
              <w:bottom w:val="single" w:color="auto" w:sz="4" w:space="0"/>
            </w:tcBorders>
            <w:vAlign w:val="center"/>
          </w:tcPr>
          <w:p w14:paraId="06314A0E">
            <w:pPr>
              <w:widowControl/>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湿地恢复项目</w:t>
            </w:r>
          </w:p>
        </w:tc>
        <w:tc>
          <w:tcPr>
            <w:tcW w:w="3171" w:type="dxa"/>
            <w:tcBorders>
              <w:bottom w:val="single" w:color="auto" w:sz="4" w:space="0"/>
            </w:tcBorders>
            <w:vAlign w:val="center"/>
          </w:tcPr>
          <w:p w14:paraId="2BF2C112">
            <w:pPr>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60</w:t>
            </w:r>
          </w:p>
        </w:tc>
      </w:tr>
      <w:tr w14:paraId="55C6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61" w:type="dxa"/>
            <w:vAlign w:val="center"/>
          </w:tcPr>
          <w:p w14:paraId="75A016ED">
            <w:pPr>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2</w:t>
            </w:r>
          </w:p>
        </w:tc>
        <w:tc>
          <w:tcPr>
            <w:tcW w:w="3964" w:type="dxa"/>
            <w:tcBorders>
              <w:bottom w:val="single" w:color="auto" w:sz="4" w:space="0"/>
            </w:tcBorders>
            <w:vAlign w:val="center"/>
          </w:tcPr>
          <w:p w14:paraId="199C8680">
            <w:pPr>
              <w:widowControl/>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湿地公园项目</w:t>
            </w:r>
          </w:p>
        </w:tc>
        <w:tc>
          <w:tcPr>
            <w:tcW w:w="3171" w:type="dxa"/>
            <w:tcBorders>
              <w:bottom w:val="single" w:color="auto" w:sz="4" w:space="0"/>
            </w:tcBorders>
            <w:vAlign w:val="center"/>
          </w:tcPr>
          <w:p w14:paraId="24E08E7B">
            <w:pPr>
              <w:widowControl/>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150</w:t>
            </w:r>
          </w:p>
        </w:tc>
      </w:tr>
      <w:tr w14:paraId="18EB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61" w:type="dxa"/>
            <w:tcBorders>
              <w:bottom w:val="single" w:color="auto" w:sz="4" w:space="0"/>
            </w:tcBorders>
            <w:vAlign w:val="center"/>
          </w:tcPr>
          <w:p w14:paraId="4476E45A">
            <w:pPr>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3</w:t>
            </w:r>
          </w:p>
        </w:tc>
        <w:tc>
          <w:tcPr>
            <w:tcW w:w="3964" w:type="dxa"/>
            <w:vAlign w:val="center"/>
          </w:tcPr>
          <w:p w14:paraId="2023176E">
            <w:pPr>
              <w:widowControl/>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小微湿地修复项目</w:t>
            </w:r>
          </w:p>
        </w:tc>
        <w:tc>
          <w:tcPr>
            <w:tcW w:w="3171" w:type="dxa"/>
            <w:vAlign w:val="center"/>
          </w:tcPr>
          <w:p w14:paraId="7D469C6B">
            <w:pPr>
              <w:widowControl/>
              <w:snapToGrid w:val="0"/>
              <w:spacing w:after="0" w:line="279" w:lineRule="auto"/>
              <w:jc w:val="center"/>
              <w:rPr>
                <w:rFonts w:ascii="Times New Roman" w:hAnsi="Times New Roman" w:eastAsia="仿宋" w:cs="Times New Roman"/>
                <w:kern w:val="0"/>
                <w:sz w:val="24"/>
              </w:rPr>
            </w:pPr>
            <w:r>
              <w:rPr>
                <w:rFonts w:ascii="Times New Roman" w:hAnsi="Times New Roman" w:eastAsia="仿宋" w:cs="Times New Roman"/>
                <w:kern w:val="0"/>
                <w:sz w:val="24"/>
              </w:rPr>
              <w:t>90</w:t>
            </w:r>
          </w:p>
        </w:tc>
      </w:tr>
      <w:bookmarkEnd w:id="124"/>
      <w:bookmarkEnd w:id="125"/>
      <w:bookmarkEnd w:id="126"/>
      <w:bookmarkEnd w:id="127"/>
      <w:bookmarkEnd w:id="128"/>
      <w:bookmarkEnd w:id="129"/>
      <w:bookmarkEnd w:id="130"/>
      <w:bookmarkEnd w:id="131"/>
      <w:bookmarkEnd w:id="132"/>
      <w:bookmarkEnd w:id="133"/>
    </w:tbl>
    <w:p w14:paraId="21FF34B9">
      <w:pPr>
        <w:keepNext/>
        <w:keepLines/>
        <w:spacing w:before="260" w:after="260" w:line="416" w:lineRule="auto"/>
        <w:outlineLvl w:val="1"/>
        <w:rPr>
          <w:rFonts w:ascii="Times New Roman" w:hAnsi="Times New Roman" w:eastAsia="仿宋" w:cs="Times New Roman"/>
          <w:b/>
          <w:bCs/>
          <w:sz w:val="32"/>
          <w:szCs w:val="32"/>
        </w:rPr>
      </w:pPr>
      <w:bookmarkStart w:id="134" w:name="_Toc17419"/>
      <w:bookmarkStart w:id="135" w:name="_Toc150720927"/>
      <w:bookmarkStart w:id="136" w:name="_Toc240204685"/>
      <w:r>
        <w:rPr>
          <w:rFonts w:ascii="Times New Roman" w:hAnsi="Times New Roman" w:eastAsia="仿宋" w:cs="Times New Roman"/>
          <w:b/>
          <w:bCs/>
          <w:sz w:val="32"/>
          <w:szCs w:val="32"/>
        </w:rPr>
        <w:t>二、资金渠道</w:t>
      </w:r>
      <w:bookmarkEnd w:id="134"/>
      <w:bookmarkEnd w:id="135"/>
      <w:bookmarkEnd w:id="136"/>
    </w:p>
    <w:p w14:paraId="01ED2B62">
      <w:pPr>
        <w:ind w:firstLine="640" w:firstLineChars="200"/>
        <w:rPr>
          <w:rFonts w:ascii="Times New Roman" w:hAnsi="Times New Roman" w:eastAsia="仿宋" w:cs="Times New Roman"/>
          <w:sz w:val="32"/>
        </w:rPr>
      </w:pPr>
      <w:r>
        <w:rPr>
          <w:rFonts w:ascii="Times New Roman" w:hAnsi="Times New Roman" w:eastAsia="仿宋" w:cs="Times New Roman"/>
          <w:sz w:val="32"/>
        </w:rPr>
        <w:t>《北京市湿地保护条例》（2019年修正）明确规定，湿地保护属于生态公益事业，市、区人民政府须将其纳入国民经济和社会发展规划，并保障相关建设管理资金需求，列入同级财政预算。为此，应紧密结合区域重点项目，科学谋划湿地保护修复各类专项申报，积极争取中央、市、区三级财政资金支持。</w:t>
      </w:r>
    </w:p>
    <w:p w14:paraId="02A5FF3C">
      <w:pPr>
        <w:ind w:firstLine="640" w:firstLineChars="200"/>
        <w:rPr>
          <w:rFonts w:ascii="Times New Roman" w:hAnsi="Times New Roman" w:eastAsia="仿宋" w:cs="Times New Roman"/>
          <w:sz w:val="32"/>
        </w:rPr>
      </w:pPr>
      <w:r>
        <w:rPr>
          <w:rFonts w:ascii="Times New Roman" w:hAnsi="Times New Roman" w:eastAsia="仿宋" w:cs="Times New Roman"/>
          <w:sz w:val="32"/>
        </w:rPr>
        <w:t>同时，在强化政府投入的基础上，需统筹考虑湿地项目投融资机制，充分发挥市场在资源配置中的决定性作用，构建多元化、可持续的资金保障体系。依据《国务院办公厅关于鼓励和支持社会资本参与生态保护修复的意见》（国办发〔2021〕40号），应积极引导社会资本参与湿地保护修复的项目投资、规划设计、施工建设及后期管护等全过程，鼓励其围绕生态保护修复开展生态产品开发、产业导入、技术创新及全生命周期运营管护，形成政府主导、市场运作、社会参与的共治共享格局。</w:t>
      </w:r>
    </w:p>
    <w:p w14:paraId="13EBB8A5">
      <w:pPr>
        <w:rPr>
          <w:rFonts w:hint="eastAsia"/>
        </w:rPr>
      </w:pPr>
    </w:p>
    <w:p w14:paraId="25347AF0">
      <w:pPr>
        <w:ind w:firstLine="640" w:firstLineChars="200"/>
        <w:rPr>
          <w:rFonts w:ascii="Times New Roman" w:hAnsi="Times New Roman" w:eastAsia="仿宋" w:cs="Times New Roman"/>
          <w:sz w:val="32"/>
        </w:rPr>
        <w:sectPr>
          <w:pgSz w:w="11906" w:h="16838"/>
          <w:pgMar w:top="1440" w:right="1800" w:bottom="1440" w:left="1800" w:header="851" w:footer="992" w:gutter="0"/>
          <w:cols w:space="425" w:num="1"/>
          <w:docGrid w:type="lines" w:linePitch="312" w:charSpace="0"/>
        </w:sectPr>
      </w:pPr>
    </w:p>
    <w:p w14:paraId="3A33C48A">
      <w:pPr>
        <w:keepNext/>
        <w:keepLines/>
        <w:spacing w:before="340" w:after="330" w:line="578" w:lineRule="auto"/>
        <w:jc w:val="center"/>
        <w:outlineLvl w:val="0"/>
        <w:rPr>
          <w:rFonts w:ascii="Times New Roman" w:hAnsi="Times New Roman" w:eastAsia="仿宋" w:cs="Times New Roman"/>
          <w:b/>
          <w:bCs/>
          <w:kern w:val="44"/>
          <w:sz w:val="36"/>
          <w:szCs w:val="36"/>
        </w:rPr>
      </w:pPr>
      <w:bookmarkStart w:id="137" w:name="_Toc240204686"/>
      <w:bookmarkStart w:id="138" w:name="_Toc150720928"/>
      <w:bookmarkStart w:id="139" w:name="_Toc91078495"/>
      <w:bookmarkStart w:id="140" w:name="_Toc30923"/>
      <w:r>
        <w:rPr>
          <w:rFonts w:ascii="Times New Roman" w:hAnsi="Times New Roman" w:eastAsia="仿宋" w:cs="Times New Roman"/>
          <w:b/>
          <w:bCs/>
          <w:kern w:val="44"/>
          <w:sz w:val="36"/>
          <w:szCs w:val="36"/>
        </w:rPr>
        <w:t>第八章 效益分析</w:t>
      </w:r>
      <w:bookmarkEnd w:id="137"/>
      <w:bookmarkEnd w:id="138"/>
      <w:bookmarkEnd w:id="139"/>
      <w:bookmarkEnd w:id="140"/>
      <w:bookmarkStart w:id="141" w:name="_Hlk85999667"/>
    </w:p>
    <w:bookmarkEnd w:id="141"/>
    <w:p w14:paraId="6F07AC76">
      <w:pPr>
        <w:keepNext/>
        <w:keepLines/>
        <w:spacing w:before="260" w:after="260" w:line="416" w:lineRule="auto"/>
        <w:outlineLvl w:val="1"/>
        <w:rPr>
          <w:rFonts w:ascii="Times New Roman" w:hAnsi="Times New Roman" w:eastAsia="仿宋" w:cs="Times New Roman"/>
          <w:b/>
          <w:bCs/>
          <w:sz w:val="32"/>
          <w:szCs w:val="32"/>
        </w:rPr>
      </w:pPr>
      <w:bookmarkStart w:id="142" w:name="_Toc18210"/>
      <w:bookmarkStart w:id="143" w:name="_Toc91078496"/>
      <w:bookmarkStart w:id="144" w:name="_Toc150720929"/>
      <w:bookmarkStart w:id="145" w:name="_Toc240204687"/>
      <w:r>
        <w:rPr>
          <w:rFonts w:ascii="Times New Roman" w:hAnsi="Times New Roman" w:eastAsia="仿宋" w:cs="Times New Roman"/>
          <w:b/>
          <w:bCs/>
          <w:sz w:val="32"/>
          <w:szCs w:val="32"/>
        </w:rPr>
        <w:t>一、生态效益</w:t>
      </w:r>
      <w:bookmarkEnd w:id="142"/>
      <w:bookmarkEnd w:id="143"/>
      <w:bookmarkEnd w:id="144"/>
      <w:bookmarkEnd w:id="145"/>
    </w:p>
    <w:p w14:paraId="14700BE7">
      <w:pPr>
        <w:ind w:firstLine="640" w:firstLineChars="200"/>
        <w:rPr>
          <w:rFonts w:ascii="Times New Roman" w:hAnsi="Times New Roman" w:eastAsia="仿宋" w:cs="Times New Roman"/>
          <w:sz w:val="32"/>
        </w:rPr>
      </w:pPr>
      <w:bookmarkStart w:id="146" w:name="_Hlk85999659"/>
      <w:r>
        <w:rPr>
          <w:rFonts w:hint="eastAsia" w:ascii="Times New Roman" w:hAnsi="Times New Roman" w:eastAsia="仿宋" w:cs="Times New Roman"/>
          <w:sz w:val="32"/>
        </w:rPr>
        <w:t>（1）</w:t>
      </w:r>
      <w:r>
        <w:rPr>
          <w:rFonts w:ascii="Times New Roman" w:hAnsi="Times New Roman" w:eastAsia="仿宋" w:cs="Times New Roman"/>
          <w:sz w:val="32"/>
        </w:rPr>
        <w:t>全域水生态环境显著改善</w:t>
      </w:r>
    </w:p>
    <w:p w14:paraId="29855916">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规划实施后将</w:t>
      </w:r>
      <w:r>
        <w:rPr>
          <w:rFonts w:ascii="Times New Roman" w:hAnsi="Times New Roman" w:eastAsia="仿宋" w:cs="Times New Roman"/>
          <w:sz w:val="32"/>
        </w:rPr>
        <w:t>有效削减城市道路、居住区、绿地产生的初期雨水污染，持续降低氮、磷及悬浮物入河总量</w:t>
      </w:r>
      <w:r>
        <w:rPr>
          <w:rFonts w:hint="eastAsia" w:ascii="Times New Roman" w:hAnsi="Times New Roman" w:eastAsia="仿宋" w:cs="Times New Roman"/>
          <w:sz w:val="32"/>
        </w:rPr>
        <w:t>，</w:t>
      </w:r>
      <w:r>
        <w:rPr>
          <w:rFonts w:ascii="Times New Roman" w:hAnsi="Times New Roman" w:eastAsia="仿宋" w:cs="Times New Roman"/>
          <w:sz w:val="32"/>
        </w:rPr>
        <w:t>通过萧太后河、亮马河、北小河、坝河沿线湿地系统提质，进一步巩固河道治理成效，提升水体自净能力，持续改善河湖水质，减少局部水体富营养化、水华风险，实现全区主要河湖水体稳定性、优良水体占比稳步提升。</w:t>
      </w:r>
    </w:p>
    <w:p w14:paraId="7BB7755C">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w:t>
      </w:r>
      <w:r>
        <w:rPr>
          <w:rFonts w:ascii="Times New Roman" w:hAnsi="Times New Roman" w:eastAsia="仿宋" w:cs="Times New Roman"/>
          <w:sz w:val="32"/>
        </w:rPr>
        <w:t>生物多样性</w:t>
      </w:r>
      <w:r>
        <w:rPr>
          <w:rFonts w:hint="eastAsia" w:ascii="Times New Roman" w:hAnsi="Times New Roman" w:eastAsia="仿宋" w:cs="Times New Roman"/>
          <w:sz w:val="32"/>
        </w:rPr>
        <w:t>将</w:t>
      </w:r>
      <w:r>
        <w:rPr>
          <w:rFonts w:ascii="Times New Roman" w:hAnsi="Times New Roman" w:eastAsia="仿宋" w:cs="Times New Roman"/>
          <w:sz w:val="32"/>
        </w:rPr>
        <w:t>显著提升</w:t>
      </w:r>
    </w:p>
    <w:p w14:paraId="481E387E">
      <w:pPr>
        <w:ind w:firstLine="640" w:firstLineChars="200"/>
        <w:rPr>
          <w:rFonts w:ascii="Times New Roman" w:hAnsi="Times New Roman" w:eastAsia="仿宋" w:cs="Times New Roman"/>
          <w:sz w:val="32"/>
        </w:rPr>
      </w:pPr>
      <w:r>
        <w:rPr>
          <w:rFonts w:ascii="Times New Roman" w:hAnsi="Times New Roman" w:eastAsia="仿宋" w:cs="Times New Roman"/>
          <w:sz w:val="32"/>
        </w:rPr>
        <w:t>通过营造深浅水区、生态岛、浅滩、水陆交错带等多样化生境，重构乡土湿生植被群落，打造多处水鸟集中栖息、迁徙停歇节点。全区将形成“大型湿地保育、中型湿地栖息、小微湿地补给”的多级栖息地体系，有效提升水鸟、两栖类、底栖生物、昆虫等物种丰富度，稳定候鸟迁徙通道功能，使朝阳区成为北京平原城区重要的城市湿地生物多样性示范片区。</w:t>
      </w:r>
    </w:p>
    <w:p w14:paraId="4A6A0D2B">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湿地生态格局</w:t>
      </w:r>
      <w:r>
        <w:rPr>
          <w:rFonts w:hint="eastAsia" w:ascii="Times New Roman" w:hAnsi="Times New Roman" w:eastAsia="仿宋" w:cs="Times New Roman"/>
          <w:sz w:val="32"/>
        </w:rPr>
        <w:t>将</w:t>
      </w:r>
      <w:r>
        <w:rPr>
          <w:rFonts w:ascii="Times New Roman" w:hAnsi="Times New Roman" w:eastAsia="仿宋" w:cs="Times New Roman"/>
          <w:sz w:val="32"/>
        </w:rPr>
        <w:t>更加完善</w:t>
      </w:r>
    </w:p>
    <w:p w14:paraId="61880AD4">
      <w:pPr>
        <w:ind w:firstLine="640" w:firstLineChars="200"/>
        <w:rPr>
          <w:rFonts w:ascii="Times New Roman" w:hAnsi="Times New Roman" w:eastAsia="仿宋" w:cs="Times New Roman"/>
          <w:sz w:val="32"/>
        </w:rPr>
      </w:pPr>
      <w:r>
        <w:rPr>
          <w:rFonts w:ascii="Times New Roman" w:hAnsi="Times New Roman" w:eastAsia="仿宋" w:cs="Times New Roman"/>
          <w:sz w:val="32"/>
        </w:rPr>
        <w:t>通过</w:t>
      </w:r>
      <w:r>
        <w:rPr>
          <w:rFonts w:hint="eastAsia" w:ascii="Times New Roman" w:hAnsi="Times New Roman" w:eastAsia="仿宋" w:cs="Times New Roman"/>
          <w:sz w:val="32"/>
        </w:rPr>
        <w:t>河流湿地恢复、南部核心</w:t>
      </w:r>
      <w:r>
        <w:rPr>
          <w:rFonts w:ascii="Times New Roman" w:hAnsi="Times New Roman" w:eastAsia="仿宋" w:cs="Times New Roman"/>
          <w:sz w:val="32"/>
        </w:rPr>
        <w:t>湿地群、</w:t>
      </w:r>
      <w:r>
        <w:rPr>
          <w:rFonts w:hint="eastAsia" w:ascii="Times New Roman" w:hAnsi="Times New Roman" w:eastAsia="仿宋" w:cs="Times New Roman"/>
          <w:sz w:val="32"/>
        </w:rPr>
        <w:t>坝河口蓄滞洪区生态湿地建设等重点项目以及</w:t>
      </w:r>
      <w:r>
        <w:rPr>
          <w:rFonts w:ascii="Times New Roman" w:hAnsi="Times New Roman" w:eastAsia="仿宋" w:cs="Times New Roman"/>
          <w:sz w:val="32"/>
        </w:rPr>
        <w:t>全域小微湿地多点织补，有效填补东南部、东部、城区湿地空白和廊道断点。北部温榆河大尺度湿地廊道、中部坝河生态带、南部萧太后河生态带、城区河湖小微湿地网络实现有机串联，彻底改变以往湿地碎片化、孤岛化格局，形成连续贯通、层级完整的湿地生态网络，大幅提升区域生态系统稳定性。</w:t>
      </w:r>
    </w:p>
    <w:p w14:paraId="3B14498C">
      <w:pPr>
        <w:keepNext/>
        <w:keepLines/>
        <w:spacing w:before="260" w:after="260" w:line="416" w:lineRule="auto"/>
        <w:outlineLvl w:val="1"/>
        <w:rPr>
          <w:rFonts w:ascii="Times New Roman" w:hAnsi="Times New Roman" w:eastAsia="仿宋" w:cs="Times New Roman"/>
          <w:b/>
          <w:bCs/>
          <w:sz w:val="32"/>
          <w:szCs w:val="32"/>
        </w:rPr>
      </w:pPr>
      <w:bookmarkStart w:id="147" w:name="_Toc240204688"/>
      <w:r>
        <w:rPr>
          <w:rFonts w:hint="eastAsia" w:ascii="Times New Roman" w:hAnsi="Times New Roman" w:eastAsia="仿宋" w:cs="Times New Roman"/>
          <w:b/>
          <w:bCs/>
          <w:sz w:val="32"/>
          <w:szCs w:val="32"/>
        </w:rPr>
        <w:t>二</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经济</w:t>
      </w:r>
      <w:r>
        <w:rPr>
          <w:rFonts w:ascii="Times New Roman" w:hAnsi="Times New Roman" w:eastAsia="仿宋" w:cs="Times New Roman"/>
          <w:b/>
          <w:bCs/>
          <w:sz w:val="32"/>
          <w:szCs w:val="32"/>
        </w:rPr>
        <w:t>效益</w:t>
      </w:r>
      <w:bookmarkEnd w:id="147"/>
    </w:p>
    <w:p w14:paraId="1456543B">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（1）</w:t>
      </w:r>
      <w:r>
        <w:rPr>
          <w:rFonts w:ascii="Times New Roman" w:hAnsi="Times New Roman" w:eastAsia="仿宋" w:cs="Times New Roman"/>
          <w:sz w:val="32"/>
        </w:rPr>
        <w:t>滨水经济带带动消费升级</w:t>
      </w:r>
    </w:p>
    <w:p w14:paraId="4EEA2324">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湿地生态改变</w:t>
      </w:r>
      <w:r>
        <w:rPr>
          <w:rFonts w:ascii="Times New Roman" w:hAnsi="Times New Roman" w:eastAsia="仿宋" w:cs="Times New Roman"/>
          <w:sz w:val="32"/>
        </w:rPr>
        <w:t>直接转化为经济发展新引擎</w:t>
      </w:r>
      <w:r>
        <w:rPr>
          <w:rFonts w:hint="eastAsia" w:ascii="Times New Roman" w:hAnsi="Times New Roman" w:eastAsia="仿宋" w:cs="Times New Roman"/>
          <w:sz w:val="32"/>
        </w:rPr>
        <w:t>，如</w:t>
      </w:r>
      <w:r>
        <w:rPr>
          <w:rFonts w:ascii="Times New Roman" w:hAnsi="Times New Roman" w:eastAsia="仿宋" w:cs="Times New Roman"/>
          <w:sz w:val="32"/>
        </w:rPr>
        <w:t>亮马河</w:t>
      </w:r>
      <w:r>
        <w:rPr>
          <w:rFonts w:hint="eastAsia" w:ascii="Times New Roman" w:hAnsi="Times New Roman" w:eastAsia="仿宋" w:cs="Times New Roman"/>
          <w:sz w:val="32"/>
        </w:rPr>
        <w:t>、北小河、坝河、朝阳公园、奥林匹克森林公园等滨水经济带</w:t>
      </w:r>
      <w:r>
        <w:rPr>
          <w:rFonts w:ascii="Times New Roman" w:hAnsi="Times New Roman" w:eastAsia="仿宋" w:cs="Times New Roman"/>
          <w:sz w:val="32"/>
        </w:rPr>
        <w:t>客流量同比</w:t>
      </w:r>
      <w:r>
        <w:rPr>
          <w:rFonts w:hint="eastAsia" w:ascii="Times New Roman" w:hAnsi="Times New Roman" w:eastAsia="仿宋" w:cs="Times New Roman"/>
          <w:sz w:val="32"/>
        </w:rPr>
        <w:t>将大幅度提升，</w:t>
      </w:r>
      <w:r>
        <w:rPr>
          <w:rFonts w:ascii="Times New Roman" w:hAnsi="Times New Roman" w:eastAsia="仿宋" w:cs="Times New Roman"/>
          <w:sz w:val="32"/>
        </w:rPr>
        <w:t>商业活跃度增幅</w:t>
      </w:r>
      <w:r>
        <w:rPr>
          <w:rFonts w:hint="eastAsia" w:ascii="Times New Roman" w:hAnsi="Times New Roman" w:eastAsia="仿宋" w:cs="Times New Roman"/>
          <w:sz w:val="32"/>
        </w:rPr>
        <w:t>潜力巨大，</w:t>
      </w:r>
      <w:r>
        <w:rPr>
          <w:rFonts w:ascii="Times New Roman" w:hAnsi="Times New Roman" w:eastAsia="仿宋" w:cs="Times New Roman"/>
          <w:sz w:val="32"/>
        </w:rPr>
        <w:t>沿岸商业收入</w:t>
      </w:r>
      <w:r>
        <w:rPr>
          <w:rFonts w:hint="eastAsia" w:ascii="Times New Roman" w:hAnsi="Times New Roman" w:eastAsia="仿宋" w:cs="Times New Roman"/>
          <w:sz w:val="32"/>
        </w:rPr>
        <w:t>将稳步提升，</w:t>
      </w:r>
      <w:r>
        <w:rPr>
          <w:rFonts w:ascii="Times New Roman" w:hAnsi="Times New Roman" w:eastAsia="仿宋" w:cs="Times New Roman"/>
          <w:sz w:val="32"/>
        </w:rPr>
        <w:t>蓝色港湾等重要节点的客流量</w:t>
      </w:r>
      <w:r>
        <w:rPr>
          <w:rFonts w:hint="eastAsia" w:ascii="Times New Roman" w:hAnsi="Times New Roman" w:eastAsia="仿宋" w:cs="Times New Roman"/>
          <w:sz w:val="32"/>
        </w:rPr>
        <w:t>也将迅速增加，同时还将</w:t>
      </w:r>
      <w:r>
        <w:rPr>
          <w:rFonts w:ascii="Times New Roman" w:hAnsi="Times New Roman" w:eastAsia="仿宋" w:cs="Times New Roman"/>
          <w:sz w:val="32"/>
        </w:rPr>
        <w:t>引进各类品牌商户，涵盖国际餐饮、文创零售、运动休闲等多元业态，夜间经济贡献率</w:t>
      </w:r>
      <w:r>
        <w:rPr>
          <w:rFonts w:hint="eastAsia" w:ascii="Times New Roman" w:hAnsi="Times New Roman" w:eastAsia="仿宋" w:cs="Times New Roman"/>
          <w:sz w:val="32"/>
        </w:rPr>
        <w:t>迅速</w:t>
      </w:r>
      <w:r>
        <w:rPr>
          <w:rFonts w:ascii="Times New Roman" w:hAnsi="Times New Roman" w:eastAsia="仿宋" w:cs="Times New Roman"/>
          <w:sz w:val="32"/>
        </w:rPr>
        <w:t>提升</w:t>
      </w:r>
      <w:r>
        <w:rPr>
          <w:rFonts w:hint="eastAsia" w:ascii="Times New Roman" w:hAnsi="Times New Roman" w:eastAsia="仿宋" w:cs="Times New Roman"/>
          <w:sz w:val="32"/>
        </w:rPr>
        <w:t>。</w:t>
      </w:r>
    </w:p>
    <w:p w14:paraId="0752EF67">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w:t>
      </w:r>
      <w:r>
        <w:rPr>
          <w:rFonts w:ascii="Times New Roman" w:hAnsi="Times New Roman" w:eastAsia="仿宋" w:cs="Times New Roman"/>
          <w:sz w:val="32"/>
        </w:rPr>
        <w:t>赋能生态文旅与绿色消费经济</w:t>
      </w:r>
    </w:p>
    <w:p w14:paraId="13B6F54C">
      <w:pPr>
        <w:ind w:firstLine="640" w:firstLineChars="200"/>
        <w:rPr>
          <w:rFonts w:ascii="Times New Roman" w:hAnsi="Times New Roman" w:eastAsia="仿宋" w:cs="Times New Roman"/>
          <w:sz w:val="32"/>
        </w:rPr>
      </w:pPr>
      <w:r>
        <w:rPr>
          <w:rFonts w:ascii="Times New Roman" w:hAnsi="Times New Roman" w:eastAsia="仿宋" w:cs="Times New Roman"/>
          <w:sz w:val="32"/>
        </w:rPr>
        <w:t>依托湿地资源打造观鸟研学、自然教育、生态休闲、滨水慢行等绿色公共产品，培育湿地科普、自然研学、生态体验等轻量化绿色产业，带动近郊生态休闲消费，丰富城市文旅业态，形成可持续的生态经济增长点。</w:t>
      </w:r>
    </w:p>
    <w:p w14:paraId="6CED24E5">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助力生态价值转化与绿色金融赋能</w:t>
      </w:r>
    </w:p>
    <w:p w14:paraId="60AD5F8C">
      <w:pPr>
        <w:ind w:firstLine="640" w:firstLineChars="200"/>
        <w:rPr>
          <w:rFonts w:ascii="Times New Roman" w:hAnsi="Times New Roman" w:eastAsia="仿宋" w:cs="Times New Roman"/>
          <w:sz w:val="32"/>
        </w:rPr>
      </w:pPr>
      <w:r>
        <w:rPr>
          <w:rFonts w:ascii="Times New Roman" w:hAnsi="Times New Roman" w:eastAsia="仿宋" w:cs="Times New Roman"/>
          <w:sz w:val="32"/>
        </w:rPr>
        <w:t>完善的湿地生态系统可支撑区域生态资产核算、碳汇储备、生态补偿机制建设，为后续争取绿色信贷、生态专项支持、EOD项目试点、生态产品价值实现试点提供坚实基础，实现生态优势向发展优势转化。</w:t>
      </w:r>
    </w:p>
    <w:p w14:paraId="76376F86">
      <w:pPr>
        <w:keepNext/>
        <w:keepLines/>
        <w:spacing w:before="260" w:after="260" w:line="416" w:lineRule="auto"/>
        <w:outlineLvl w:val="1"/>
        <w:rPr>
          <w:rFonts w:ascii="Times New Roman" w:hAnsi="Times New Roman" w:eastAsia="仿宋" w:cs="Times New Roman"/>
          <w:b/>
          <w:bCs/>
          <w:sz w:val="32"/>
          <w:szCs w:val="32"/>
        </w:rPr>
      </w:pPr>
      <w:bookmarkStart w:id="148" w:name="_Toc240204689"/>
      <w:r>
        <w:rPr>
          <w:rFonts w:hint="eastAsia" w:ascii="Times New Roman" w:hAnsi="Times New Roman" w:eastAsia="仿宋" w:cs="Times New Roman"/>
          <w:b/>
          <w:bCs/>
          <w:sz w:val="32"/>
          <w:szCs w:val="32"/>
        </w:rPr>
        <w:t>三</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社会</w:t>
      </w:r>
      <w:r>
        <w:rPr>
          <w:rFonts w:ascii="Times New Roman" w:hAnsi="Times New Roman" w:eastAsia="仿宋" w:cs="Times New Roman"/>
          <w:b/>
          <w:bCs/>
          <w:sz w:val="32"/>
          <w:szCs w:val="32"/>
        </w:rPr>
        <w:t>效益</w:t>
      </w:r>
      <w:bookmarkEnd w:id="148"/>
    </w:p>
    <w:p w14:paraId="47BE5693">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（1）</w:t>
      </w:r>
      <w:r>
        <w:rPr>
          <w:rFonts w:ascii="Times New Roman" w:hAnsi="Times New Roman" w:eastAsia="仿宋" w:cs="Times New Roman"/>
          <w:sz w:val="32"/>
        </w:rPr>
        <w:t>完善城市公共绿色空间，提升居民宜居品质</w:t>
      </w:r>
    </w:p>
    <w:p w14:paraId="6C0C18A5">
      <w:pPr>
        <w:ind w:firstLine="640" w:firstLineChars="200"/>
        <w:rPr>
          <w:rFonts w:ascii="Times New Roman" w:hAnsi="Times New Roman" w:eastAsia="仿宋" w:cs="Times New Roman"/>
          <w:sz w:val="32"/>
        </w:rPr>
      </w:pPr>
      <w:r>
        <w:rPr>
          <w:rFonts w:ascii="Times New Roman" w:hAnsi="Times New Roman" w:eastAsia="仿宋" w:cs="Times New Roman"/>
          <w:sz w:val="32"/>
        </w:rPr>
        <w:t>通过多处湿地公园、滨水湿地廊道、社区小微湿地建设，持续扩充城市生态休闲空间，优化公园绿地服务半径，实现居民“就近亲水、就近见绿、就近体验自然”，显著提升片区宜居度、幸福感与获得感，助力花园城市、宜居城区建设。</w:t>
      </w:r>
    </w:p>
    <w:p w14:paraId="271A6A94">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（2）</w:t>
      </w:r>
      <w:r>
        <w:rPr>
          <w:rFonts w:ascii="Times New Roman" w:hAnsi="Times New Roman" w:eastAsia="仿宋" w:cs="Times New Roman"/>
          <w:sz w:val="32"/>
        </w:rPr>
        <w:t>构建湿地科普教育体系，提升全民生态素养</w:t>
      </w:r>
    </w:p>
    <w:p w14:paraId="3B777453">
      <w:pPr>
        <w:ind w:firstLine="640" w:firstLineChars="200"/>
        <w:rPr>
          <w:rFonts w:ascii="Times New Roman" w:hAnsi="Times New Roman" w:eastAsia="仿宋" w:cs="Times New Roman"/>
          <w:sz w:val="32"/>
        </w:rPr>
      </w:pPr>
      <w:r>
        <w:rPr>
          <w:rFonts w:ascii="Times New Roman" w:hAnsi="Times New Roman" w:eastAsia="仿宋" w:cs="Times New Roman"/>
          <w:sz w:val="32"/>
        </w:rPr>
        <w:t>依托区级湿地科普中心、公园湿地科普基地、小微湿地科普节点，打造分层分级的自然教育体系，常态化开展湿地科普、观鸟活动、生态课堂、志愿巡护，形成可复制、可推广的城市湿地自然教育模式，持续提升公众湿地保护意识、生态文明素养。</w:t>
      </w:r>
    </w:p>
    <w:p w14:paraId="70B675B5">
      <w:pPr>
        <w:ind w:firstLine="640" w:firstLineChars="200"/>
        <w:rPr>
          <w:rFonts w:ascii="Times New Roman" w:hAnsi="Times New Roman" w:eastAsia="仿宋" w:cs="Times New Roman"/>
          <w:sz w:val="32"/>
        </w:rPr>
      </w:pPr>
      <w:r>
        <w:rPr>
          <w:rFonts w:hint="eastAsia" w:ascii="Times New Roman" w:hAnsi="Times New Roman" w:eastAsia="仿宋" w:cs="Times New Roman"/>
          <w:sz w:val="32"/>
        </w:rPr>
        <w:t>（3）</w:t>
      </w:r>
      <w:r>
        <w:rPr>
          <w:rFonts w:ascii="Times New Roman" w:hAnsi="Times New Roman" w:eastAsia="仿宋" w:cs="Times New Roman"/>
          <w:sz w:val="32"/>
        </w:rPr>
        <w:t>文化赋能与社会凝聚力增强</w:t>
      </w:r>
    </w:p>
    <w:p w14:paraId="22CE8DA0">
      <w:pPr>
        <w:ind w:firstLine="640" w:firstLineChars="200"/>
        <w:rPr>
          <w:rFonts w:ascii="Times New Roman" w:hAnsi="Times New Roman" w:eastAsia="仿宋" w:cs="Times New Roman"/>
          <w:sz w:val="32"/>
        </w:rPr>
      </w:pPr>
      <w:r>
        <w:rPr>
          <w:rFonts w:ascii="Times New Roman" w:hAnsi="Times New Roman" w:eastAsia="仿宋" w:cs="Times New Roman"/>
          <w:sz w:val="32"/>
        </w:rPr>
        <w:t>依托萧太后河、亮马河、坝河等历史水系湿地修复，融合漕运文化、乡土文化、滨水文化，实现生态修复与历史文脉传承有机结合，丰富城市水系文化内涵，提升城市生态文化品位与区域辨识度。</w:t>
      </w:r>
    </w:p>
    <w:bookmarkEnd w:id="146"/>
    <w:p w14:paraId="691C0A1D">
      <w:pPr>
        <w:rPr>
          <w:rFonts w:hint="eastAsia"/>
        </w:rPr>
      </w:pPr>
    </w:p>
    <w:p w14:paraId="0E0D82E8">
      <w:pPr>
        <w:ind w:firstLine="640" w:firstLineChars="200"/>
        <w:rPr>
          <w:rFonts w:ascii="Times New Roman" w:hAnsi="Times New Roman" w:eastAsia="仿宋" w:cs="Times New Roman"/>
          <w:sz w:val="32"/>
        </w:rPr>
        <w:sectPr>
          <w:pgSz w:w="11906" w:h="16838"/>
          <w:pgMar w:top="1440" w:right="1800" w:bottom="1440" w:left="1800" w:header="851" w:footer="992" w:gutter="0"/>
          <w:cols w:space="425" w:num="1"/>
          <w:docGrid w:type="lines" w:linePitch="312" w:charSpace="0"/>
        </w:sectPr>
      </w:pPr>
    </w:p>
    <w:p w14:paraId="1C9E45D8">
      <w:pPr>
        <w:keepNext/>
        <w:keepLines/>
        <w:spacing w:before="340" w:after="330" w:line="578" w:lineRule="auto"/>
        <w:jc w:val="center"/>
        <w:outlineLvl w:val="0"/>
        <w:rPr>
          <w:rFonts w:ascii="Times New Roman" w:hAnsi="Times New Roman" w:eastAsia="仿宋" w:cs="Times New Roman"/>
          <w:b/>
          <w:bCs/>
          <w:kern w:val="44"/>
          <w:sz w:val="36"/>
          <w:szCs w:val="36"/>
        </w:rPr>
      </w:pPr>
      <w:bookmarkStart w:id="149" w:name="_Toc240204690"/>
      <w:bookmarkStart w:id="150" w:name="_Toc91078499"/>
      <w:bookmarkStart w:id="151" w:name="_Toc150720932"/>
      <w:bookmarkStart w:id="152" w:name="_Toc18835"/>
      <w:r>
        <w:rPr>
          <w:rFonts w:ascii="Times New Roman" w:hAnsi="Times New Roman" w:eastAsia="仿宋" w:cs="Times New Roman"/>
          <w:b/>
          <w:bCs/>
          <w:kern w:val="44"/>
          <w:sz w:val="36"/>
          <w:szCs w:val="36"/>
        </w:rPr>
        <w:t>第九章 保障措施</w:t>
      </w:r>
      <w:bookmarkEnd w:id="149"/>
      <w:bookmarkEnd w:id="150"/>
      <w:bookmarkEnd w:id="151"/>
      <w:bookmarkEnd w:id="152"/>
      <w:bookmarkStart w:id="153" w:name="_Hlk85999740"/>
    </w:p>
    <w:bookmarkEnd w:id="153"/>
    <w:p w14:paraId="7EEA361F">
      <w:pPr>
        <w:keepNext/>
        <w:keepLines/>
        <w:spacing w:before="260" w:after="260" w:line="416" w:lineRule="auto"/>
        <w:outlineLvl w:val="1"/>
        <w:rPr>
          <w:rFonts w:ascii="Times New Roman" w:hAnsi="Times New Roman" w:eastAsia="仿宋" w:cs="Times New Roman"/>
          <w:b/>
          <w:bCs/>
          <w:sz w:val="32"/>
          <w:szCs w:val="32"/>
        </w:rPr>
      </w:pPr>
      <w:bookmarkStart w:id="154" w:name="_Toc91078500"/>
      <w:bookmarkStart w:id="155" w:name="_Toc18991"/>
      <w:bookmarkStart w:id="156" w:name="_Toc240204691"/>
      <w:bookmarkStart w:id="157" w:name="_Toc150720933"/>
      <w:r>
        <w:rPr>
          <w:rFonts w:ascii="Times New Roman" w:hAnsi="Times New Roman" w:eastAsia="仿宋" w:cs="Times New Roman"/>
          <w:b/>
          <w:bCs/>
          <w:sz w:val="32"/>
          <w:szCs w:val="32"/>
        </w:rPr>
        <w:t>一、政策法规保障</w:t>
      </w:r>
      <w:bookmarkEnd w:id="154"/>
      <w:bookmarkEnd w:id="155"/>
      <w:bookmarkEnd w:id="156"/>
      <w:bookmarkEnd w:id="157"/>
      <w:bookmarkStart w:id="158" w:name="_Hlk85999751"/>
    </w:p>
    <w:bookmarkEnd w:id="158"/>
    <w:p w14:paraId="7A2B4E7A">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（1）贯彻落实湿地保护法律法规体系</w:t>
      </w:r>
    </w:p>
    <w:p w14:paraId="6A6E8B0A">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严格落实《中华人民共和国湿地保护法》和《北京市湿地保护条例》确立的法治框架</w:t>
      </w:r>
      <w:r>
        <w:rPr>
          <w:rFonts w:hint="eastAsia" w:ascii="Times New Roman" w:hAnsi="Times New Roman" w:eastAsia="仿宋" w:cs="Times New Roman"/>
          <w:sz w:val="32"/>
          <w:szCs w:val="30"/>
        </w:rPr>
        <w:t>，</w:t>
      </w:r>
      <w:r>
        <w:rPr>
          <w:rFonts w:ascii="Times New Roman" w:hAnsi="Times New Roman" w:eastAsia="仿宋" w:cs="Times New Roman"/>
          <w:sz w:val="32"/>
          <w:szCs w:val="30"/>
        </w:rPr>
        <w:t>依据《北京市湿地保护条例》规定，严格执行湿地分级分类保护、占用管控、修复治理相关要求，确保建设合规、管护合法、利用有度。</w:t>
      </w:r>
    </w:p>
    <w:p w14:paraId="2DD8EE0D">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（2）完善区级配套管理制度</w:t>
      </w:r>
    </w:p>
    <w:p w14:paraId="76314661">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结合朝阳区多级湿地体系特点，研究建立区级湿地常态化管护、小微湿地认定、湿地生态监测管理、湿地科普宣教管理等配套细则，明确湿地建设标准、管护标准、准入底线、利用边界，补齐城区小微湿地、郊野库塘湿地管理制度短板。</w:t>
      </w:r>
    </w:p>
    <w:p w14:paraId="5B65F963">
      <w:pPr>
        <w:keepNext/>
        <w:keepLines/>
        <w:spacing w:before="260" w:after="260" w:line="416" w:lineRule="auto"/>
        <w:outlineLvl w:val="1"/>
        <w:rPr>
          <w:rFonts w:ascii="Times New Roman" w:hAnsi="Times New Roman" w:eastAsia="仿宋" w:cs="Times New Roman"/>
          <w:b/>
          <w:bCs/>
          <w:sz w:val="32"/>
          <w:szCs w:val="32"/>
        </w:rPr>
      </w:pPr>
      <w:bookmarkStart w:id="159" w:name="_Toc18802"/>
      <w:bookmarkStart w:id="160" w:name="_Toc150720934"/>
      <w:bookmarkStart w:id="161" w:name="_Toc240204692"/>
      <w:bookmarkStart w:id="162" w:name="_Toc91078501"/>
      <w:r>
        <w:rPr>
          <w:rFonts w:ascii="Times New Roman" w:hAnsi="Times New Roman" w:eastAsia="仿宋" w:cs="Times New Roman"/>
          <w:b/>
          <w:bCs/>
          <w:sz w:val="32"/>
          <w:szCs w:val="32"/>
        </w:rPr>
        <w:t>二、管理体系保障</w:t>
      </w:r>
      <w:bookmarkEnd w:id="159"/>
      <w:bookmarkEnd w:id="160"/>
      <w:bookmarkEnd w:id="161"/>
      <w:bookmarkEnd w:id="162"/>
      <w:bookmarkStart w:id="163" w:name="_Hlk85999757"/>
    </w:p>
    <w:bookmarkEnd w:id="163"/>
    <w:p w14:paraId="721D386F">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hint="eastAsia" w:ascii="Times New Roman" w:hAnsi="Times New Roman" w:eastAsia="仿宋" w:cs="Times New Roman"/>
          <w:sz w:val="32"/>
          <w:szCs w:val="32"/>
        </w:rPr>
        <w:t>1</w:t>
      </w:r>
      <w:r>
        <w:rPr>
          <w:rFonts w:ascii="Times New Roman" w:hAnsi="Times New Roman" w:eastAsia="仿宋" w:cs="Times New Roman"/>
          <w:sz w:val="32"/>
          <w:szCs w:val="32"/>
        </w:rPr>
        <w:t>）健全湿地空间管控机制</w:t>
      </w:r>
    </w:p>
    <w:p w14:paraId="660AE29F">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将全区重点湿地、小微湿地示范点位全部纳入生态空间管控台账，衔接国土空间规划、绿地系统规划、水系治理规划，严格控制湿地范围侵占、违规建设、过度硬化、无序开发，守住湿地生态空间底线。</w:t>
      </w:r>
    </w:p>
    <w:p w14:paraId="4AA4E7F8">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w:t>
      </w:r>
      <w:r>
        <w:rPr>
          <w:rFonts w:ascii="Times New Roman" w:hAnsi="Times New Roman" w:eastAsia="仿宋" w:cs="Times New Roman"/>
          <w:sz w:val="32"/>
          <w:szCs w:val="32"/>
        </w:rPr>
        <w:t>落实湿地分级分类保护与名录管理</w:t>
      </w:r>
    </w:p>
    <w:p w14:paraId="3363F8C0">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对国家重要湿地、市级</w:t>
      </w:r>
      <w:r>
        <w:rPr>
          <w:rFonts w:hint="eastAsia" w:ascii="Times New Roman" w:hAnsi="Times New Roman" w:eastAsia="仿宋" w:cs="Times New Roman"/>
          <w:sz w:val="32"/>
          <w:szCs w:val="30"/>
        </w:rPr>
        <w:t>重要</w:t>
      </w:r>
      <w:r>
        <w:rPr>
          <w:rFonts w:ascii="Times New Roman" w:hAnsi="Times New Roman" w:eastAsia="仿宋" w:cs="Times New Roman"/>
          <w:sz w:val="32"/>
          <w:szCs w:val="30"/>
        </w:rPr>
        <w:t>湿地和</w:t>
      </w:r>
      <w:r>
        <w:rPr>
          <w:rFonts w:hint="eastAsia" w:ascii="Times New Roman" w:hAnsi="Times New Roman" w:eastAsia="仿宋" w:cs="Times New Roman"/>
          <w:sz w:val="32"/>
          <w:szCs w:val="30"/>
        </w:rPr>
        <w:t>一般</w:t>
      </w:r>
      <w:r>
        <w:rPr>
          <w:rFonts w:ascii="Times New Roman" w:hAnsi="Times New Roman" w:eastAsia="仿宋" w:cs="Times New Roman"/>
          <w:sz w:val="32"/>
          <w:szCs w:val="30"/>
        </w:rPr>
        <w:t>湿地实行名录管理。对</w:t>
      </w:r>
      <w:r>
        <w:rPr>
          <w:rFonts w:hint="eastAsia" w:ascii="Times New Roman" w:hAnsi="Times New Roman" w:eastAsia="仿宋" w:cs="Times New Roman"/>
          <w:sz w:val="32"/>
          <w:szCs w:val="30"/>
        </w:rPr>
        <w:t>重要</w:t>
      </w:r>
      <w:r>
        <w:rPr>
          <w:rFonts w:ascii="Times New Roman" w:hAnsi="Times New Roman" w:eastAsia="仿宋" w:cs="Times New Roman"/>
          <w:sz w:val="32"/>
          <w:szCs w:val="30"/>
        </w:rPr>
        <w:t>湿地划定保护范围，设立保护标志，标明湿地名称、类型、保护级别、保护范围、管理机构或责任单位。</w:t>
      </w:r>
      <w:r>
        <w:rPr>
          <w:rFonts w:hint="eastAsia" w:ascii="Times New Roman" w:hAnsi="Times New Roman" w:eastAsia="仿宋" w:cs="Times New Roman"/>
          <w:sz w:val="32"/>
          <w:szCs w:val="30"/>
        </w:rPr>
        <w:t>城区外</w:t>
      </w:r>
      <w:r>
        <w:rPr>
          <w:rFonts w:ascii="Times New Roman" w:hAnsi="Times New Roman" w:eastAsia="仿宋" w:cs="Times New Roman"/>
          <w:sz w:val="32"/>
          <w:szCs w:val="30"/>
        </w:rPr>
        <w:t>以自然生态保育为主要功能，打造近自然化岸线；</w:t>
      </w:r>
      <w:r>
        <w:rPr>
          <w:rFonts w:hint="eastAsia" w:ascii="Times New Roman" w:hAnsi="Times New Roman" w:eastAsia="仿宋" w:cs="Times New Roman"/>
          <w:sz w:val="32"/>
          <w:szCs w:val="30"/>
        </w:rPr>
        <w:t>城区</w:t>
      </w:r>
      <w:r>
        <w:rPr>
          <w:rFonts w:ascii="Times New Roman" w:hAnsi="Times New Roman" w:eastAsia="仿宋" w:cs="Times New Roman"/>
          <w:sz w:val="32"/>
          <w:szCs w:val="30"/>
        </w:rPr>
        <w:t>内注重市民亲水休闲需求，营造舒适宜人的滨水公共空间。</w:t>
      </w:r>
    </w:p>
    <w:p w14:paraId="1D4AA78F">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（3）</w:t>
      </w:r>
      <w:r>
        <w:rPr>
          <w:rFonts w:ascii="Times New Roman" w:hAnsi="Times New Roman" w:eastAsia="仿宋" w:cs="Times New Roman"/>
          <w:sz w:val="32"/>
          <w:szCs w:val="30"/>
        </w:rPr>
        <w:t>明晰区级相关部门湿地管护职责边界</w:t>
      </w:r>
    </w:p>
    <w:p w14:paraId="540AC934">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建立健全湿地保护联席会议制度，研究协调涉及湿地保护的重大事项及相关工作。明晰区级相关部门湿地管护职责边界，统筹园林绿化、</w:t>
      </w:r>
      <w:r>
        <w:rPr>
          <w:rFonts w:hint="eastAsia" w:ascii="Times New Roman" w:hAnsi="Times New Roman" w:eastAsia="仿宋" w:cs="Times New Roman"/>
          <w:sz w:val="32"/>
          <w:szCs w:val="30"/>
        </w:rPr>
        <w:t>规划和自然资源、</w:t>
      </w:r>
      <w:r>
        <w:rPr>
          <w:rFonts w:ascii="Times New Roman" w:hAnsi="Times New Roman" w:eastAsia="仿宋" w:cs="Times New Roman"/>
          <w:sz w:val="32"/>
          <w:szCs w:val="30"/>
        </w:rPr>
        <w:t>水务、生态环境、农业农村、属地街乡等主体权责。园林绿化部门牵头统筹湿地保护发展规划实施、湿地名录管理、湿地生态修复、湿地科普宣教工作；</w:t>
      </w:r>
      <w:r>
        <w:rPr>
          <w:rFonts w:hint="eastAsia" w:ascii="Times New Roman" w:hAnsi="Times New Roman" w:eastAsia="仿宋" w:cs="Times New Roman"/>
          <w:sz w:val="32"/>
          <w:szCs w:val="30"/>
        </w:rPr>
        <w:t>规划和自然资源负责湿地确权登记和湿地资源调查评价；</w:t>
      </w:r>
      <w:r>
        <w:rPr>
          <w:rFonts w:ascii="Times New Roman" w:hAnsi="Times New Roman" w:eastAsia="仿宋" w:cs="Times New Roman"/>
          <w:sz w:val="32"/>
          <w:szCs w:val="30"/>
        </w:rPr>
        <w:t>水务部门负责湿地水系连通、生态补水调度、防洪安全管控、入湿地水质治理；生态环境部门开展湿地水环境质量监测、污染源头管控；农业农村部门做好湿地范围内野生动植物保护、外来入侵物种防控相关工作。健全部门联合执法检查机制，探索建立跨区联合执法与生态空间协同监管机制。</w:t>
      </w:r>
    </w:p>
    <w:p w14:paraId="3CD5A8D5">
      <w:pPr>
        <w:keepNext/>
        <w:keepLines/>
        <w:spacing w:before="260" w:after="260" w:line="416" w:lineRule="auto"/>
        <w:outlineLvl w:val="1"/>
        <w:rPr>
          <w:rFonts w:ascii="Times New Roman" w:hAnsi="Times New Roman" w:eastAsia="仿宋" w:cs="Times New Roman"/>
          <w:b/>
          <w:bCs/>
          <w:sz w:val="32"/>
          <w:szCs w:val="32"/>
        </w:rPr>
      </w:pPr>
      <w:bookmarkStart w:id="164" w:name="_Toc150720935"/>
      <w:bookmarkStart w:id="165" w:name="_Toc240204693"/>
      <w:bookmarkStart w:id="166" w:name="_Toc91078502"/>
      <w:bookmarkStart w:id="167" w:name="_Toc31703"/>
      <w:r>
        <w:rPr>
          <w:rFonts w:ascii="Times New Roman" w:hAnsi="Times New Roman" w:eastAsia="仿宋" w:cs="Times New Roman"/>
          <w:b/>
          <w:bCs/>
          <w:sz w:val="32"/>
          <w:szCs w:val="32"/>
        </w:rPr>
        <w:t>三、资金保障</w:t>
      </w:r>
      <w:bookmarkEnd w:id="164"/>
      <w:bookmarkEnd w:id="165"/>
      <w:bookmarkEnd w:id="166"/>
      <w:bookmarkEnd w:id="167"/>
      <w:bookmarkStart w:id="168" w:name="_Hlk85999763"/>
    </w:p>
    <w:bookmarkEnd w:id="168"/>
    <w:p w14:paraId="6BBABE28">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（1）财政资金保障</w:t>
      </w:r>
    </w:p>
    <w:p w14:paraId="761DE902">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将湿地生态修复、湿地提质改造、监测设备运维、科普阵地运营、植被抚育养护等经费纳入区级财政年度预算，依托园林绿化、水务、生态环境、城市更新专项经费统筹保障，形成稳定常态化投入机制。主动对接市级</w:t>
      </w:r>
      <w:r>
        <w:rPr>
          <w:rFonts w:hint="eastAsia" w:ascii="Times New Roman" w:hAnsi="Times New Roman" w:eastAsia="仿宋" w:cs="Times New Roman"/>
          <w:sz w:val="32"/>
          <w:szCs w:val="30"/>
        </w:rPr>
        <w:t>重要</w:t>
      </w:r>
      <w:r>
        <w:rPr>
          <w:rFonts w:ascii="Times New Roman" w:hAnsi="Times New Roman" w:eastAsia="仿宋" w:cs="Times New Roman"/>
          <w:sz w:val="32"/>
          <w:szCs w:val="30"/>
        </w:rPr>
        <w:t>湿地保护、水生态治理、生物多样性保护、大运河文化带、海绵城市建设等专项补助资金，积极申报中央预算内生态保护修复资金、流域治理专项资金，最大限度争取上级政策与资金支持。</w:t>
      </w:r>
    </w:p>
    <w:p w14:paraId="7480E1E4">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（2）拓宽社会资金投入渠道</w:t>
      </w:r>
    </w:p>
    <w:p w14:paraId="0F66E4E3">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创新</w:t>
      </w:r>
      <w:r>
        <w:rPr>
          <w:rFonts w:hint="eastAsia" w:ascii="Times New Roman" w:hAnsi="Times New Roman" w:eastAsia="仿宋" w:cs="Times New Roman"/>
          <w:sz w:val="32"/>
          <w:szCs w:val="30"/>
        </w:rPr>
        <w:t>“</w:t>
      </w:r>
      <w:r>
        <w:rPr>
          <w:rFonts w:ascii="Times New Roman" w:hAnsi="Times New Roman" w:eastAsia="仿宋" w:cs="Times New Roman"/>
          <w:sz w:val="32"/>
          <w:szCs w:val="30"/>
        </w:rPr>
        <w:t>政府引导、市场运作、公众参与</w:t>
      </w:r>
      <w:r>
        <w:rPr>
          <w:rFonts w:hint="eastAsia" w:ascii="Times New Roman" w:hAnsi="Times New Roman" w:eastAsia="仿宋" w:cs="Times New Roman"/>
          <w:sz w:val="32"/>
          <w:szCs w:val="30"/>
        </w:rPr>
        <w:t>”</w:t>
      </w:r>
      <w:r>
        <w:rPr>
          <w:rFonts w:ascii="Times New Roman" w:hAnsi="Times New Roman" w:eastAsia="仿宋" w:cs="Times New Roman"/>
          <w:sz w:val="32"/>
          <w:szCs w:val="30"/>
        </w:rPr>
        <w:t>的协同路径，形成</w:t>
      </w:r>
      <w:r>
        <w:rPr>
          <w:rFonts w:hint="eastAsia" w:ascii="Times New Roman" w:hAnsi="Times New Roman" w:eastAsia="仿宋" w:cs="Times New Roman"/>
          <w:sz w:val="32"/>
          <w:szCs w:val="30"/>
        </w:rPr>
        <w:t>“</w:t>
      </w:r>
      <w:r>
        <w:rPr>
          <w:rFonts w:ascii="Times New Roman" w:hAnsi="Times New Roman" w:eastAsia="仿宋" w:cs="Times New Roman"/>
          <w:sz w:val="32"/>
          <w:szCs w:val="30"/>
        </w:rPr>
        <w:t>共商、共治、共建、共管、共享、共赢</w:t>
      </w:r>
      <w:r>
        <w:rPr>
          <w:rFonts w:hint="eastAsia" w:ascii="Times New Roman" w:hAnsi="Times New Roman" w:eastAsia="仿宋" w:cs="Times New Roman"/>
          <w:sz w:val="32"/>
          <w:szCs w:val="30"/>
        </w:rPr>
        <w:t>”</w:t>
      </w:r>
      <w:r>
        <w:rPr>
          <w:rFonts w:ascii="Times New Roman" w:hAnsi="Times New Roman" w:eastAsia="仿宋" w:cs="Times New Roman"/>
          <w:sz w:val="32"/>
          <w:szCs w:val="30"/>
        </w:rPr>
        <w:t>的</w:t>
      </w:r>
      <w:r>
        <w:rPr>
          <w:rFonts w:hint="eastAsia" w:ascii="Times New Roman" w:hAnsi="Times New Roman" w:eastAsia="仿宋" w:cs="Times New Roman"/>
          <w:sz w:val="32"/>
          <w:szCs w:val="30"/>
        </w:rPr>
        <w:t>“</w:t>
      </w:r>
      <w:r>
        <w:rPr>
          <w:rFonts w:ascii="Times New Roman" w:hAnsi="Times New Roman" w:eastAsia="仿宋" w:cs="Times New Roman"/>
          <w:sz w:val="32"/>
          <w:szCs w:val="30"/>
        </w:rPr>
        <w:t>六共</w:t>
      </w:r>
      <w:r>
        <w:rPr>
          <w:rFonts w:hint="eastAsia" w:ascii="Times New Roman" w:hAnsi="Times New Roman" w:eastAsia="仿宋" w:cs="Times New Roman"/>
          <w:sz w:val="32"/>
          <w:szCs w:val="30"/>
        </w:rPr>
        <w:t>”</w:t>
      </w:r>
      <w:r>
        <w:rPr>
          <w:rFonts w:ascii="Times New Roman" w:hAnsi="Times New Roman" w:eastAsia="仿宋" w:cs="Times New Roman"/>
          <w:sz w:val="32"/>
          <w:szCs w:val="30"/>
        </w:rPr>
        <w:t>模式。探索</w:t>
      </w:r>
      <w:r>
        <w:rPr>
          <w:rFonts w:hint="eastAsia" w:ascii="Times New Roman" w:hAnsi="Times New Roman" w:eastAsia="仿宋" w:cs="Times New Roman"/>
          <w:sz w:val="32"/>
          <w:szCs w:val="30"/>
        </w:rPr>
        <w:t>“</w:t>
      </w:r>
      <w:r>
        <w:rPr>
          <w:rFonts w:ascii="Times New Roman" w:hAnsi="Times New Roman" w:eastAsia="仿宋" w:cs="Times New Roman"/>
          <w:sz w:val="32"/>
          <w:szCs w:val="30"/>
        </w:rPr>
        <w:t>财政投入+生态资产管理+社区共建</w:t>
      </w:r>
      <w:r>
        <w:rPr>
          <w:rFonts w:hint="eastAsia" w:ascii="Times New Roman" w:hAnsi="Times New Roman" w:eastAsia="仿宋" w:cs="Times New Roman"/>
          <w:sz w:val="32"/>
          <w:szCs w:val="30"/>
        </w:rPr>
        <w:t>”</w:t>
      </w:r>
      <w:r>
        <w:rPr>
          <w:rFonts w:ascii="Times New Roman" w:hAnsi="Times New Roman" w:eastAsia="仿宋" w:cs="Times New Roman"/>
          <w:sz w:val="32"/>
          <w:szCs w:val="30"/>
        </w:rPr>
        <w:t>的治理模式，通过生态价值提升带动土地增值与产业升级，拓宽都市型生态产品价值实现渠道。完善湿地保护、科普宣教、科研监测、生态旅游和交通等基础设施建设，多方筹集资金</w:t>
      </w:r>
      <w:r>
        <w:rPr>
          <w:rFonts w:hint="eastAsia" w:ascii="Times New Roman" w:hAnsi="Times New Roman" w:eastAsia="仿宋" w:cs="Times New Roman"/>
          <w:sz w:val="32"/>
          <w:szCs w:val="30"/>
        </w:rPr>
        <w:t>。</w:t>
      </w:r>
    </w:p>
    <w:p w14:paraId="79679215">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（3）</w:t>
      </w:r>
      <w:r>
        <w:rPr>
          <w:rFonts w:ascii="Times New Roman" w:hAnsi="Times New Roman" w:eastAsia="仿宋" w:cs="Times New Roman"/>
          <w:sz w:val="32"/>
          <w:szCs w:val="30"/>
        </w:rPr>
        <w:t>强化资金使用监管</w:t>
      </w:r>
    </w:p>
    <w:p w14:paraId="155C239F">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严格执行政府投资项目管理规定，强化概算评审、过程监管、验收审计、绩效评价，严控无效投资和过度景观建设，优先保障生态功能投入，实现资金精准高效利用。</w:t>
      </w:r>
    </w:p>
    <w:p w14:paraId="0ACF4522">
      <w:pPr>
        <w:keepNext/>
        <w:keepLines/>
        <w:spacing w:before="260" w:after="260" w:line="416" w:lineRule="auto"/>
        <w:outlineLvl w:val="1"/>
        <w:rPr>
          <w:rFonts w:ascii="Times New Roman" w:hAnsi="Times New Roman" w:eastAsia="仿宋" w:cs="Times New Roman"/>
          <w:b/>
          <w:bCs/>
          <w:sz w:val="32"/>
          <w:szCs w:val="32"/>
        </w:rPr>
      </w:pPr>
      <w:bookmarkStart w:id="169" w:name="_Toc150720936"/>
      <w:bookmarkStart w:id="170" w:name="_Toc240204694"/>
      <w:bookmarkStart w:id="171" w:name="_Toc91078503"/>
      <w:bookmarkStart w:id="172" w:name="_Toc31183"/>
      <w:r>
        <w:rPr>
          <w:rFonts w:ascii="Times New Roman" w:hAnsi="Times New Roman" w:eastAsia="仿宋" w:cs="Times New Roman"/>
          <w:b/>
          <w:bCs/>
          <w:sz w:val="32"/>
          <w:szCs w:val="32"/>
        </w:rPr>
        <w:t>四、能力建设保障</w:t>
      </w:r>
      <w:bookmarkEnd w:id="169"/>
      <w:bookmarkEnd w:id="170"/>
      <w:bookmarkEnd w:id="171"/>
      <w:bookmarkEnd w:id="172"/>
      <w:bookmarkStart w:id="173" w:name="_Hlk85999772"/>
    </w:p>
    <w:bookmarkEnd w:id="173"/>
    <w:p w14:paraId="4C9BEFEF">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（1）</w:t>
      </w:r>
      <w:r>
        <w:rPr>
          <w:rFonts w:ascii="Times New Roman" w:hAnsi="Times New Roman" w:eastAsia="仿宋" w:cs="Times New Roman"/>
          <w:sz w:val="32"/>
          <w:szCs w:val="30"/>
        </w:rPr>
        <w:t>强化专业人才队伍建设</w:t>
      </w:r>
    </w:p>
    <w:p w14:paraId="155081B6">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组建区级湿地技术支撑团队，常态化开展湿地修复技术、水生植物管护、水鸟保护、水质监测、病虫害防控等专项培训；引入高校、科研院所专家智库，建立长期技术顾问机制，提升全区湿地管护专业化水平。</w:t>
      </w:r>
    </w:p>
    <w:p w14:paraId="4C8CED72">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（2）</w:t>
      </w:r>
      <w:r>
        <w:rPr>
          <w:rFonts w:ascii="Times New Roman" w:hAnsi="Times New Roman" w:eastAsia="仿宋" w:cs="Times New Roman"/>
          <w:sz w:val="32"/>
          <w:szCs w:val="30"/>
        </w:rPr>
        <w:t>科技支撑与科研合作</w:t>
      </w:r>
    </w:p>
    <w:p w14:paraId="557E0F72">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与科研院所积极合作，开展湿地调查研究，掌握朝阳区湿地发展动态，探索切实可行的保护措施。充分利用大数据、物联网、人工智能等技术手段，构建“一网统管”平台，实现从监测预警到协同处置的全流程闭环管理。</w:t>
      </w:r>
    </w:p>
    <w:p w14:paraId="60236ADE">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（3）</w:t>
      </w:r>
      <w:r>
        <w:rPr>
          <w:rFonts w:ascii="Times New Roman" w:hAnsi="Times New Roman" w:eastAsia="仿宋" w:cs="Times New Roman"/>
          <w:sz w:val="32"/>
          <w:szCs w:val="30"/>
        </w:rPr>
        <w:t>智慧管理水平提升</w:t>
      </w:r>
    </w:p>
    <w:p w14:paraId="49C7BA6A">
      <w:pPr>
        <w:spacing w:line="360" w:lineRule="auto"/>
        <w:ind w:firstLine="640" w:firstLineChars="200"/>
        <w:rPr>
          <w:rFonts w:ascii="Times New Roman" w:hAnsi="Times New Roman" w:eastAsia="仿宋" w:cs="Times New Roman"/>
          <w:sz w:val="32"/>
          <w:szCs w:val="30"/>
        </w:rPr>
      </w:pPr>
      <w:r>
        <w:rPr>
          <w:rFonts w:ascii="Times New Roman" w:hAnsi="Times New Roman" w:eastAsia="仿宋" w:cs="Times New Roman"/>
          <w:sz w:val="32"/>
          <w:szCs w:val="30"/>
        </w:rPr>
        <w:t>系统整合数据管理资源，搭建数字化湿地管理平台，全面管控各重点区域湿地的生态状况。探索“数据采集—线索挖掘—协同治理—效能提升”的全链条监督模式，实现湿地管理的精细化、智慧化。</w:t>
      </w:r>
    </w:p>
    <w:p w14:paraId="20D39783">
      <w:pPr>
        <w:spacing w:line="360" w:lineRule="auto"/>
        <w:ind w:firstLine="640" w:firstLineChars="200"/>
        <w:rPr>
          <w:rFonts w:ascii="Times New Roman" w:hAnsi="Times New Roman" w:eastAsia="仿宋" w:cs="Times New Roman"/>
          <w:sz w:val="32"/>
          <w:szCs w:val="30"/>
        </w:rPr>
        <w:sectPr>
          <w:pgSz w:w="11906" w:h="16838"/>
          <w:pgMar w:top="1440" w:right="1800" w:bottom="1440" w:left="1800" w:header="851" w:footer="992" w:gutter="0"/>
          <w:cols w:space="425" w:num="1"/>
          <w:docGrid w:type="lines" w:linePitch="312" w:charSpace="0"/>
        </w:sectPr>
      </w:pPr>
    </w:p>
    <w:p w14:paraId="30456074">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rPr>
        <w:t>北京市朝阳区一般湿地名录（第一批）</w:t>
      </w:r>
    </w:p>
    <w:tbl>
      <w:tblPr>
        <w:tblStyle w:val="26"/>
        <w:tblpPr w:leftFromText="180" w:rightFromText="180" w:vertAnchor="text" w:horzAnchor="page" w:tblpXSpec="center" w:tblpY="428"/>
        <w:tblOverlap w:val="never"/>
        <w:tblW w:w="14127" w:type="dxa"/>
        <w:jc w:val="center"/>
        <w:tblLayout w:type="fixed"/>
        <w:tblCellMar>
          <w:top w:w="0" w:type="dxa"/>
          <w:left w:w="108" w:type="dxa"/>
          <w:bottom w:w="0" w:type="dxa"/>
          <w:right w:w="108" w:type="dxa"/>
        </w:tblCellMar>
      </w:tblPr>
      <w:tblGrid>
        <w:gridCol w:w="625"/>
        <w:gridCol w:w="1695"/>
        <w:gridCol w:w="1406"/>
        <w:gridCol w:w="2730"/>
        <w:gridCol w:w="3165"/>
        <w:gridCol w:w="3105"/>
        <w:gridCol w:w="1401"/>
      </w:tblGrid>
      <w:tr w14:paraId="7D3D4DE5">
        <w:tblPrEx>
          <w:tblCellMar>
            <w:top w:w="0" w:type="dxa"/>
            <w:left w:w="108" w:type="dxa"/>
            <w:bottom w:w="0" w:type="dxa"/>
            <w:right w:w="108" w:type="dxa"/>
          </w:tblCellMar>
        </w:tblPrEx>
        <w:trPr>
          <w:trHeight w:val="627"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449AC505">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1695" w:type="dxa"/>
            <w:tcBorders>
              <w:top w:val="single" w:color="auto" w:sz="4" w:space="0"/>
              <w:left w:val="single" w:color="auto" w:sz="4" w:space="0"/>
              <w:bottom w:val="single" w:color="auto" w:sz="4" w:space="0"/>
              <w:right w:val="single" w:color="auto" w:sz="4" w:space="0"/>
            </w:tcBorders>
            <w:vAlign w:val="center"/>
          </w:tcPr>
          <w:p w14:paraId="00853C91">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湿地名称</w:t>
            </w:r>
          </w:p>
        </w:tc>
        <w:tc>
          <w:tcPr>
            <w:tcW w:w="1406" w:type="dxa"/>
            <w:tcBorders>
              <w:top w:val="single" w:color="auto" w:sz="4" w:space="0"/>
              <w:left w:val="single" w:color="auto" w:sz="4" w:space="0"/>
              <w:bottom w:val="single" w:color="auto" w:sz="4" w:space="0"/>
              <w:right w:val="single" w:color="auto" w:sz="4" w:space="0"/>
            </w:tcBorders>
            <w:vAlign w:val="center"/>
          </w:tcPr>
          <w:p w14:paraId="127141CC">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湿地类型</w:t>
            </w:r>
          </w:p>
        </w:tc>
        <w:tc>
          <w:tcPr>
            <w:tcW w:w="2730" w:type="dxa"/>
            <w:tcBorders>
              <w:top w:val="single" w:color="auto" w:sz="4" w:space="0"/>
              <w:left w:val="single" w:color="auto" w:sz="4" w:space="0"/>
              <w:bottom w:val="single" w:color="auto" w:sz="4" w:space="0"/>
              <w:right w:val="single" w:color="auto" w:sz="4" w:space="0"/>
            </w:tcBorders>
            <w:vAlign w:val="center"/>
          </w:tcPr>
          <w:p w14:paraId="1DF5EEA7">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保护范围</w:t>
            </w:r>
          </w:p>
        </w:tc>
        <w:tc>
          <w:tcPr>
            <w:tcW w:w="3165" w:type="dxa"/>
            <w:tcBorders>
              <w:top w:val="single" w:color="auto" w:sz="4" w:space="0"/>
              <w:left w:val="single" w:color="auto" w:sz="4" w:space="0"/>
              <w:bottom w:val="single" w:color="auto" w:sz="4" w:space="0"/>
              <w:right w:val="single" w:color="auto" w:sz="4" w:space="0"/>
            </w:tcBorders>
            <w:vAlign w:val="center"/>
          </w:tcPr>
          <w:p w14:paraId="7ED13CD7">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管理机构</w:t>
            </w:r>
          </w:p>
          <w:p w14:paraId="3C180731">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（责任单位）</w:t>
            </w:r>
          </w:p>
        </w:tc>
        <w:tc>
          <w:tcPr>
            <w:tcW w:w="3105" w:type="dxa"/>
            <w:tcBorders>
              <w:top w:val="single" w:color="auto" w:sz="4" w:space="0"/>
              <w:left w:val="single" w:color="auto" w:sz="4" w:space="0"/>
              <w:bottom w:val="single" w:color="auto" w:sz="4" w:space="0"/>
              <w:right w:val="single" w:color="auto" w:sz="4" w:space="0"/>
            </w:tcBorders>
            <w:vAlign w:val="center"/>
          </w:tcPr>
          <w:p w14:paraId="00D8C76F">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保护管理部门</w:t>
            </w:r>
          </w:p>
        </w:tc>
        <w:tc>
          <w:tcPr>
            <w:tcW w:w="1401" w:type="dxa"/>
            <w:tcBorders>
              <w:top w:val="single" w:color="auto" w:sz="4" w:space="0"/>
              <w:left w:val="single" w:color="auto" w:sz="4" w:space="0"/>
              <w:bottom w:val="single" w:color="auto" w:sz="4" w:space="0"/>
              <w:right w:val="single" w:color="auto" w:sz="4" w:space="0"/>
            </w:tcBorders>
            <w:vAlign w:val="center"/>
          </w:tcPr>
          <w:p w14:paraId="17679EA1">
            <w:pPr>
              <w:widowControl/>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保护等级</w:t>
            </w:r>
          </w:p>
        </w:tc>
      </w:tr>
      <w:tr w14:paraId="68E9613E">
        <w:tblPrEx>
          <w:tblCellMar>
            <w:top w:w="0" w:type="dxa"/>
            <w:left w:w="108" w:type="dxa"/>
            <w:bottom w:w="0" w:type="dxa"/>
            <w:right w:w="108" w:type="dxa"/>
          </w:tblCellMar>
        </w:tblPrEx>
        <w:trPr>
          <w:trHeight w:val="804"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33E23381">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1695" w:type="dxa"/>
            <w:tcBorders>
              <w:top w:val="single" w:color="auto" w:sz="4" w:space="0"/>
              <w:left w:val="single" w:color="auto" w:sz="4" w:space="0"/>
              <w:bottom w:val="single" w:color="auto" w:sz="4" w:space="0"/>
              <w:right w:val="single" w:color="auto" w:sz="4" w:space="0"/>
            </w:tcBorders>
            <w:vAlign w:val="center"/>
          </w:tcPr>
          <w:p w14:paraId="07DEADEA">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温榆河公园（朝阳段）湿地</w:t>
            </w:r>
          </w:p>
        </w:tc>
        <w:tc>
          <w:tcPr>
            <w:tcW w:w="1406" w:type="dxa"/>
            <w:tcBorders>
              <w:top w:val="single" w:color="auto" w:sz="4" w:space="0"/>
              <w:left w:val="single" w:color="auto" w:sz="4" w:space="0"/>
              <w:bottom w:val="single" w:color="auto" w:sz="4" w:space="0"/>
              <w:right w:val="single" w:color="auto" w:sz="4" w:space="0"/>
            </w:tcBorders>
            <w:vAlign w:val="center"/>
          </w:tcPr>
          <w:p w14:paraId="04C29984">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坑塘</w:t>
            </w:r>
          </w:p>
        </w:tc>
        <w:tc>
          <w:tcPr>
            <w:tcW w:w="2730" w:type="dxa"/>
            <w:tcBorders>
              <w:top w:val="single" w:color="auto" w:sz="4" w:space="0"/>
              <w:left w:val="single" w:color="auto" w:sz="4" w:space="0"/>
              <w:bottom w:val="single" w:color="auto" w:sz="4" w:space="0"/>
              <w:right w:val="single" w:color="auto" w:sz="4" w:space="0"/>
            </w:tcBorders>
            <w:vAlign w:val="center"/>
          </w:tcPr>
          <w:p w14:paraId="38881693">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北至回南路，南至顺黄路，东至高白路，西至清河滨水慢道</w:t>
            </w:r>
          </w:p>
        </w:tc>
        <w:tc>
          <w:tcPr>
            <w:tcW w:w="3165" w:type="dxa"/>
            <w:tcBorders>
              <w:top w:val="single" w:color="auto" w:sz="4" w:space="0"/>
              <w:left w:val="single" w:color="auto" w:sz="4" w:space="0"/>
              <w:bottom w:val="single" w:color="auto" w:sz="4" w:space="0"/>
              <w:right w:val="single" w:color="auto" w:sz="4" w:space="0"/>
            </w:tcBorders>
            <w:vAlign w:val="center"/>
          </w:tcPr>
          <w:p w14:paraId="57D6D307">
            <w:pPr>
              <w:widowControl/>
              <w:jc w:val="center"/>
              <w:rPr>
                <w:rFonts w:ascii="Times New Roman" w:hAnsi="Times New Roman" w:eastAsia="宋体"/>
                <w:kern w:val="0"/>
                <w:sz w:val="24"/>
                <w:szCs w:val="24"/>
              </w:rPr>
            </w:pPr>
            <w:r>
              <w:rPr>
                <w:rFonts w:ascii="Times New Roman" w:hAnsi="Times New Roman" w:eastAsia="宋体"/>
                <w:kern w:val="0"/>
                <w:sz w:val="24"/>
                <w:szCs w:val="24"/>
              </w:rPr>
              <w:t>北京温榆河公园建设管理有限公司</w:t>
            </w:r>
          </w:p>
        </w:tc>
        <w:tc>
          <w:tcPr>
            <w:tcW w:w="3105" w:type="dxa"/>
            <w:tcBorders>
              <w:top w:val="single" w:color="auto" w:sz="4" w:space="0"/>
              <w:left w:val="single" w:color="auto" w:sz="4" w:space="0"/>
              <w:bottom w:val="single" w:color="auto" w:sz="4" w:space="0"/>
              <w:right w:val="single" w:color="auto" w:sz="4" w:space="0"/>
            </w:tcBorders>
            <w:vAlign w:val="center"/>
          </w:tcPr>
          <w:p w14:paraId="676A9446">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北京市园林绿化局</w:t>
            </w:r>
          </w:p>
          <w:p w14:paraId="7EC72E5F">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朝阳区园林绿化局</w:t>
            </w:r>
          </w:p>
        </w:tc>
        <w:tc>
          <w:tcPr>
            <w:tcW w:w="1401" w:type="dxa"/>
            <w:tcBorders>
              <w:top w:val="single" w:color="auto" w:sz="4" w:space="0"/>
              <w:left w:val="single" w:color="auto" w:sz="4" w:space="0"/>
              <w:bottom w:val="single" w:color="auto" w:sz="4" w:space="0"/>
              <w:right w:val="single" w:color="auto" w:sz="4" w:space="0"/>
            </w:tcBorders>
            <w:vAlign w:val="center"/>
          </w:tcPr>
          <w:p w14:paraId="3A4AF6C3">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市级、区级</w:t>
            </w:r>
          </w:p>
        </w:tc>
      </w:tr>
      <w:tr w14:paraId="2E638998">
        <w:tblPrEx>
          <w:tblCellMar>
            <w:top w:w="0" w:type="dxa"/>
            <w:left w:w="108" w:type="dxa"/>
            <w:bottom w:w="0" w:type="dxa"/>
            <w:right w:w="108" w:type="dxa"/>
          </w:tblCellMar>
        </w:tblPrEx>
        <w:trPr>
          <w:trHeight w:val="627"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5C446F86">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2</w:t>
            </w:r>
          </w:p>
        </w:tc>
        <w:tc>
          <w:tcPr>
            <w:tcW w:w="1695" w:type="dxa"/>
            <w:tcBorders>
              <w:top w:val="single" w:color="auto" w:sz="4" w:space="0"/>
              <w:left w:val="single" w:color="auto" w:sz="4" w:space="0"/>
              <w:bottom w:val="single" w:color="auto" w:sz="4" w:space="0"/>
              <w:right w:val="single" w:color="auto" w:sz="4" w:space="0"/>
            </w:tcBorders>
            <w:vAlign w:val="center"/>
          </w:tcPr>
          <w:p w14:paraId="48774604">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马家湾湿地公园湿地</w:t>
            </w:r>
          </w:p>
        </w:tc>
        <w:tc>
          <w:tcPr>
            <w:tcW w:w="1406" w:type="dxa"/>
            <w:tcBorders>
              <w:top w:val="single" w:color="auto" w:sz="4" w:space="0"/>
              <w:left w:val="single" w:color="auto" w:sz="4" w:space="0"/>
              <w:bottom w:val="single" w:color="auto" w:sz="4" w:space="0"/>
              <w:right w:val="single" w:color="auto" w:sz="4" w:space="0"/>
            </w:tcBorders>
            <w:vAlign w:val="center"/>
          </w:tcPr>
          <w:p w14:paraId="22C5D53B">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河流</w:t>
            </w:r>
          </w:p>
        </w:tc>
        <w:tc>
          <w:tcPr>
            <w:tcW w:w="2730" w:type="dxa"/>
            <w:tcBorders>
              <w:top w:val="single" w:color="auto" w:sz="4" w:space="0"/>
              <w:left w:val="single" w:color="auto" w:sz="4" w:space="0"/>
              <w:bottom w:val="single" w:color="auto" w:sz="4" w:space="0"/>
              <w:right w:val="single" w:color="auto" w:sz="4" w:space="0"/>
            </w:tcBorders>
            <w:vAlign w:val="center"/>
          </w:tcPr>
          <w:p w14:paraId="1A9200BE">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北至大鲁店北路，南至京津高速，东至通惠河灌渠，西至化工桥</w:t>
            </w:r>
          </w:p>
        </w:tc>
        <w:tc>
          <w:tcPr>
            <w:tcW w:w="3165" w:type="dxa"/>
            <w:tcBorders>
              <w:top w:val="single" w:color="auto" w:sz="4" w:space="0"/>
              <w:left w:val="single" w:color="auto" w:sz="4" w:space="0"/>
              <w:bottom w:val="single" w:color="auto" w:sz="4" w:space="0"/>
              <w:right w:val="single" w:color="auto" w:sz="4" w:space="0"/>
            </w:tcBorders>
            <w:vAlign w:val="center"/>
          </w:tcPr>
          <w:p w14:paraId="7955117C">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朝阳区园林绿化局</w:t>
            </w:r>
          </w:p>
          <w:p w14:paraId="6E33375C">
            <w:pPr>
              <w:pStyle w:val="2"/>
              <w:rPr>
                <w:rFonts w:hint="eastAsia"/>
              </w:rPr>
            </w:pPr>
            <w:r>
              <w:rPr>
                <w:rFonts w:hint="eastAsia" w:ascii="Times New Roman" w:hAnsi="Times New Roman" w:eastAsia="宋体"/>
                <w:kern w:val="0"/>
                <w:sz w:val="24"/>
                <w:szCs w:val="24"/>
              </w:rPr>
              <w:t>朝阳区豆各庄乡人民政府</w:t>
            </w:r>
          </w:p>
        </w:tc>
        <w:tc>
          <w:tcPr>
            <w:tcW w:w="3105" w:type="dxa"/>
            <w:tcBorders>
              <w:top w:val="single" w:color="auto" w:sz="4" w:space="0"/>
              <w:left w:val="single" w:color="auto" w:sz="4" w:space="0"/>
              <w:bottom w:val="single" w:color="auto" w:sz="4" w:space="0"/>
              <w:right w:val="single" w:color="auto" w:sz="4" w:space="0"/>
            </w:tcBorders>
            <w:vAlign w:val="center"/>
          </w:tcPr>
          <w:p w14:paraId="4D3EF798">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朝阳区园林绿化局</w:t>
            </w:r>
          </w:p>
        </w:tc>
        <w:tc>
          <w:tcPr>
            <w:tcW w:w="1401" w:type="dxa"/>
            <w:tcBorders>
              <w:top w:val="single" w:color="auto" w:sz="4" w:space="0"/>
              <w:left w:val="single" w:color="auto" w:sz="4" w:space="0"/>
              <w:bottom w:val="single" w:color="auto" w:sz="4" w:space="0"/>
              <w:right w:val="single" w:color="auto" w:sz="4" w:space="0"/>
            </w:tcBorders>
            <w:vAlign w:val="center"/>
          </w:tcPr>
          <w:p w14:paraId="03AD6760">
            <w:pPr>
              <w:widowControl/>
              <w:jc w:val="center"/>
              <w:rPr>
                <w:rFonts w:hint="eastAsia" w:ascii="宋体" w:hAnsi="宋体" w:eastAsia="宋体"/>
                <w:kern w:val="0"/>
                <w:sz w:val="24"/>
                <w:szCs w:val="24"/>
              </w:rPr>
            </w:pPr>
            <w:r>
              <w:rPr>
                <w:rFonts w:hint="eastAsia" w:ascii="宋体" w:hAnsi="宋体" w:eastAsia="宋体"/>
                <w:kern w:val="0"/>
                <w:sz w:val="24"/>
                <w:szCs w:val="24"/>
              </w:rPr>
              <w:t>区级</w:t>
            </w:r>
          </w:p>
        </w:tc>
      </w:tr>
      <w:tr w14:paraId="4913962D">
        <w:tblPrEx>
          <w:tblCellMar>
            <w:top w:w="0" w:type="dxa"/>
            <w:left w:w="108" w:type="dxa"/>
            <w:bottom w:w="0" w:type="dxa"/>
            <w:right w:w="108" w:type="dxa"/>
          </w:tblCellMar>
        </w:tblPrEx>
        <w:trPr>
          <w:trHeight w:val="627"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5F132368">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3</w:t>
            </w:r>
          </w:p>
        </w:tc>
        <w:tc>
          <w:tcPr>
            <w:tcW w:w="1695" w:type="dxa"/>
            <w:tcBorders>
              <w:top w:val="single" w:color="auto" w:sz="4" w:space="0"/>
              <w:left w:val="single" w:color="auto" w:sz="4" w:space="0"/>
              <w:bottom w:val="single" w:color="auto" w:sz="4" w:space="0"/>
              <w:right w:val="single" w:color="auto" w:sz="4" w:space="0"/>
            </w:tcBorders>
            <w:vAlign w:val="center"/>
          </w:tcPr>
          <w:p w14:paraId="7C423275">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红领巾公园湿地</w:t>
            </w:r>
          </w:p>
        </w:tc>
        <w:tc>
          <w:tcPr>
            <w:tcW w:w="1406" w:type="dxa"/>
            <w:tcBorders>
              <w:top w:val="single" w:color="auto" w:sz="4" w:space="0"/>
              <w:left w:val="single" w:color="auto" w:sz="4" w:space="0"/>
              <w:bottom w:val="single" w:color="auto" w:sz="4" w:space="0"/>
              <w:right w:val="single" w:color="auto" w:sz="4" w:space="0"/>
            </w:tcBorders>
            <w:vAlign w:val="center"/>
          </w:tcPr>
          <w:p w14:paraId="12969F01">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湖泊</w:t>
            </w:r>
          </w:p>
        </w:tc>
        <w:tc>
          <w:tcPr>
            <w:tcW w:w="2730" w:type="dxa"/>
            <w:tcBorders>
              <w:top w:val="single" w:color="auto" w:sz="4" w:space="0"/>
              <w:left w:val="single" w:color="auto" w:sz="4" w:space="0"/>
              <w:bottom w:val="single" w:color="auto" w:sz="4" w:space="0"/>
              <w:right w:val="single" w:color="auto" w:sz="4" w:space="0"/>
            </w:tcBorders>
            <w:vAlign w:val="center"/>
          </w:tcPr>
          <w:p w14:paraId="375E9D70">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北至姚家园路，南至朝阳北路，东至石佛营西路，西至甜水园东街</w:t>
            </w:r>
          </w:p>
        </w:tc>
        <w:tc>
          <w:tcPr>
            <w:tcW w:w="3165" w:type="dxa"/>
            <w:tcBorders>
              <w:top w:val="single" w:color="auto" w:sz="4" w:space="0"/>
              <w:left w:val="single" w:color="auto" w:sz="4" w:space="0"/>
              <w:bottom w:val="single" w:color="auto" w:sz="4" w:space="0"/>
              <w:right w:val="single" w:color="auto" w:sz="4" w:space="0"/>
            </w:tcBorders>
            <w:vAlign w:val="center"/>
          </w:tcPr>
          <w:p w14:paraId="43CAB4BE">
            <w:pPr>
              <w:widowControl/>
              <w:jc w:val="center"/>
              <w:rPr>
                <w:rFonts w:ascii="Times New Roman" w:hAnsi="Times New Roman" w:eastAsia="宋体"/>
                <w:kern w:val="0"/>
                <w:sz w:val="24"/>
                <w:szCs w:val="24"/>
              </w:rPr>
            </w:pPr>
            <w:r>
              <w:rPr>
                <w:rFonts w:ascii="Times New Roman" w:hAnsi="Times New Roman" w:eastAsia="宋体"/>
                <w:kern w:val="0"/>
                <w:sz w:val="24"/>
                <w:szCs w:val="24"/>
              </w:rPr>
              <w:t>朝阳区红领巾公园管理处‌</w:t>
            </w:r>
          </w:p>
        </w:tc>
        <w:tc>
          <w:tcPr>
            <w:tcW w:w="3105" w:type="dxa"/>
            <w:tcBorders>
              <w:top w:val="single" w:color="auto" w:sz="4" w:space="0"/>
              <w:left w:val="single" w:color="auto" w:sz="4" w:space="0"/>
              <w:bottom w:val="single" w:color="auto" w:sz="4" w:space="0"/>
              <w:right w:val="single" w:color="auto" w:sz="4" w:space="0"/>
            </w:tcBorders>
            <w:vAlign w:val="center"/>
          </w:tcPr>
          <w:p w14:paraId="5284BBCF">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朝阳区园林绿化局</w:t>
            </w:r>
          </w:p>
        </w:tc>
        <w:tc>
          <w:tcPr>
            <w:tcW w:w="1401" w:type="dxa"/>
            <w:tcBorders>
              <w:top w:val="single" w:color="auto" w:sz="4" w:space="0"/>
              <w:left w:val="single" w:color="auto" w:sz="4" w:space="0"/>
              <w:bottom w:val="single" w:color="auto" w:sz="4" w:space="0"/>
              <w:right w:val="single" w:color="auto" w:sz="4" w:space="0"/>
            </w:tcBorders>
            <w:vAlign w:val="center"/>
          </w:tcPr>
          <w:p w14:paraId="4925C56C">
            <w:pPr>
              <w:widowControl/>
              <w:jc w:val="center"/>
              <w:rPr>
                <w:rFonts w:hint="eastAsia" w:ascii="宋体" w:hAnsi="宋体" w:eastAsia="宋体"/>
                <w:kern w:val="0"/>
                <w:sz w:val="24"/>
                <w:szCs w:val="24"/>
              </w:rPr>
            </w:pPr>
            <w:r>
              <w:rPr>
                <w:rFonts w:hint="eastAsia" w:ascii="宋体" w:hAnsi="宋体" w:eastAsia="宋体"/>
                <w:kern w:val="0"/>
                <w:sz w:val="24"/>
                <w:szCs w:val="24"/>
              </w:rPr>
              <w:t>区级</w:t>
            </w:r>
          </w:p>
        </w:tc>
      </w:tr>
      <w:tr w14:paraId="6E51C9EA">
        <w:tblPrEx>
          <w:tblCellMar>
            <w:top w:w="0" w:type="dxa"/>
            <w:left w:w="108" w:type="dxa"/>
            <w:bottom w:w="0" w:type="dxa"/>
            <w:right w:w="108" w:type="dxa"/>
          </w:tblCellMar>
        </w:tblPrEx>
        <w:trPr>
          <w:trHeight w:val="669"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3BA25D24">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4</w:t>
            </w:r>
          </w:p>
        </w:tc>
        <w:tc>
          <w:tcPr>
            <w:tcW w:w="1695" w:type="dxa"/>
            <w:tcBorders>
              <w:top w:val="single" w:color="auto" w:sz="4" w:space="0"/>
              <w:left w:val="single" w:color="auto" w:sz="4" w:space="0"/>
              <w:bottom w:val="single" w:color="auto" w:sz="4" w:space="0"/>
              <w:right w:val="single" w:color="auto" w:sz="4" w:space="0"/>
            </w:tcBorders>
            <w:vAlign w:val="center"/>
          </w:tcPr>
          <w:p w14:paraId="5EDC0E82">
            <w:pPr>
              <w:widowControl/>
              <w:jc w:val="center"/>
              <w:rPr>
                <w:rFonts w:ascii="Times New Roman" w:hAnsi="Times New Roman" w:eastAsia="宋体"/>
                <w:strike/>
                <w:kern w:val="0"/>
                <w:sz w:val="24"/>
                <w:szCs w:val="24"/>
              </w:rPr>
            </w:pPr>
            <w:r>
              <w:rPr>
                <w:rFonts w:hint="eastAsia" w:ascii="Times New Roman" w:hAnsi="Times New Roman" w:eastAsia="宋体"/>
                <w:kern w:val="0"/>
                <w:sz w:val="24"/>
                <w:szCs w:val="24"/>
              </w:rPr>
              <w:t>何里栖地公园湿地</w:t>
            </w:r>
          </w:p>
        </w:tc>
        <w:tc>
          <w:tcPr>
            <w:tcW w:w="1406" w:type="dxa"/>
            <w:tcBorders>
              <w:top w:val="single" w:color="auto" w:sz="4" w:space="0"/>
              <w:left w:val="single" w:color="auto" w:sz="4" w:space="0"/>
              <w:bottom w:val="single" w:color="auto" w:sz="4" w:space="0"/>
              <w:right w:val="single" w:color="auto" w:sz="4" w:space="0"/>
            </w:tcBorders>
            <w:vAlign w:val="center"/>
          </w:tcPr>
          <w:p w14:paraId="3B2588AA">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坑塘</w:t>
            </w:r>
          </w:p>
        </w:tc>
        <w:tc>
          <w:tcPr>
            <w:tcW w:w="2730" w:type="dxa"/>
            <w:tcBorders>
              <w:top w:val="single" w:color="auto" w:sz="4" w:space="0"/>
              <w:left w:val="single" w:color="auto" w:sz="4" w:space="0"/>
              <w:bottom w:val="single" w:color="auto" w:sz="4" w:space="0"/>
              <w:right w:val="single" w:color="auto" w:sz="4" w:space="0"/>
            </w:tcBorders>
            <w:vAlign w:val="center"/>
          </w:tcPr>
          <w:p w14:paraId="29F8A9C4">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北至京平高速，南至香江北路，东至马泉营西路，西至何各庄</w:t>
            </w:r>
          </w:p>
        </w:tc>
        <w:tc>
          <w:tcPr>
            <w:tcW w:w="3165" w:type="dxa"/>
            <w:tcBorders>
              <w:top w:val="single" w:color="auto" w:sz="4" w:space="0"/>
              <w:left w:val="single" w:color="auto" w:sz="4" w:space="0"/>
              <w:bottom w:val="single" w:color="auto" w:sz="4" w:space="0"/>
              <w:right w:val="single" w:color="auto" w:sz="4" w:space="0"/>
            </w:tcBorders>
            <w:vAlign w:val="center"/>
          </w:tcPr>
          <w:p w14:paraId="43958D09">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朝阳区崔各庄乡人民政府</w:t>
            </w:r>
          </w:p>
        </w:tc>
        <w:tc>
          <w:tcPr>
            <w:tcW w:w="3105" w:type="dxa"/>
            <w:tcBorders>
              <w:top w:val="single" w:color="auto" w:sz="4" w:space="0"/>
              <w:left w:val="single" w:color="auto" w:sz="4" w:space="0"/>
              <w:bottom w:val="single" w:color="auto" w:sz="4" w:space="0"/>
              <w:right w:val="single" w:color="auto" w:sz="4" w:space="0"/>
            </w:tcBorders>
            <w:vAlign w:val="center"/>
          </w:tcPr>
          <w:p w14:paraId="34C0DD55">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朝阳区园林绿化局</w:t>
            </w:r>
          </w:p>
        </w:tc>
        <w:tc>
          <w:tcPr>
            <w:tcW w:w="1401" w:type="dxa"/>
            <w:tcBorders>
              <w:top w:val="single" w:color="auto" w:sz="4" w:space="0"/>
              <w:left w:val="single" w:color="auto" w:sz="4" w:space="0"/>
              <w:bottom w:val="single" w:color="auto" w:sz="4" w:space="0"/>
              <w:right w:val="single" w:color="auto" w:sz="4" w:space="0"/>
            </w:tcBorders>
            <w:vAlign w:val="center"/>
          </w:tcPr>
          <w:p w14:paraId="65F7CBC9">
            <w:pPr>
              <w:widowControl/>
              <w:jc w:val="center"/>
              <w:rPr>
                <w:rFonts w:hint="eastAsia" w:ascii="宋体" w:hAnsi="宋体" w:eastAsia="宋体"/>
                <w:kern w:val="0"/>
                <w:sz w:val="24"/>
                <w:szCs w:val="24"/>
              </w:rPr>
            </w:pPr>
            <w:r>
              <w:rPr>
                <w:rFonts w:hint="eastAsia" w:ascii="宋体" w:hAnsi="宋体" w:eastAsia="宋体"/>
                <w:kern w:val="0"/>
                <w:sz w:val="24"/>
                <w:szCs w:val="24"/>
              </w:rPr>
              <w:t>区级</w:t>
            </w:r>
          </w:p>
        </w:tc>
      </w:tr>
      <w:tr w14:paraId="68ABC28F">
        <w:tblPrEx>
          <w:tblCellMar>
            <w:top w:w="0" w:type="dxa"/>
            <w:left w:w="108" w:type="dxa"/>
            <w:bottom w:w="0" w:type="dxa"/>
            <w:right w:w="108" w:type="dxa"/>
          </w:tblCellMar>
        </w:tblPrEx>
        <w:trPr>
          <w:trHeight w:val="669"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730031C6">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5</w:t>
            </w:r>
          </w:p>
        </w:tc>
        <w:tc>
          <w:tcPr>
            <w:tcW w:w="1695" w:type="dxa"/>
            <w:tcBorders>
              <w:top w:val="single" w:color="auto" w:sz="4" w:space="0"/>
              <w:left w:val="single" w:color="auto" w:sz="4" w:space="0"/>
              <w:bottom w:val="single" w:color="auto" w:sz="4" w:space="0"/>
              <w:right w:val="single" w:color="auto" w:sz="4" w:space="0"/>
            </w:tcBorders>
            <w:vAlign w:val="center"/>
          </w:tcPr>
          <w:p w14:paraId="69827AA1">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兴隆公园湿地</w:t>
            </w:r>
          </w:p>
        </w:tc>
        <w:tc>
          <w:tcPr>
            <w:tcW w:w="1406" w:type="dxa"/>
            <w:tcBorders>
              <w:top w:val="single" w:color="auto" w:sz="4" w:space="0"/>
              <w:left w:val="single" w:color="auto" w:sz="4" w:space="0"/>
              <w:bottom w:val="single" w:color="auto" w:sz="4" w:space="0"/>
              <w:right w:val="single" w:color="auto" w:sz="4" w:space="0"/>
            </w:tcBorders>
            <w:vAlign w:val="center"/>
          </w:tcPr>
          <w:p w14:paraId="4DA75C83">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坑塘</w:t>
            </w:r>
          </w:p>
        </w:tc>
        <w:tc>
          <w:tcPr>
            <w:tcW w:w="2730" w:type="dxa"/>
            <w:tcBorders>
              <w:top w:val="single" w:color="auto" w:sz="4" w:space="0"/>
              <w:left w:val="single" w:color="auto" w:sz="4" w:space="0"/>
              <w:bottom w:val="single" w:color="auto" w:sz="4" w:space="0"/>
              <w:right w:val="single" w:color="auto" w:sz="4" w:space="0"/>
            </w:tcBorders>
            <w:vAlign w:val="center"/>
          </w:tcPr>
          <w:p w14:paraId="2894E841">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北至朝阳路辅路，南至建国路，西至兴隆街，东至花园闸路</w:t>
            </w:r>
          </w:p>
        </w:tc>
        <w:tc>
          <w:tcPr>
            <w:tcW w:w="3165" w:type="dxa"/>
            <w:tcBorders>
              <w:top w:val="single" w:color="auto" w:sz="4" w:space="0"/>
              <w:left w:val="single" w:color="auto" w:sz="4" w:space="0"/>
              <w:bottom w:val="single" w:color="auto" w:sz="4" w:space="0"/>
              <w:right w:val="single" w:color="auto" w:sz="4" w:space="0"/>
            </w:tcBorders>
            <w:vAlign w:val="center"/>
          </w:tcPr>
          <w:p w14:paraId="739ED735">
            <w:pPr>
              <w:widowControl/>
              <w:jc w:val="center"/>
              <w:rPr>
                <w:rFonts w:ascii="Times New Roman" w:hAnsi="Times New Roman" w:eastAsia="宋体"/>
                <w:kern w:val="0"/>
                <w:sz w:val="24"/>
                <w:szCs w:val="24"/>
              </w:rPr>
            </w:pPr>
            <w:r>
              <w:rPr>
                <w:rFonts w:ascii="Times New Roman" w:hAnsi="Times New Roman" w:eastAsia="宋体"/>
                <w:kern w:val="0"/>
                <w:sz w:val="24"/>
                <w:szCs w:val="24"/>
              </w:rPr>
              <w:t>‌</w:t>
            </w:r>
            <w:r>
              <w:rPr>
                <w:rFonts w:hint="eastAsia" w:ascii="Times New Roman" w:hAnsi="Times New Roman" w:eastAsia="宋体"/>
                <w:kern w:val="0"/>
                <w:sz w:val="24"/>
                <w:szCs w:val="24"/>
              </w:rPr>
              <w:t>朝阳区高碑店乡人民政府</w:t>
            </w:r>
          </w:p>
        </w:tc>
        <w:tc>
          <w:tcPr>
            <w:tcW w:w="3105" w:type="dxa"/>
            <w:tcBorders>
              <w:top w:val="single" w:color="auto" w:sz="4" w:space="0"/>
              <w:left w:val="single" w:color="auto" w:sz="4" w:space="0"/>
              <w:bottom w:val="single" w:color="auto" w:sz="4" w:space="0"/>
              <w:right w:val="single" w:color="auto" w:sz="4" w:space="0"/>
            </w:tcBorders>
            <w:vAlign w:val="center"/>
          </w:tcPr>
          <w:p w14:paraId="2FB3050A">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朝阳区园林绿化局</w:t>
            </w:r>
          </w:p>
        </w:tc>
        <w:tc>
          <w:tcPr>
            <w:tcW w:w="1401" w:type="dxa"/>
            <w:tcBorders>
              <w:top w:val="single" w:color="auto" w:sz="4" w:space="0"/>
              <w:left w:val="single" w:color="auto" w:sz="4" w:space="0"/>
              <w:bottom w:val="single" w:color="auto" w:sz="4" w:space="0"/>
              <w:right w:val="single" w:color="auto" w:sz="4" w:space="0"/>
            </w:tcBorders>
            <w:vAlign w:val="center"/>
          </w:tcPr>
          <w:p w14:paraId="01D522FC">
            <w:pPr>
              <w:widowControl/>
              <w:jc w:val="center"/>
              <w:rPr>
                <w:rFonts w:hint="eastAsia" w:ascii="宋体" w:hAnsi="宋体" w:eastAsia="宋体"/>
                <w:kern w:val="0"/>
                <w:sz w:val="24"/>
                <w:szCs w:val="24"/>
              </w:rPr>
            </w:pPr>
            <w:r>
              <w:rPr>
                <w:rFonts w:hint="eastAsia" w:ascii="宋体" w:hAnsi="宋体" w:eastAsia="宋体"/>
                <w:kern w:val="0"/>
                <w:sz w:val="24"/>
                <w:szCs w:val="24"/>
              </w:rPr>
              <w:t>区级</w:t>
            </w:r>
          </w:p>
        </w:tc>
      </w:tr>
      <w:tr w14:paraId="4F1C6550">
        <w:tblPrEx>
          <w:tblCellMar>
            <w:top w:w="0" w:type="dxa"/>
            <w:left w:w="108" w:type="dxa"/>
            <w:bottom w:w="0" w:type="dxa"/>
            <w:right w:w="108" w:type="dxa"/>
          </w:tblCellMar>
        </w:tblPrEx>
        <w:trPr>
          <w:trHeight w:val="669"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2292F9C1">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6</w:t>
            </w:r>
          </w:p>
        </w:tc>
        <w:tc>
          <w:tcPr>
            <w:tcW w:w="1695" w:type="dxa"/>
            <w:tcBorders>
              <w:top w:val="single" w:color="auto" w:sz="4" w:space="0"/>
              <w:left w:val="single" w:color="auto" w:sz="4" w:space="0"/>
              <w:bottom w:val="single" w:color="auto" w:sz="4" w:space="0"/>
              <w:right w:val="single" w:color="auto" w:sz="4" w:space="0"/>
            </w:tcBorders>
            <w:vAlign w:val="center"/>
          </w:tcPr>
          <w:p w14:paraId="7B84291E">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黑桥公园湿地</w:t>
            </w:r>
          </w:p>
        </w:tc>
        <w:tc>
          <w:tcPr>
            <w:tcW w:w="1406" w:type="dxa"/>
            <w:tcBorders>
              <w:top w:val="single" w:color="auto" w:sz="4" w:space="0"/>
              <w:left w:val="single" w:color="auto" w:sz="4" w:space="0"/>
              <w:bottom w:val="single" w:color="auto" w:sz="4" w:space="0"/>
              <w:right w:val="single" w:color="auto" w:sz="4" w:space="0"/>
            </w:tcBorders>
            <w:vAlign w:val="center"/>
          </w:tcPr>
          <w:p w14:paraId="182A5318">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坑塘</w:t>
            </w:r>
          </w:p>
        </w:tc>
        <w:tc>
          <w:tcPr>
            <w:tcW w:w="2730" w:type="dxa"/>
            <w:tcBorders>
              <w:top w:val="single" w:color="auto" w:sz="4" w:space="0"/>
              <w:left w:val="single" w:color="auto" w:sz="4" w:space="0"/>
              <w:bottom w:val="single" w:color="auto" w:sz="4" w:space="0"/>
              <w:right w:val="single" w:color="auto" w:sz="4" w:space="0"/>
            </w:tcBorders>
            <w:vAlign w:val="center"/>
          </w:tcPr>
          <w:p w14:paraId="2AC2887A">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北至南皋路，南至庄园北路，西至庄园中路，东至北小河</w:t>
            </w:r>
          </w:p>
        </w:tc>
        <w:tc>
          <w:tcPr>
            <w:tcW w:w="3165" w:type="dxa"/>
            <w:tcBorders>
              <w:top w:val="single" w:color="auto" w:sz="4" w:space="0"/>
              <w:left w:val="single" w:color="auto" w:sz="4" w:space="0"/>
              <w:bottom w:val="single" w:color="auto" w:sz="4" w:space="0"/>
              <w:right w:val="single" w:color="auto" w:sz="4" w:space="0"/>
            </w:tcBorders>
            <w:vAlign w:val="center"/>
          </w:tcPr>
          <w:p w14:paraId="03FA721D">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朝阳区崔各庄乡人民政府</w:t>
            </w:r>
          </w:p>
        </w:tc>
        <w:tc>
          <w:tcPr>
            <w:tcW w:w="3105" w:type="dxa"/>
            <w:tcBorders>
              <w:top w:val="single" w:color="auto" w:sz="4" w:space="0"/>
              <w:left w:val="single" w:color="auto" w:sz="4" w:space="0"/>
              <w:bottom w:val="single" w:color="auto" w:sz="4" w:space="0"/>
              <w:right w:val="single" w:color="auto" w:sz="4" w:space="0"/>
            </w:tcBorders>
            <w:vAlign w:val="center"/>
          </w:tcPr>
          <w:p w14:paraId="39F86215">
            <w:pPr>
              <w:widowControl/>
              <w:jc w:val="center"/>
              <w:rPr>
                <w:rFonts w:ascii="Times New Roman" w:hAnsi="Times New Roman" w:eastAsia="宋体"/>
                <w:kern w:val="0"/>
                <w:sz w:val="24"/>
                <w:szCs w:val="24"/>
              </w:rPr>
            </w:pPr>
            <w:r>
              <w:rPr>
                <w:rFonts w:hint="eastAsia" w:ascii="Times New Roman" w:hAnsi="Times New Roman" w:eastAsia="宋体"/>
                <w:kern w:val="0"/>
                <w:sz w:val="24"/>
                <w:szCs w:val="24"/>
              </w:rPr>
              <w:t>朝阳区园林绿化局</w:t>
            </w:r>
          </w:p>
        </w:tc>
        <w:tc>
          <w:tcPr>
            <w:tcW w:w="1401" w:type="dxa"/>
            <w:tcBorders>
              <w:top w:val="single" w:color="auto" w:sz="4" w:space="0"/>
              <w:left w:val="single" w:color="auto" w:sz="4" w:space="0"/>
              <w:bottom w:val="single" w:color="auto" w:sz="4" w:space="0"/>
              <w:right w:val="single" w:color="auto" w:sz="4" w:space="0"/>
            </w:tcBorders>
            <w:vAlign w:val="center"/>
          </w:tcPr>
          <w:p w14:paraId="08D7852B">
            <w:pPr>
              <w:widowControl/>
              <w:jc w:val="center"/>
              <w:rPr>
                <w:rFonts w:hint="eastAsia" w:ascii="宋体" w:hAnsi="宋体" w:eastAsia="宋体"/>
                <w:kern w:val="0"/>
                <w:sz w:val="24"/>
                <w:szCs w:val="24"/>
              </w:rPr>
            </w:pPr>
            <w:r>
              <w:rPr>
                <w:rFonts w:hint="eastAsia" w:ascii="宋体" w:hAnsi="宋体" w:eastAsia="宋体"/>
                <w:kern w:val="0"/>
                <w:sz w:val="24"/>
                <w:szCs w:val="24"/>
              </w:rPr>
              <w:t>区级</w:t>
            </w:r>
          </w:p>
        </w:tc>
      </w:tr>
    </w:tbl>
    <w:p w14:paraId="2E8082FD">
      <w:pPr>
        <w:jc w:val="left"/>
        <w:rPr>
          <w:rFonts w:hint="eastAsia"/>
          <w:sz w:val="22"/>
          <w:szCs w:val="24"/>
          <w14:ligatures w14:val="standardContextual"/>
        </w:rPr>
      </w:pPr>
    </w:p>
    <w:p w14:paraId="465DCAFB">
      <w:pPr>
        <w:rPr>
          <w:rFonts w:hint="eastAsia"/>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BB26F4-97CF-4F35-ACAE-1C111B413D7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7CC0EB5-B559-4495-8DC6-655B0278B3FE}"/>
  </w:font>
  <w:font w:name="等线">
    <w:altName w:val="DengXian"/>
    <w:panose1 w:val="02010600030101010101"/>
    <w:charset w:val="86"/>
    <w:family w:val="auto"/>
    <w:pitch w:val="default"/>
    <w:sig w:usb0="A00002BF" w:usb1="38CF7CFA" w:usb2="00000016" w:usb3="00000000" w:csb0="0004000F" w:csb1="00000000"/>
    <w:embedRegular r:id="rId3" w:fontKey="{005CF46C-3F62-4A58-B558-428343396F8B}"/>
  </w:font>
  <w:font w:name="等线">
    <w:panose1 w:val="02010600030101010101"/>
    <w:charset w:val="86"/>
    <w:family w:val="auto"/>
    <w:pitch w:val="default"/>
    <w:sig w:usb0="A00002BF" w:usb1="38CF7CFA" w:usb2="00000016" w:usb3="00000000" w:csb0="0004000F" w:csb1="00000000"/>
    <w:embedRegular r:id="rId4" w:fontKey="{2DCC8338-0211-4B4D-B71A-C4D7D881A5BA}"/>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embedRegular r:id="rId5" w:fontKey="{1D7835CB-1B88-4275-93FF-71D835DEF0E5}"/>
  </w:font>
  <w:font w:name="华文中宋">
    <w:panose1 w:val="02010600040101010101"/>
    <w:charset w:val="86"/>
    <w:family w:val="auto"/>
    <w:pitch w:val="default"/>
    <w:sig w:usb0="00000287" w:usb1="080F0000" w:usb2="00000000" w:usb3="00000000" w:csb0="0004009F" w:csb1="DFD70000"/>
    <w:embedRegular r:id="rId6" w:fontKey="{62927008-58FE-415B-92C8-8B6EC34B1294}"/>
  </w:font>
  <w:font w:name="华文楷体">
    <w:panose1 w:val="02010600040101010101"/>
    <w:charset w:val="86"/>
    <w:family w:val="auto"/>
    <w:pitch w:val="default"/>
    <w:sig w:usb0="00000287" w:usb1="080F0000" w:usb2="00000000" w:usb3="00000000" w:csb0="0004009F" w:csb1="DFD70000"/>
    <w:embedRegular r:id="rId7" w:fontKey="{6D892C71-BFDD-46C6-9895-B26B92945EA9}"/>
  </w:font>
  <w:font w:name="方正小标宋简体">
    <w:panose1 w:val="02010601030101010101"/>
    <w:charset w:val="86"/>
    <w:family w:val="auto"/>
    <w:pitch w:val="default"/>
    <w:sig w:usb0="00000001" w:usb1="080E0000" w:usb2="00000000" w:usb3="00000000" w:csb0="00040000" w:csb1="00000000"/>
  </w:font>
  <w:font w:name="WPSEMBED1">
    <w:panose1 w:val="02010600030101010101"/>
    <w:charset w:val="86"/>
    <w:family w:val="auto"/>
    <w:pitch w:val="default"/>
    <w:sig w:usb0="A00002BF" w:usb1="38CF7CFA" w:usb2="00000016" w:usb3="00000000" w:csb0="0004000F" w:csb1="00000000"/>
  </w:font>
  <w:font w:name="WPSEMBED2">
    <w:panose1 w:val="02010600040101010101"/>
    <w:charset w:val="86"/>
    <w:family w:val="auto"/>
    <w:pitch w:val="default"/>
    <w:sig w:usb0="00000287" w:usb1="080F0000" w:usb2="00000000" w:usb3="00000000" w:csb0="0004009F" w:csb1="DFD70000"/>
  </w:font>
  <w:font w:name="WPSEMBED3">
    <w:panose1 w:val="02010600040101010101"/>
    <w:charset w:val="86"/>
    <w:family w:val="auto"/>
    <w:pitch w:val="default"/>
    <w:sig w:usb0="00000287" w:usb1="080F0000" w:usb2="00000000" w:usb3="00000000" w:csb0="0004009F" w:csb1="DFD7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embedRegular r:id="rId8" w:fontKey="{7703BB8A-4F44-494C-BF34-5420AD4426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14496">
    <w:pPr>
      <w:pStyle w:val="17"/>
      <w:jc w:val="center"/>
      <w:rPr>
        <w:rFonts w:hint="eastAsia"/>
      </w:rPr>
    </w:pPr>
  </w:p>
  <w:p w14:paraId="297BF1FF">
    <w:pPr>
      <w:pStyle w:val="1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9278708"/>
    </w:sdtPr>
    <w:sdtContent>
      <w:p w14:paraId="42054806">
        <w:pPr>
          <w:pStyle w:val="17"/>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FA8D5E2">
    <w:pPr>
      <w:pStyle w:val="1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4C7FDF"/>
    <w:multiLevelType w:val="multilevel"/>
    <w:tmpl w:val="6F4C7FDF"/>
    <w:lvl w:ilvl="0" w:tentative="0">
      <w:start w:val="1"/>
      <w:numFmt w:val="decimal"/>
      <w:suff w:val="nothing"/>
      <w:lvlText w:val="%1"/>
      <w:lvlJc w:val="center"/>
      <w:pPr>
        <w:ind w:left="426"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EDE"/>
    <w:rsid w:val="00010D35"/>
    <w:rsid w:val="00052B5C"/>
    <w:rsid w:val="00060642"/>
    <w:rsid w:val="0007561E"/>
    <w:rsid w:val="000A4DCF"/>
    <w:rsid w:val="000B0A09"/>
    <w:rsid w:val="000B0DA3"/>
    <w:rsid w:val="000C651F"/>
    <w:rsid w:val="000E5B3C"/>
    <w:rsid w:val="000E63CB"/>
    <w:rsid w:val="00125D41"/>
    <w:rsid w:val="001446F4"/>
    <w:rsid w:val="00146266"/>
    <w:rsid w:val="00161E3E"/>
    <w:rsid w:val="001651AA"/>
    <w:rsid w:val="001D67FE"/>
    <w:rsid w:val="002273D1"/>
    <w:rsid w:val="00254898"/>
    <w:rsid w:val="002A5B4E"/>
    <w:rsid w:val="002A71A8"/>
    <w:rsid w:val="002A78D4"/>
    <w:rsid w:val="002C3CD1"/>
    <w:rsid w:val="002C66BB"/>
    <w:rsid w:val="002C7344"/>
    <w:rsid w:val="002D7E72"/>
    <w:rsid w:val="00326B82"/>
    <w:rsid w:val="003634FF"/>
    <w:rsid w:val="003826CB"/>
    <w:rsid w:val="00433FB4"/>
    <w:rsid w:val="00441A85"/>
    <w:rsid w:val="004573FA"/>
    <w:rsid w:val="00466589"/>
    <w:rsid w:val="00477DD6"/>
    <w:rsid w:val="004872D4"/>
    <w:rsid w:val="004B4B79"/>
    <w:rsid w:val="004C2342"/>
    <w:rsid w:val="004D3C7C"/>
    <w:rsid w:val="004F3798"/>
    <w:rsid w:val="004F38C9"/>
    <w:rsid w:val="00513E4F"/>
    <w:rsid w:val="00553AFA"/>
    <w:rsid w:val="005661CA"/>
    <w:rsid w:val="00567166"/>
    <w:rsid w:val="005679C7"/>
    <w:rsid w:val="00575AD4"/>
    <w:rsid w:val="005B7411"/>
    <w:rsid w:val="005C6E93"/>
    <w:rsid w:val="005F46ED"/>
    <w:rsid w:val="0060231C"/>
    <w:rsid w:val="006173DA"/>
    <w:rsid w:val="00624C28"/>
    <w:rsid w:val="00637902"/>
    <w:rsid w:val="00644D50"/>
    <w:rsid w:val="006535AD"/>
    <w:rsid w:val="00683035"/>
    <w:rsid w:val="006E1EFF"/>
    <w:rsid w:val="006E77D4"/>
    <w:rsid w:val="006F7A6D"/>
    <w:rsid w:val="0070094C"/>
    <w:rsid w:val="00725317"/>
    <w:rsid w:val="00754397"/>
    <w:rsid w:val="007744AB"/>
    <w:rsid w:val="00783E57"/>
    <w:rsid w:val="007C42E2"/>
    <w:rsid w:val="007F7DF8"/>
    <w:rsid w:val="00813837"/>
    <w:rsid w:val="008141F6"/>
    <w:rsid w:val="008208C9"/>
    <w:rsid w:val="00830A50"/>
    <w:rsid w:val="008663B1"/>
    <w:rsid w:val="008A6FB5"/>
    <w:rsid w:val="008B588A"/>
    <w:rsid w:val="008C0F2B"/>
    <w:rsid w:val="008F3D7A"/>
    <w:rsid w:val="008F455D"/>
    <w:rsid w:val="009208F0"/>
    <w:rsid w:val="009245CD"/>
    <w:rsid w:val="009346BD"/>
    <w:rsid w:val="009715ED"/>
    <w:rsid w:val="0098392D"/>
    <w:rsid w:val="00987C59"/>
    <w:rsid w:val="009A3A55"/>
    <w:rsid w:val="009B5900"/>
    <w:rsid w:val="009C1505"/>
    <w:rsid w:val="009D77CE"/>
    <w:rsid w:val="009E0AC5"/>
    <w:rsid w:val="009F6F7D"/>
    <w:rsid w:val="00A5137C"/>
    <w:rsid w:val="00A672B8"/>
    <w:rsid w:val="00A915DA"/>
    <w:rsid w:val="00AA3EAB"/>
    <w:rsid w:val="00AC0551"/>
    <w:rsid w:val="00AD7102"/>
    <w:rsid w:val="00B25BE1"/>
    <w:rsid w:val="00B464AC"/>
    <w:rsid w:val="00B51476"/>
    <w:rsid w:val="00B5352E"/>
    <w:rsid w:val="00B7528A"/>
    <w:rsid w:val="00B754C0"/>
    <w:rsid w:val="00B91266"/>
    <w:rsid w:val="00BA5736"/>
    <w:rsid w:val="00BB0F92"/>
    <w:rsid w:val="00BB4F3C"/>
    <w:rsid w:val="00BD08CE"/>
    <w:rsid w:val="00BD642F"/>
    <w:rsid w:val="00BF217D"/>
    <w:rsid w:val="00BF2BDB"/>
    <w:rsid w:val="00C44D47"/>
    <w:rsid w:val="00C56FD6"/>
    <w:rsid w:val="00C613C7"/>
    <w:rsid w:val="00C70A34"/>
    <w:rsid w:val="00C74C0A"/>
    <w:rsid w:val="00C85245"/>
    <w:rsid w:val="00C909F4"/>
    <w:rsid w:val="00CA41D3"/>
    <w:rsid w:val="00CA597B"/>
    <w:rsid w:val="00CB2EDE"/>
    <w:rsid w:val="00CB3BF7"/>
    <w:rsid w:val="00D10CC0"/>
    <w:rsid w:val="00D1156C"/>
    <w:rsid w:val="00D26A13"/>
    <w:rsid w:val="00D35E13"/>
    <w:rsid w:val="00D4759B"/>
    <w:rsid w:val="00D86BAE"/>
    <w:rsid w:val="00DB6C4E"/>
    <w:rsid w:val="00DC5D93"/>
    <w:rsid w:val="00DE3EF5"/>
    <w:rsid w:val="00DF6A64"/>
    <w:rsid w:val="00E03845"/>
    <w:rsid w:val="00EB2075"/>
    <w:rsid w:val="00EE133B"/>
    <w:rsid w:val="00EE58C7"/>
    <w:rsid w:val="00F04626"/>
    <w:rsid w:val="00F1526F"/>
    <w:rsid w:val="00F631C6"/>
    <w:rsid w:val="00FA1FC1"/>
    <w:rsid w:val="00FA679A"/>
    <w:rsid w:val="00FE64FD"/>
    <w:rsid w:val="05B87855"/>
    <w:rsid w:val="1DBC0B90"/>
    <w:rsid w:val="1E0A2127"/>
    <w:rsid w:val="243F78E1"/>
    <w:rsid w:val="392961FD"/>
    <w:rsid w:val="4A5A601A"/>
    <w:rsid w:val="71C64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iPriority="99" w:semiHidden="0"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
    <w:pPr>
      <w:keepNext/>
      <w:keepLines/>
      <w:spacing w:before="480" w:after="80"/>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4">
    <w:name w:val="heading 2"/>
    <w:basedOn w:val="1"/>
    <w:next w:val="1"/>
    <w:link w:val="32"/>
    <w:semiHidden/>
    <w:unhideWhenUsed/>
    <w:qFormat/>
    <w:uiPriority w:val="9"/>
    <w:pPr>
      <w:keepNext/>
      <w:keepLines/>
      <w:spacing w:before="160" w:after="80"/>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5">
    <w:name w:val="heading 3"/>
    <w:basedOn w:val="1"/>
    <w:next w:val="1"/>
    <w:link w:val="33"/>
    <w:semiHidden/>
    <w:unhideWhenUsed/>
    <w:qFormat/>
    <w:uiPriority w:val="9"/>
    <w:pPr>
      <w:keepNext/>
      <w:keepLines/>
      <w:spacing w:before="160" w:after="80"/>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6">
    <w:name w:val="heading 4"/>
    <w:basedOn w:val="1"/>
    <w:next w:val="1"/>
    <w:link w:val="34"/>
    <w:semiHidden/>
    <w:unhideWhenUsed/>
    <w:qFormat/>
    <w:uiPriority w:val="9"/>
    <w:pPr>
      <w:keepNext/>
      <w:keepLines/>
      <w:spacing w:before="80" w:after="40"/>
      <w:jc w:val="left"/>
      <w:outlineLvl w:val="3"/>
    </w:pPr>
    <w:rPr>
      <w:rFonts w:cstheme="majorBidi"/>
      <w:color w:val="104862" w:themeColor="accent1" w:themeShade="BF"/>
      <w:sz w:val="28"/>
      <w:szCs w:val="28"/>
      <w14:ligatures w14:val="standardContextual"/>
    </w:rPr>
  </w:style>
  <w:style w:type="paragraph" w:styleId="7">
    <w:name w:val="heading 5"/>
    <w:basedOn w:val="1"/>
    <w:next w:val="1"/>
    <w:link w:val="35"/>
    <w:semiHidden/>
    <w:unhideWhenUsed/>
    <w:qFormat/>
    <w:uiPriority w:val="9"/>
    <w:pPr>
      <w:keepNext/>
      <w:keepLines/>
      <w:spacing w:before="80" w:after="40"/>
      <w:jc w:val="left"/>
      <w:outlineLvl w:val="4"/>
    </w:pPr>
    <w:rPr>
      <w:rFonts w:cstheme="majorBidi"/>
      <w:color w:val="104862" w:themeColor="accent1" w:themeShade="BF"/>
      <w:sz w:val="24"/>
      <w:szCs w:val="24"/>
      <w14:ligatures w14:val="standardContextual"/>
    </w:rPr>
  </w:style>
  <w:style w:type="paragraph" w:styleId="8">
    <w:name w:val="heading 6"/>
    <w:basedOn w:val="1"/>
    <w:next w:val="1"/>
    <w:link w:val="36"/>
    <w:semiHidden/>
    <w:unhideWhenUsed/>
    <w:qFormat/>
    <w:uiPriority w:val="9"/>
    <w:pPr>
      <w:keepNext/>
      <w:keepLines/>
      <w:spacing w:before="40" w:after="0"/>
      <w:jc w:val="left"/>
      <w:outlineLvl w:val="5"/>
    </w:pPr>
    <w:rPr>
      <w:rFonts w:cstheme="majorBidi"/>
      <w:b/>
      <w:bCs/>
      <w:color w:val="104862" w:themeColor="accent1" w:themeShade="BF"/>
      <w:sz w:val="22"/>
      <w:szCs w:val="24"/>
      <w14:ligatures w14:val="standardContextual"/>
    </w:rPr>
  </w:style>
  <w:style w:type="paragraph" w:styleId="9">
    <w:name w:val="heading 7"/>
    <w:basedOn w:val="1"/>
    <w:next w:val="1"/>
    <w:link w:val="37"/>
    <w:semiHidden/>
    <w:unhideWhenUsed/>
    <w:qFormat/>
    <w:uiPriority w:val="9"/>
    <w:pPr>
      <w:keepNext/>
      <w:keepLines/>
      <w:spacing w:before="40" w:after="0"/>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8"/>
    <w:basedOn w:val="1"/>
    <w:next w:val="1"/>
    <w:link w:val="38"/>
    <w:semiHidden/>
    <w:unhideWhenUsed/>
    <w:qFormat/>
    <w:uiPriority w:val="9"/>
    <w:pPr>
      <w:keepNext/>
      <w:keepLines/>
      <w:spacing w:after="0"/>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1">
    <w:name w:val="heading 9"/>
    <w:basedOn w:val="1"/>
    <w:next w:val="1"/>
    <w:link w:val="39"/>
    <w:semiHidden/>
    <w:unhideWhenUsed/>
    <w:qFormat/>
    <w:uiPriority w:val="9"/>
    <w:pPr>
      <w:keepNext/>
      <w:keepLines/>
      <w:spacing w:after="0"/>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index 9"/>
    <w:basedOn w:val="1"/>
    <w:next w:val="1"/>
    <w:autoRedefine/>
    <w:unhideWhenUsed/>
    <w:qFormat/>
    <w:uiPriority w:val="99"/>
  </w:style>
  <w:style w:type="paragraph" w:styleId="12">
    <w:name w:val="toc 7"/>
    <w:basedOn w:val="1"/>
    <w:next w:val="1"/>
    <w:autoRedefine/>
    <w:unhideWhenUsed/>
    <w:uiPriority w:val="39"/>
    <w:pPr>
      <w:ind w:left="2520" w:leftChars="1200"/>
      <w:jc w:val="left"/>
    </w:pPr>
    <w:rPr>
      <w:sz w:val="22"/>
      <w:szCs w:val="24"/>
      <w14:ligatures w14:val="standardContextual"/>
    </w:rPr>
  </w:style>
  <w:style w:type="paragraph" w:styleId="13">
    <w:name w:val="annotation text"/>
    <w:basedOn w:val="1"/>
    <w:semiHidden/>
    <w:unhideWhenUsed/>
    <w:uiPriority w:val="99"/>
    <w:pPr>
      <w:jc w:val="left"/>
    </w:pPr>
  </w:style>
  <w:style w:type="paragraph" w:styleId="14">
    <w:name w:val="toc 5"/>
    <w:basedOn w:val="1"/>
    <w:next w:val="1"/>
    <w:autoRedefine/>
    <w:unhideWhenUsed/>
    <w:uiPriority w:val="39"/>
    <w:pPr>
      <w:ind w:left="1680" w:leftChars="800"/>
      <w:jc w:val="left"/>
    </w:pPr>
    <w:rPr>
      <w:sz w:val="22"/>
      <w:szCs w:val="24"/>
      <w14:ligatures w14:val="standardContextual"/>
    </w:rPr>
  </w:style>
  <w:style w:type="paragraph" w:styleId="15">
    <w:name w:val="toc 3"/>
    <w:basedOn w:val="1"/>
    <w:next w:val="1"/>
    <w:autoRedefine/>
    <w:unhideWhenUsed/>
    <w:uiPriority w:val="39"/>
    <w:pPr>
      <w:ind w:left="840" w:leftChars="400"/>
    </w:pPr>
  </w:style>
  <w:style w:type="paragraph" w:styleId="16">
    <w:name w:val="toc 8"/>
    <w:basedOn w:val="1"/>
    <w:next w:val="1"/>
    <w:autoRedefine/>
    <w:unhideWhenUsed/>
    <w:uiPriority w:val="39"/>
    <w:pPr>
      <w:ind w:left="2940" w:leftChars="1400"/>
      <w:jc w:val="left"/>
    </w:pPr>
    <w:rPr>
      <w:sz w:val="22"/>
      <w:szCs w:val="24"/>
      <w14:ligatures w14:val="standardContextual"/>
    </w:rPr>
  </w:style>
  <w:style w:type="paragraph" w:styleId="17">
    <w:name w:val="footer"/>
    <w:basedOn w:val="1"/>
    <w:link w:val="50"/>
    <w:unhideWhenUsed/>
    <w:qFormat/>
    <w:uiPriority w:val="99"/>
    <w:pPr>
      <w:tabs>
        <w:tab w:val="center" w:pos="4153"/>
        <w:tab w:val="right" w:pos="8306"/>
      </w:tabs>
      <w:snapToGrid w:val="0"/>
      <w:spacing w:line="240" w:lineRule="auto"/>
      <w:jc w:val="left"/>
    </w:pPr>
    <w:rPr>
      <w:sz w:val="18"/>
      <w:szCs w:val="18"/>
      <w14:ligatures w14:val="standardContextual"/>
    </w:rPr>
  </w:style>
  <w:style w:type="paragraph" w:styleId="18">
    <w:name w:val="header"/>
    <w:basedOn w:val="1"/>
    <w:link w:val="49"/>
    <w:unhideWhenUsed/>
    <w:uiPriority w:val="99"/>
    <w:pPr>
      <w:tabs>
        <w:tab w:val="center" w:pos="4153"/>
        <w:tab w:val="right" w:pos="8306"/>
      </w:tabs>
      <w:snapToGrid w:val="0"/>
      <w:spacing w:line="240" w:lineRule="auto"/>
      <w:jc w:val="center"/>
    </w:pPr>
    <w:rPr>
      <w:sz w:val="18"/>
      <w:szCs w:val="18"/>
      <w14:ligatures w14:val="standardContextual"/>
    </w:rPr>
  </w:style>
  <w:style w:type="paragraph" w:styleId="19">
    <w:name w:val="toc 1"/>
    <w:basedOn w:val="1"/>
    <w:next w:val="1"/>
    <w:autoRedefine/>
    <w:unhideWhenUsed/>
    <w:uiPriority w:val="39"/>
  </w:style>
  <w:style w:type="paragraph" w:styleId="20">
    <w:name w:val="toc 4"/>
    <w:basedOn w:val="1"/>
    <w:next w:val="1"/>
    <w:autoRedefine/>
    <w:unhideWhenUsed/>
    <w:uiPriority w:val="39"/>
    <w:pPr>
      <w:ind w:left="1260" w:leftChars="600"/>
      <w:jc w:val="left"/>
    </w:pPr>
    <w:rPr>
      <w:sz w:val="22"/>
      <w:szCs w:val="24"/>
      <w14:ligatures w14:val="standardContextual"/>
    </w:rPr>
  </w:style>
  <w:style w:type="paragraph" w:styleId="21">
    <w:name w:val="Subtitle"/>
    <w:basedOn w:val="1"/>
    <w:next w:val="1"/>
    <w:link w:val="4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22">
    <w:name w:val="toc 6"/>
    <w:basedOn w:val="1"/>
    <w:next w:val="1"/>
    <w:autoRedefine/>
    <w:unhideWhenUsed/>
    <w:uiPriority w:val="39"/>
    <w:pPr>
      <w:ind w:left="2100" w:leftChars="1000"/>
      <w:jc w:val="left"/>
    </w:pPr>
    <w:rPr>
      <w:sz w:val="22"/>
      <w:szCs w:val="24"/>
      <w14:ligatures w14:val="standardContextual"/>
    </w:rPr>
  </w:style>
  <w:style w:type="paragraph" w:styleId="23">
    <w:name w:val="toc 2"/>
    <w:basedOn w:val="1"/>
    <w:next w:val="1"/>
    <w:autoRedefine/>
    <w:unhideWhenUsed/>
    <w:uiPriority w:val="39"/>
    <w:pPr>
      <w:ind w:left="420" w:leftChars="200"/>
    </w:pPr>
  </w:style>
  <w:style w:type="paragraph" w:styleId="24">
    <w:name w:val="toc 9"/>
    <w:basedOn w:val="1"/>
    <w:next w:val="1"/>
    <w:autoRedefine/>
    <w:unhideWhenUsed/>
    <w:uiPriority w:val="39"/>
    <w:pPr>
      <w:ind w:left="3360" w:leftChars="1600"/>
      <w:jc w:val="left"/>
    </w:pPr>
    <w:rPr>
      <w:sz w:val="22"/>
      <w:szCs w:val="24"/>
      <w14:ligatures w14:val="standardContextual"/>
    </w:rPr>
  </w:style>
  <w:style w:type="paragraph" w:styleId="25">
    <w:name w:val="Title"/>
    <w:basedOn w:val="1"/>
    <w:next w:val="1"/>
    <w:link w:val="40"/>
    <w:qFormat/>
    <w:uiPriority w:val="10"/>
    <w:pPr>
      <w:spacing w:after="80" w:line="240" w:lineRule="auto"/>
      <w:contextualSpacing/>
      <w:jc w:val="center"/>
    </w:pPr>
    <w:rPr>
      <w:rFonts w:asciiTheme="majorHAnsi" w:hAnsiTheme="majorHAnsi" w:eastAsiaTheme="majorEastAsia" w:cstheme="majorBidi"/>
      <w:spacing w:val="-10"/>
      <w:kern w:val="28"/>
      <w:sz w:val="56"/>
      <w:szCs w:val="56"/>
      <w14:ligatures w14:val="standardContextual"/>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Hyperlink"/>
    <w:basedOn w:val="28"/>
    <w:unhideWhenUsed/>
    <w:qFormat/>
    <w:uiPriority w:val="99"/>
    <w:rPr>
      <w:color w:val="467886" w:themeColor="hyperlink"/>
      <w:u w:val="single"/>
      <w14:textFill>
        <w14:solidFill>
          <w14:schemeClr w14:val="hlink"/>
        </w14:solidFill>
      </w14:textFill>
    </w:rPr>
  </w:style>
  <w:style w:type="character" w:styleId="30">
    <w:name w:val="annotation reference"/>
    <w:basedOn w:val="28"/>
    <w:semiHidden/>
    <w:unhideWhenUsed/>
    <w:qFormat/>
    <w:uiPriority w:val="99"/>
    <w:rPr>
      <w:sz w:val="21"/>
      <w:szCs w:val="21"/>
    </w:rPr>
  </w:style>
  <w:style w:type="character" w:customStyle="1" w:styleId="31">
    <w:name w:val="标题 1 字符"/>
    <w:basedOn w:val="28"/>
    <w:link w:val="3"/>
    <w:qFormat/>
    <w:uiPriority w:val="9"/>
    <w:rPr>
      <w:rFonts w:asciiTheme="majorHAnsi" w:hAnsiTheme="majorHAnsi" w:eastAsiaTheme="majorEastAsia" w:cstheme="majorBidi"/>
      <w:color w:val="104862" w:themeColor="accent1" w:themeShade="BF"/>
      <w:sz w:val="48"/>
      <w:szCs w:val="48"/>
    </w:rPr>
  </w:style>
  <w:style w:type="character" w:customStyle="1" w:styleId="32">
    <w:name w:val="标题 2 字符"/>
    <w:basedOn w:val="28"/>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33">
    <w:name w:val="标题 3 字符"/>
    <w:basedOn w:val="28"/>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34">
    <w:name w:val="标题 4 字符"/>
    <w:basedOn w:val="28"/>
    <w:link w:val="6"/>
    <w:semiHidden/>
    <w:qFormat/>
    <w:uiPriority w:val="9"/>
    <w:rPr>
      <w:rFonts w:cstheme="majorBidi"/>
      <w:color w:val="104862" w:themeColor="accent1" w:themeShade="BF"/>
      <w:sz w:val="28"/>
      <w:szCs w:val="28"/>
    </w:rPr>
  </w:style>
  <w:style w:type="character" w:customStyle="1" w:styleId="35">
    <w:name w:val="标题 5 字符"/>
    <w:basedOn w:val="28"/>
    <w:link w:val="7"/>
    <w:semiHidden/>
    <w:qFormat/>
    <w:uiPriority w:val="9"/>
    <w:rPr>
      <w:rFonts w:cstheme="majorBidi"/>
      <w:color w:val="104862" w:themeColor="accent1" w:themeShade="BF"/>
      <w:sz w:val="24"/>
    </w:rPr>
  </w:style>
  <w:style w:type="character" w:customStyle="1" w:styleId="36">
    <w:name w:val="标题 6 字符"/>
    <w:basedOn w:val="28"/>
    <w:link w:val="8"/>
    <w:semiHidden/>
    <w:qFormat/>
    <w:uiPriority w:val="9"/>
    <w:rPr>
      <w:rFonts w:cstheme="majorBidi"/>
      <w:b/>
      <w:bCs/>
      <w:color w:val="104862" w:themeColor="accent1" w:themeShade="BF"/>
    </w:rPr>
  </w:style>
  <w:style w:type="character" w:customStyle="1" w:styleId="37">
    <w:name w:val="标题 7 字符"/>
    <w:basedOn w:val="28"/>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8">
    <w:name w:val="标题 8 字符"/>
    <w:basedOn w:val="28"/>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9">
    <w:name w:val="标题 9 字符"/>
    <w:basedOn w:val="28"/>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0">
    <w:name w:val="标题 字符"/>
    <w:basedOn w:val="28"/>
    <w:link w:val="25"/>
    <w:qFormat/>
    <w:uiPriority w:val="10"/>
    <w:rPr>
      <w:rFonts w:asciiTheme="majorHAnsi" w:hAnsiTheme="majorHAnsi" w:eastAsiaTheme="majorEastAsia" w:cstheme="majorBidi"/>
      <w:spacing w:val="-10"/>
      <w:kern w:val="28"/>
      <w:sz w:val="56"/>
      <w:szCs w:val="56"/>
    </w:rPr>
  </w:style>
  <w:style w:type="character" w:customStyle="1" w:styleId="41">
    <w:name w:val="副标题 字符"/>
    <w:basedOn w:val="28"/>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2">
    <w:name w:val="Quote"/>
    <w:basedOn w:val="1"/>
    <w:next w:val="1"/>
    <w:link w:val="43"/>
    <w:qFormat/>
    <w:uiPriority w:val="29"/>
    <w:pPr>
      <w:spacing w:before="160"/>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43">
    <w:name w:val="引用 字符"/>
    <w:basedOn w:val="28"/>
    <w:link w:val="42"/>
    <w:qFormat/>
    <w:uiPriority w:val="29"/>
    <w:rPr>
      <w:i/>
      <w:iCs/>
      <w:color w:val="404040" w:themeColor="text1" w:themeTint="BF"/>
      <w14:textFill>
        <w14:solidFill>
          <w14:schemeClr w14:val="tx1">
            <w14:lumMod w14:val="75000"/>
            <w14:lumOff w14:val="25000"/>
          </w14:schemeClr>
        </w14:solidFill>
      </w14:textFill>
    </w:rPr>
  </w:style>
  <w:style w:type="paragraph" w:styleId="44">
    <w:name w:val="List Paragraph"/>
    <w:basedOn w:val="1"/>
    <w:qFormat/>
    <w:uiPriority w:val="34"/>
    <w:pPr>
      <w:ind w:left="720"/>
      <w:contextualSpacing/>
      <w:jc w:val="left"/>
    </w:pPr>
    <w:rPr>
      <w:sz w:val="22"/>
      <w:szCs w:val="24"/>
      <w14:ligatures w14:val="standardContextual"/>
    </w:rPr>
  </w:style>
  <w:style w:type="character" w:customStyle="1" w:styleId="45">
    <w:name w:val="明显强调1"/>
    <w:basedOn w:val="28"/>
    <w:qFormat/>
    <w:uiPriority w:val="21"/>
    <w:rPr>
      <w:i/>
      <w:iCs/>
      <w:color w:val="104862" w:themeColor="accent1" w:themeShade="BF"/>
    </w:rPr>
  </w:style>
  <w:style w:type="paragraph" w:styleId="46">
    <w:name w:val="Intense Quote"/>
    <w:basedOn w:val="1"/>
    <w:next w:val="1"/>
    <w:link w:val="4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sz w:val="22"/>
      <w:szCs w:val="24"/>
      <w14:ligatures w14:val="standardContextual"/>
    </w:rPr>
  </w:style>
  <w:style w:type="character" w:customStyle="1" w:styleId="47">
    <w:name w:val="明显引用 字符"/>
    <w:basedOn w:val="28"/>
    <w:link w:val="46"/>
    <w:qFormat/>
    <w:uiPriority w:val="30"/>
    <w:rPr>
      <w:i/>
      <w:iCs/>
      <w:color w:val="104862" w:themeColor="accent1" w:themeShade="BF"/>
    </w:rPr>
  </w:style>
  <w:style w:type="character" w:customStyle="1" w:styleId="48">
    <w:name w:val="明显参考1"/>
    <w:basedOn w:val="28"/>
    <w:qFormat/>
    <w:uiPriority w:val="32"/>
    <w:rPr>
      <w:b/>
      <w:bCs/>
      <w:smallCaps/>
      <w:color w:val="104862" w:themeColor="accent1" w:themeShade="BF"/>
      <w:spacing w:val="5"/>
    </w:rPr>
  </w:style>
  <w:style w:type="character" w:customStyle="1" w:styleId="49">
    <w:name w:val="页眉 字符"/>
    <w:basedOn w:val="28"/>
    <w:link w:val="18"/>
    <w:qFormat/>
    <w:uiPriority w:val="99"/>
    <w:rPr>
      <w:sz w:val="18"/>
      <w:szCs w:val="18"/>
    </w:rPr>
  </w:style>
  <w:style w:type="character" w:customStyle="1" w:styleId="50">
    <w:name w:val="页脚 字符"/>
    <w:basedOn w:val="28"/>
    <w:link w:val="17"/>
    <w:qFormat/>
    <w:uiPriority w:val="99"/>
    <w:rPr>
      <w:sz w:val="18"/>
      <w:szCs w:val="18"/>
    </w:rPr>
  </w:style>
  <w:style w:type="paragraph" w:customStyle="1" w:styleId="51">
    <w:name w:val="TOC 标题1"/>
    <w:basedOn w:val="3"/>
    <w:next w:val="1"/>
    <w:unhideWhenUsed/>
    <w:qFormat/>
    <w:uiPriority w:val="39"/>
    <w:pPr>
      <w:widowControl/>
      <w:spacing w:before="240" w:after="0" w:line="259" w:lineRule="auto"/>
      <w:outlineLvl w:val="9"/>
    </w:pPr>
    <w:rPr>
      <w:kern w:val="0"/>
      <w:sz w:val="32"/>
      <w:szCs w:val="32"/>
      <w14:ligatures w14:val="none"/>
    </w:rPr>
  </w:style>
  <w:style w:type="character" w:customStyle="1" w:styleId="52">
    <w:name w:val="未处理的提及1"/>
    <w:basedOn w:val="28"/>
    <w:semiHidden/>
    <w:unhideWhenUsed/>
    <w:qFormat/>
    <w:uiPriority w:val="99"/>
    <w:rPr>
      <w:color w:val="605E5C"/>
      <w:shd w:val="clear" w:color="auto" w:fill="E1DFDD"/>
    </w:rPr>
  </w:style>
  <w:style w:type="paragraph" w:customStyle="1" w:styleId="5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27F01-D952-4D82-97CA-D8315744872D}">
  <ds:schemaRefs/>
</ds:datastoreItem>
</file>

<file path=docProps/app.xml><?xml version="1.0" encoding="utf-8"?>
<Properties xmlns="http://schemas.openxmlformats.org/officeDocument/2006/extended-properties" xmlns:vt="http://schemas.openxmlformats.org/officeDocument/2006/docPropsVTypes">
  <Template>Normal</Template>
  <Pages>79</Pages>
  <Words>1590</Words>
  <Characters>1702</Characters>
  <Lines>224</Lines>
  <Paragraphs>63</Paragraphs>
  <TotalTime>80</TotalTime>
  <ScaleCrop>false</ScaleCrop>
  <LinksUpToDate>false</LinksUpToDate>
  <CharactersWithSpaces>1822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2026-07-24T07:20:00Z</dcterms:created>
  <dc:creator>HD9936</dc:creator>
  <cp:lastModifiedBy>fans</cp:lastModifiedBy>
  <dcterms:modified xsi:type="dcterms:W3CDTF">2026-09-14T08:25:41Z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eyJoZGlkIjoiNGU4YWI2MDhhZTQ3NWIxNTI3Y2RiMWYxNjg3ODM2MzMiLCJ1c2VySWQiOiI0ODY5MzExMTgifQ==</vt:lpwstr>
  </property>
  <property fmtid="{D5CDD505-2E9C-101B-9397-08002B2CF9AE}" pid="3" name="KSOProductBuildVer">
    <vt:lpwstr>2052-12.1.0.28505</vt:lpwstr>
  </property>
  <property fmtid="{D5CDD505-2E9C-101B-9397-08002B2CF9AE}" pid="4" name="ICV">
    <vt:lpwstr>7A26AA179A004A0A872FF95A145CE468_13</vt:lpwstr>
  </property>
</Properties>
</file>